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3DB63">
      <w:pPr>
        <w:jc w:val="center"/>
        <w:rPr>
          <w:rFonts w:ascii="Times New Roman" w:hAnsi="Times New Roman"/>
          <w:sz w:val="28"/>
          <w:szCs w:val="28"/>
        </w:rPr>
        <w:sectPr>
          <w:footerReference r:id="rId3" w:type="default"/>
          <w:pgSz w:w="16838" w:h="11906" w:orient="landscape"/>
          <w:pgMar w:top="1701" w:right="1134" w:bottom="1134" w:left="1134" w:header="851" w:footer="851" w:gutter="0"/>
          <w:pgNumType w:start="1"/>
          <w:cols w:space="720" w:num="1"/>
          <w:docGrid w:type="lines" w:linePitch="312" w:charSpace="0"/>
        </w:sectPr>
      </w:pPr>
      <w:r>
        <w:drawing>
          <wp:inline distT="0" distB="0" distL="0" distR="0">
            <wp:extent cx="5754370" cy="868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771733" cy="8712510"/>
                    </a:xfrm>
                    <a:prstGeom prst="rect">
                      <a:avLst/>
                    </a:prstGeom>
                  </pic:spPr>
                </pic:pic>
              </a:graphicData>
            </a:graphic>
          </wp:inline>
        </w:drawing>
      </w:r>
    </w:p>
    <w:p w14:paraId="242583BF">
      <w:pPr>
        <w:tabs>
          <w:tab w:val="left" w:leader="middleDot" w:pos="8035"/>
        </w:tabs>
        <w:spacing w:line="360" w:lineRule="auto"/>
        <w:jc w:val="center"/>
        <w:rPr>
          <w:rFonts w:ascii="Times New Roman" w:hAnsi="Times New Roman"/>
          <w:b/>
          <w:sz w:val="28"/>
          <w:szCs w:val="28"/>
        </w:rPr>
      </w:pPr>
      <w:r>
        <w:rPr>
          <w:rFonts w:ascii="Times New Roman" w:hAnsi="Times New Roman"/>
          <w:b/>
          <w:sz w:val="28"/>
          <w:szCs w:val="28"/>
          <w:lang w:val="zh-CN"/>
        </w:rPr>
        <w:t>目 录</w:t>
      </w:r>
    </w:p>
    <w:p w14:paraId="1A2EC032">
      <w:pPr>
        <w:pStyle w:val="24"/>
        <w:rPr>
          <w:rFonts w:ascii="Times New Roman" w:hAnsi="Times New Roman" w:eastAsiaTheme="minorEastAsia"/>
          <w:b w:val="0"/>
          <w:spacing w:val="0"/>
          <w:kern w:val="2"/>
          <w:szCs w:val="22"/>
        </w:rPr>
      </w:pPr>
      <w:r>
        <w:rPr>
          <w:rFonts w:ascii="Times New Roman" w:hAnsi="Times New Roman"/>
          <w:b w:val="0"/>
          <w:szCs w:val="21"/>
        </w:rPr>
        <w:fldChar w:fldCharType="begin"/>
      </w:r>
      <w:r>
        <w:rPr>
          <w:rFonts w:ascii="Times New Roman" w:hAnsi="Times New Roman"/>
          <w:b w:val="0"/>
          <w:szCs w:val="21"/>
        </w:rPr>
        <w:instrText xml:space="preserve"> TOC \o "1-3" \h \z \u </w:instrText>
      </w:r>
      <w:r>
        <w:rPr>
          <w:rFonts w:ascii="Times New Roman" w:hAnsi="Times New Roman"/>
          <w:b w:val="0"/>
          <w:szCs w:val="21"/>
        </w:rPr>
        <w:fldChar w:fldCharType="separate"/>
      </w:r>
      <w:r>
        <w:fldChar w:fldCharType="begin"/>
      </w:r>
      <w:r>
        <w:instrText xml:space="preserve"> HYPERLINK \l "_Toc188277738" </w:instrText>
      </w:r>
      <w:r>
        <w:fldChar w:fldCharType="separate"/>
      </w:r>
      <w:r>
        <w:rPr>
          <w:rStyle w:val="42"/>
          <w:rFonts w:ascii="Times New Roman" w:hAnsi="Times New Roman"/>
          <w:b w:val="0"/>
          <w:bCs/>
          <w:color w:val="auto"/>
        </w:rPr>
        <w:t>表1 项目基本情况</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_Toc188277738 \h </w:instrText>
      </w:r>
      <w:r>
        <w:rPr>
          <w:rFonts w:ascii="Times New Roman" w:hAnsi="Times New Roman"/>
          <w:b w:val="0"/>
        </w:rPr>
        <w:fldChar w:fldCharType="separate"/>
      </w:r>
      <w:r>
        <w:rPr>
          <w:rFonts w:ascii="Times New Roman" w:hAnsi="Times New Roman"/>
          <w:b w:val="0"/>
        </w:rPr>
        <w:t>1</w:t>
      </w:r>
      <w:r>
        <w:rPr>
          <w:rFonts w:ascii="Times New Roman" w:hAnsi="Times New Roman"/>
          <w:b w:val="0"/>
        </w:rPr>
        <w:fldChar w:fldCharType="end"/>
      </w:r>
      <w:r>
        <w:rPr>
          <w:rFonts w:ascii="Times New Roman" w:hAnsi="Times New Roman"/>
          <w:b w:val="0"/>
        </w:rPr>
        <w:fldChar w:fldCharType="end"/>
      </w:r>
    </w:p>
    <w:p w14:paraId="0E8FEC9F">
      <w:pPr>
        <w:pStyle w:val="24"/>
        <w:rPr>
          <w:rFonts w:ascii="Times New Roman" w:hAnsi="Times New Roman" w:eastAsiaTheme="minorEastAsia"/>
          <w:b w:val="0"/>
          <w:spacing w:val="0"/>
          <w:kern w:val="2"/>
          <w:szCs w:val="22"/>
        </w:rPr>
      </w:pPr>
      <w:r>
        <w:fldChar w:fldCharType="begin"/>
      </w:r>
      <w:r>
        <w:instrText xml:space="preserve"> HYPERLINK \l "_Toc188277739" </w:instrText>
      </w:r>
      <w:r>
        <w:fldChar w:fldCharType="separate"/>
      </w:r>
      <w:r>
        <w:rPr>
          <w:rStyle w:val="42"/>
          <w:rFonts w:ascii="Times New Roman" w:hAnsi="Times New Roman"/>
          <w:b w:val="0"/>
          <w:bCs/>
          <w:color w:val="auto"/>
        </w:rPr>
        <w:t>表2 放射源</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_Toc188277739 \h </w:instrText>
      </w:r>
      <w:r>
        <w:rPr>
          <w:rFonts w:ascii="Times New Roman" w:hAnsi="Times New Roman"/>
          <w:b w:val="0"/>
        </w:rPr>
        <w:fldChar w:fldCharType="separate"/>
      </w:r>
      <w:r>
        <w:rPr>
          <w:rFonts w:ascii="Times New Roman" w:hAnsi="Times New Roman"/>
          <w:b w:val="0"/>
        </w:rPr>
        <w:t>9</w:t>
      </w:r>
      <w:r>
        <w:rPr>
          <w:rFonts w:ascii="Times New Roman" w:hAnsi="Times New Roman"/>
          <w:b w:val="0"/>
        </w:rPr>
        <w:fldChar w:fldCharType="end"/>
      </w:r>
      <w:r>
        <w:rPr>
          <w:rFonts w:ascii="Times New Roman" w:hAnsi="Times New Roman"/>
          <w:b w:val="0"/>
        </w:rPr>
        <w:fldChar w:fldCharType="end"/>
      </w:r>
    </w:p>
    <w:p w14:paraId="42755AEA">
      <w:pPr>
        <w:pStyle w:val="24"/>
        <w:rPr>
          <w:rFonts w:ascii="Times New Roman" w:hAnsi="Times New Roman" w:eastAsiaTheme="minorEastAsia"/>
          <w:b w:val="0"/>
          <w:spacing w:val="0"/>
          <w:kern w:val="2"/>
          <w:szCs w:val="22"/>
        </w:rPr>
      </w:pPr>
      <w:r>
        <w:fldChar w:fldCharType="begin"/>
      </w:r>
      <w:r>
        <w:instrText xml:space="preserve"> HYPERLINK \l "_Toc188277740" </w:instrText>
      </w:r>
      <w:r>
        <w:fldChar w:fldCharType="separate"/>
      </w:r>
      <w:r>
        <w:rPr>
          <w:rStyle w:val="42"/>
          <w:rFonts w:ascii="Times New Roman" w:hAnsi="Times New Roman"/>
          <w:b w:val="0"/>
          <w:bCs/>
          <w:color w:val="auto"/>
        </w:rPr>
        <w:t>表3 非密封放射性物质</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_Toc188277740 \h </w:instrText>
      </w:r>
      <w:r>
        <w:rPr>
          <w:rFonts w:ascii="Times New Roman" w:hAnsi="Times New Roman"/>
          <w:b w:val="0"/>
        </w:rPr>
        <w:fldChar w:fldCharType="separate"/>
      </w:r>
      <w:r>
        <w:rPr>
          <w:rFonts w:ascii="Times New Roman" w:hAnsi="Times New Roman"/>
          <w:b w:val="0"/>
        </w:rPr>
        <w:t>9</w:t>
      </w:r>
      <w:r>
        <w:rPr>
          <w:rFonts w:ascii="Times New Roman" w:hAnsi="Times New Roman"/>
          <w:b w:val="0"/>
        </w:rPr>
        <w:fldChar w:fldCharType="end"/>
      </w:r>
      <w:r>
        <w:rPr>
          <w:rFonts w:ascii="Times New Roman" w:hAnsi="Times New Roman"/>
          <w:b w:val="0"/>
        </w:rPr>
        <w:fldChar w:fldCharType="end"/>
      </w:r>
    </w:p>
    <w:p w14:paraId="2B2DA3F7">
      <w:pPr>
        <w:pStyle w:val="24"/>
        <w:rPr>
          <w:rFonts w:ascii="Times New Roman" w:hAnsi="Times New Roman" w:eastAsiaTheme="minorEastAsia"/>
          <w:b w:val="0"/>
          <w:spacing w:val="0"/>
          <w:kern w:val="2"/>
          <w:szCs w:val="22"/>
        </w:rPr>
      </w:pPr>
      <w:r>
        <w:fldChar w:fldCharType="begin"/>
      </w:r>
      <w:r>
        <w:instrText xml:space="preserve"> HYPERLINK \l "_Toc188277741" </w:instrText>
      </w:r>
      <w:r>
        <w:fldChar w:fldCharType="separate"/>
      </w:r>
      <w:r>
        <w:rPr>
          <w:rStyle w:val="42"/>
          <w:rFonts w:ascii="Times New Roman" w:hAnsi="Times New Roman"/>
          <w:b w:val="0"/>
          <w:bCs/>
          <w:color w:val="auto"/>
        </w:rPr>
        <w:t>表4 射线装置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_Toc188277741 \h </w:instrText>
      </w:r>
      <w:r>
        <w:rPr>
          <w:rFonts w:ascii="Times New Roman" w:hAnsi="Times New Roman"/>
          <w:b w:val="0"/>
        </w:rPr>
        <w:fldChar w:fldCharType="separate"/>
      </w:r>
      <w:r>
        <w:rPr>
          <w:rFonts w:ascii="Times New Roman" w:hAnsi="Times New Roman"/>
          <w:b w:val="0"/>
        </w:rPr>
        <w:t>9</w:t>
      </w:r>
      <w:r>
        <w:rPr>
          <w:rFonts w:ascii="Times New Roman" w:hAnsi="Times New Roman"/>
          <w:b w:val="0"/>
        </w:rPr>
        <w:fldChar w:fldCharType="end"/>
      </w:r>
      <w:r>
        <w:rPr>
          <w:rFonts w:ascii="Times New Roman" w:hAnsi="Times New Roman"/>
          <w:b w:val="0"/>
        </w:rPr>
        <w:fldChar w:fldCharType="end"/>
      </w:r>
    </w:p>
    <w:p w14:paraId="10F81639">
      <w:pPr>
        <w:pStyle w:val="24"/>
        <w:rPr>
          <w:rFonts w:ascii="Times New Roman" w:hAnsi="Times New Roman" w:eastAsiaTheme="minorEastAsia"/>
          <w:b w:val="0"/>
          <w:spacing w:val="0"/>
          <w:kern w:val="2"/>
          <w:szCs w:val="22"/>
        </w:rPr>
      </w:pPr>
      <w:r>
        <w:fldChar w:fldCharType="begin"/>
      </w:r>
      <w:r>
        <w:instrText xml:space="preserve"> HYPERLINK \l "_Toc188277742" </w:instrText>
      </w:r>
      <w:r>
        <w:fldChar w:fldCharType="separate"/>
      </w:r>
      <w:r>
        <w:rPr>
          <w:rStyle w:val="42"/>
          <w:rFonts w:ascii="Times New Roman" w:hAnsi="Times New Roman"/>
          <w:b w:val="0"/>
          <w:bCs/>
          <w:color w:val="auto"/>
        </w:rPr>
        <w:t>表5 废弃物（重点是放射性废弃物）</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_Toc188277742 \h </w:instrText>
      </w:r>
      <w:r>
        <w:rPr>
          <w:rFonts w:ascii="Times New Roman" w:hAnsi="Times New Roman"/>
          <w:b w:val="0"/>
        </w:rPr>
        <w:fldChar w:fldCharType="separate"/>
      </w:r>
      <w:r>
        <w:rPr>
          <w:rFonts w:ascii="Times New Roman" w:hAnsi="Times New Roman"/>
          <w:b w:val="0"/>
        </w:rPr>
        <w:t>11</w:t>
      </w:r>
      <w:r>
        <w:rPr>
          <w:rFonts w:ascii="Times New Roman" w:hAnsi="Times New Roman"/>
          <w:b w:val="0"/>
        </w:rPr>
        <w:fldChar w:fldCharType="end"/>
      </w:r>
      <w:r>
        <w:rPr>
          <w:rFonts w:ascii="Times New Roman" w:hAnsi="Times New Roman"/>
          <w:b w:val="0"/>
        </w:rPr>
        <w:fldChar w:fldCharType="end"/>
      </w:r>
    </w:p>
    <w:p w14:paraId="187933DE">
      <w:pPr>
        <w:pStyle w:val="24"/>
        <w:rPr>
          <w:rFonts w:ascii="Times New Roman" w:hAnsi="Times New Roman" w:eastAsiaTheme="minorEastAsia"/>
          <w:b w:val="0"/>
          <w:spacing w:val="0"/>
          <w:kern w:val="2"/>
          <w:szCs w:val="22"/>
        </w:rPr>
      </w:pPr>
      <w:r>
        <w:fldChar w:fldCharType="begin"/>
      </w:r>
      <w:r>
        <w:instrText xml:space="preserve"> HYPERLINK \l "_Toc188277743" </w:instrText>
      </w:r>
      <w:r>
        <w:fldChar w:fldCharType="separate"/>
      </w:r>
      <w:r>
        <w:rPr>
          <w:rStyle w:val="42"/>
          <w:rFonts w:ascii="Times New Roman" w:hAnsi="Times New Roman"/>
          <w:b w:val="0"/>
          <w:bCs/>
          <w:color w:val="auto"/>
        </w:rPr>
        <w:t>表6 评价依据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_Toc188277743 \h </w:instrText>
      </w:r>
      <w:r>
        <w:rPr>
          <w:rFonts w:ascii="Times New Roman" w:hAnsi="Times New Roman"/>
          <w:b w:val="0"/>
        </w:rPr>
        <w:fldChar w:fldCharType="separate"/>
      </w:r>
      <w:r>
        <w:rPr>
          <w:rFonts w:ascii="Times New Roman" w:hAnsi="Times New Roman"/>
          <w:b w:val="0"/>
        </w:rPr>
        <w:t>12</w:t>
      </w:r>
      <w:r>
        <w:rPr>
          <w:rFonts w:ascii="Times New Roman" w:hAnsi="Times New Roman"/>
          <w:b w:val="0"/>
        </w:rPr>
        <w:fldChar w:fldCharType="end"/>
      </w:r>
      <w:r>
        <w:rPr>
          <w:rFonts w:ascii="Times New Roman" w:hAnsi="Times New Roman"/>
          <w:b w:val="0"/>
        </w:rPr>
        <w:fldChar w:fldCharType="end"/>
      </w:r>
    </w:p>
    <w:p w14:paraId="7CC79719">
      <w:pPr>
        <w:pStyle w:val="24"/>
        <w:rPr>
          <w:rFonts w:ascii="Times New Roman" w:hAnsi="Times New Roman" w:eastAsiaTheme="minorEastAsia"/>
          <w:b w:val="0"/>
          <w:spacing w:val="0"/>
          <w:kern w:val="2"/>
          <w:szCs w:val="22"/>
        </w:rPr>
      </w:pPr>
      <w:r>
        <w:fldChar w:fldCharType="begin"/>
      </w:r>
      <w:r>
        <w:instrText xml:space="preserve"> HYPERLINK \l "_Toc188277744" </w:instrText>
      </w:r>
      <w:r>
        <w:fldChar w:fldCharType="separate"/>
      </w:r>
      <w:r>
        <w:rPr>
          <w:rStyle w:val="42"/>
          <w:rFonts w:ascii="Times New Roman" w:hAnsi="Times New Roman"/>
          <w:b w:val="0"/>
          <w:bCs/>
          <w:color w:val="auto"/>
        </w:rPr>
        <w:t>表7 保护目标与评价标准</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_Toc188277744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14:paraId="0FFC96EA">
      <w:pPr>
        <w:pStyle w:val="24"/>
        <w:rPr>
          <w:rFonts w:ascii="Times New Roman" w:hAnsi="Times New Roman" w:eastAsiaTheme="minorEastAsia"/>
          <w:b w:val="0"/>
          <w:spacing w:val="0"/>
          <w:kern w:val="2"/>
          <w:szCs w:val="22"/>
        </w:rPr>
      </w:pPr>
      <w:r>
        <w:fldChar w:fldCharType="begin"/>
      </w:r>
      <w:r>
        <w:instrText xml:space="preserve"> HYPERLINK \l "_Toc188277745" </w:instrText>
      </w:r>
      <w:r>
        <w:fldChar w:fldCharType="separate"/>
      </w:r>
      <w:r>
        <w:rPr>
          <w:rStyle w:val="42"/>
          <w:rFonts w:ascii="Times New Roman" w:hAnsi="Times New Roman"/>
          <w:b w:val="0"/>
          <w:bCs/>
          <w:color w:val="auto"/>
        </w:rPr>
        <w:t>表8 环境质量和辐射现状</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_Toc188277745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14:paraId="68365A29">
      <w:pPr>
        <w:pStyle w:val="24"/>
        <w:rPr>
          <w:rFonts w:ascii="Times New Roman" w:hAnsi="Times New Roman" w:eastAsiaTheme="minorEastAsia"/>
          <w:b w:val="0"/>
          <w:spacing w:val="0"/>
          <w:kern w:val="2"/>
          <w:szCs w:val="22"/>
        </w:rPr>
      </w:pPr>
      <w:r>
        <w:fldChar w:fldCharType="begin"/>
      </w:r>
      <w:r>
        <w:instrText xml:space="preserve"> HYPERLINK \l "_Toc188277746" </w:instrText>
      </w:r>
      <w:r>
        <w:fldChar w:fldCharType="separate"/>
      </w:r>
      <w:r>
        <w:rPr>
          <w:rStyle w:val="42"/>
          <w:rFonts w:ascii="Times New Roman" w:hAnsi="Times New Roman"/>
          <w:b w:val="0"/>
          <w:bCs/>
          <w:color w:val="auto"/>
        </w:rPr>
        <w:t>表9 项目工程分析和源项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_Toc188277746 \h </w:instrText>
      </w:r>
      <w:r>
        <w:rPr>
          <w:rFonts w:ascii="Times New Roman" w:hAnsi="Times New Roman"/>
          <w:b w:val="0"/>
        </w:rPr>
        <w:fldChar w:fldCharType="separate"/>
      </w:r>
      <w:r>
        <w:rPr>
          <w:rFonts w:ascii="Times New Roman" w:hAnsi="Times New Roman"/>
          <w:b w:val="0"/>
        </w:rPr>
        <w:t>19</w:t>
      </w:r>
      <w:r>
        <w:rPr>
          <w:rFonts w:ascii="Times New Roman" w:hAnsi="Times New Roman"/>
          <w:b w:val="0"/>
        </w:rPr>
        <w:fldChar w:fldCharType="end"/>
      </w:r>
      <w:r>
        <w:rPr>
          <w:rFonts w:ascii="Times New Roman" w:hAnsi="Times New Roman"/>
          <w:b w:val="0"/>
        </w:rPr>
        <w:fldChar w:fldCharType="end"/>
      </w:r>
    </w:p>
    <w:p w14:paraId="082DB7DB">
      <w:pPr>
        <w:pStyle w:val="24"/>
        <w:rPr>
          <w:rFonts w:ascii="Times New Roman" w:hAnsi="Times New Roman" w:eastAsiaTheme="minorEastAsia"/>
          <w:b w:val="0"/>
          <w:spacing w:val="0"/>
          <w:kern w:val="2"/>
          <w:szCs w:val="22"/>
        </w:rPr>
      </w:pPr>
      <w:r>
        <w:fldChar w:fldCharType="begin"/>
      </w:r>
      <w:r>
        <w:instrText xml:space="preserve"> HYPERLINK \l "_Toc188277747" </w:instrText>
      </w:r>
      <w:r>
        <w:fldChar w:fldCharType="separate"/>
      </w:r>
      <w:r>
        <w:rPr>
          <w:rStyle w:val="42"/>
          <w:rFonts w:ascii="Times New Roman" w:hAnsi="Times New Roman"/>
          <w:b w:val="0"/>
          <w:bCs/>
          <w:color w:val="auto"/>
        </w:rPr>
        <w:t>表10 辐射安全与防护</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_Toc188277747 \h </w:instrText>
      </w:r>
      <w:r>
        <w:rPr>
          <w:rFonts w:ascii="Times New Roman" w:hAnsi="Times New Roman"/>
          <w:b w:val="0"/>
        </w:rPr>
        <w:fldChar w:fldCharType="separate"/>
      </w:r>
      <w:r>
        <w:rPr>
          <w:rFonts w:ascii="Times New Roman" w:hAnsi="Times New Roman"/>
          <w:b w:val="0"/>
        </w:rPr>
        <w:t>25</w:t>
      </w:r>
      <w:r>
        <w:rPr>
          <w:rFonts w:ascii="Times New Roman" w:hAnsi="Times New Roman"/>
          <w:b w:val="0"/>
        </w:rPr>
        <w:fldChar w:fldCharType="end"/>
      </w:r>
      <w:r>
        <w:rPr>
          <w:rFonts w:ascii="Times New Roman" w:hAnsi="Times New Roman"/>
          <w:b w:val="0"/>
        </w:rPr>
        <w:fldChar w:fldCharType="end"/>
      </w:r>
    </w:p>
    <w:p w14:paraId="5CF301AE">
      <w:pPr>
        <w:pStyle w:val="24"/>
        <w:rPr>
          <w:rFonts w:ascii="Times New Roman" w:hAnsi="Times New Roman" w:eastAsiaTheme="minorEastAsia"/>
          <w:b w:val="0"/>
          <w:spacing w:val="0"/>
          <w:kern w:val="2"/>
          <w:szCs w:val="22"/>
        </w:rPr>
      </w:pPr>
      <w:r>
        <w:fldChar w:fldCharType="begin"/>
      </w:r>
      <w:r>
        <w:instrText xml:space="preserve"> HYPERLINK \l "_Toc188277748" </w:instrText>
      </w:r>
      <w:r>
        <w:fldChar w:fldCharType="separate"/>
      </w:r>
      <w:r>
        <w:rPr>
          <w:rStyle w:val="42"/>
          <w:rFonts w:ascii="Times New Roman" w:hAnsi="Times New Roman"/>
          <w:b w:val="0"/>
          <w:bCs/>
          <w:color w:val="auto"/>
        </w:rPr>
        <w:t>表11 环境影响分析</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_Toc188277748 \h </w:instrText>
      </w:r>
      <w:r>
        <w:rPr>
          <w:rFonts w:ascii="Times New Roman" w:hAnsi="Times New Roman"/>
          <w:b w:val="0"/>
        </w:rPr>
        <w:fldChar w:fldCharType="separate"/>
      </w:r>
      <w:r>
        <w:rPr>
          <w:rFonts w:ascii="Times New Roman" w:hAnsi="Times New Roman"/>
          <w:b w:val="0"/>
        </w:rPr>
        <w:t>36</w:t>
      </w:r>
      <w:r>
        <w:rPr>
          <w:rFonts w:ascii="Times New Roman" w:hAnsi="Times New Roman"/>
          <w:b w:val="0"/>
        </w:rPr>
        <w:fldChar w:fldCharType="end"/>
      </w:r>
      <w:r>
        <w:rPr>
          <w:rFonts w:ascii="Times New Roman" w:hAnsi="Times New Roman"/>
          <w:b w:val="0"/>
        </w:rPr>
        <w:fldChar w:fldCharType="end"/>
      </w:r>
    </w:p>
    <w:p w14:paraId="71946818">
      <w:pPr>
        <w:pStyle w:val="24"/>
        <w:rPr>
          <w:rFonts w:ascii="Times New Roman" w:hAnsi="Times New Roman" w:eastAsiaTheme="minorEastAsia"/>
          <w:b w:val="0"/>
          <w:spacing w:val="0"/>
          <w:kern w:val="2"/>
          <w:szCs w:val="22"/>
        </w:rPr>
      </w:pPr>
      <w:r>
        <w:fldChar w:fldCharType="begin"/>
      </w:r>
      <w:r>
        <w:instrText xml:space="preserve"> HYPERLINK \l "_Toc188277749" </w:instrText>
      </w:r>
      <w:r>
        <w:fldChar w:fldCharType="separate"/>
      </w:r>
      <w:r>
        <w:rPr>
          <w:rStyle w:val="42"/>
          <w:rFonts w:ascii="Times New Roman" w:hAnsi="Times New Roman"/>
          <w:b w:val="0"/>
          <w:bCs/>
          <w:color w:val="auto"/>
        </w:rPr>
        <w:t>表12 辐射安全管理</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_Toc188277749 \h </w:instrText>
      </w:r>
      <w:r>
        <w:rPr>
          <w:rFonts w:ascii="Times New Roman" w:hAnsi="Times New Roman"/>
          <w:b w:val="0"/>
        </w:rPr>
        <w:fldChar w:fldCharType="separate"/>
      </w:r>
      <w:r>
        <w:rPr>
          <w:rFonts w:ascii="Times New Roman" w:hAnsi="Times New Roman"/>
          <w:b w:val="0"/>
        </w:rPr>
        <w:t>50</w:t>
      </w:r>
      <w:r>
        <w:rPr>
          <w:rFonts w:ascii="Times New Roman" w:hAnsi="Times New Roman"/>
          <w:b w:val="0"/>
        </w:rPr>
        <w:fldChar w:fldCharType="end"/>
      </w:r>
      <w:r>
        <w:rPr>
          <w:rFonts w:ascii="Times New Roman" w:hAnsi="Times New Roman"/>
          <w:b w:val="0"/>
        </w:rPr>
        <w:fldChar w:fldCharType="end"/>
      </w:r>
    </w:p>
    <w:p w14:paraId="656A5288">
      <w:pPr>
        <w:pStyle w:val="24"/>
        <w:rPr>
          <w:rFonts w:ascii="Times New Roman" w:hAnsi="Times New Roman" w:eastAsiaTheme="minorEastAsia"/>
          <w:b w:val="0"/>
          <w:spacing w:val="0"/>
          <w:kern w:val="2"/>
          <w:szCs w:val="22"/>
        </w:rPr>
      </w:pPr>
      <w:r>
        <w:fldChar w:fldCharType="begin"/>
      </w:r>
      <w:r>
        <w:instrText xml:space="preserve"> HYPERLINK \l "_Toc188277750" </w:instrText>
      </w:r>
      <w:r>
        <w:fldChar w:fldCharType="separate"/>
      </w:r>
      <w:r>
        <w:rPr>
          <w:rStyle w:val="42"/>
          <w:rFonts w:ascii="Times New Roman" w:hAnsi="Times New Roman"/>
          <w:b w:val="0"/>
          <w:bCs/>
          <w:color w:val="auto"/>
        </w:rPr>
        <w:t>表13 结论和建议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_Toc188277750 \h </w:instrText>
      </w:r>
      <w:r>
        <w:rPr>
          <w:rFonts w:ascii="Times New Roman" w:hAnsi="Times New Roman"/>
          <w:b w:val="0"/>
        </w:rPr>
        <w:fldChar w:fldCharType="separate"/>
      </w:r>
      <w:r>
        <w:rPr>
          <w:rFonts w:ascii="Times New Roman" w:hAnsi="Times New Roman"/>
          <w:b w:val="0"/>
        </w:rPr>
        <w:t>56</w:t>
      </w:r>
      <w:r>
        <w:rPr>
          <w:rFonts w:ascii="Times New Roman" w:hAnsi="Times New Roman"/>
          <w:b w:val="0"/>
        </w:rPr>
        <w:fldChar w:fldCharType="end"/>
      </w:r>
      <w:r>
        <w:rPr>
          <w:rFonts w:ascii="Times New Roman" w:hAnsi="Times New Roman"/>
          <w:b w:val="0"/>
        </w:rPr>
        <w:fldChar w:fldCharType="end"/>
      </w:r>
    </w:p>
    <w:p w14:paraId="3AED2850">
      <w:pPr>
        <w:pStyle w:val="24"/>
        <w:rPr>
          <w:rFonts w:ascii="Times New Roman" w:hAnsi="Times New Roman" w:eastAsiaTheme="minorEastAsia"/>
          <w:b w:val="0"/>
          <w:spacing w:val="0"/>
          <w:kern w:val="2"/>
          <w:szCs w:val="22"/>
        </w:rPr>
      </w:pPr>
      <w:r>
        <w:fldChar w:fldCharType="begin"/>
      </w:r>
      <w:r>
        <w:instrText xml:space="preserve"> HYPERLINK \l "_Toc188277751" </w:instrText>
      </w:r>
      <w:r>
        <w:fldChar w:fldCharType="separate"/>
      </w:r>
      <w:r>
        <w:rPr>
          <w:rStyle w:val="42"/>
          <w:rFonts w:ascii="Times New Roman" w:hAnsi="Times New Roman"/>
          <w:b w:val="0"/>
          <w:bCs/>
          <w:color w:val="auto"/>
        </w:rPr>
        <w:t>表14 审批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_Toc188277751 \h </w:instrText>
      </w:r>
      <w:r>
        <w:rPr>
          <w:rFonts w:ascii="Times New Roman" w:hAnsi="Times New Roman"/>
          <w:b w:val="0"/>
        </w:rPr>
        <w:fldChar w:fldCharType="separate"/>
      </w:r>
      <w:r>
        <w:rPr>
          <w:rFonts w:ascii="Times New Roman" w:hAnsi="Times New Roman"/>
          <w:b w:val="0"/>
        </w:rPr>
        <w:t>59</w:t>
      </w:r>
      <w:r>
        <w:rPr>
          <w:rFonts w:ascii="Times New Roman" w:hAnsi="Times New Roman"/>
          <w:b w:val="0"/>
        </w:rPr>
        <w:fldChar w:fldCharType="end"/>
      </w:r>
      <w:r>
        <w:rPr>
          <w:rFonts w:ascii="Times New Roman" w:hAnsi="Times New Roman"/>
          <w:b w:val="0"/>
        </w:rPr>
        <w:fldChar w:fldCharType="end"/>
      </w:r>
    </w:p>
    <w:p w14:paraId="0AC8A25A">
      <w:pPr>
        <w:pStyle w:val="24"/>
        <w:rPr>
          <w:rFonts w:ascii="Times New Roman" w:hAnsi="Times New Roman" w:eastAsiaTheme="minorEastAsia"/>
          <w:b w:val="0"/>
          <w:spacing w:val="0"/>
          <w:kern w:val="2"/>
          <w:szCs w:val="22"/>
        </w:rPr>
      </w:pPr>
    </w:p>
    <w:p w14:paraId="721F2004">
      <w:pPr>
        <w:pStyle w:val="24"/>
        <w:spacing w:line="390" w:lineRule="exact"/>
        <w:rPr>
          <w:rFonts w:ascii="Times New Roman" w:hAnsi="Times New Roman"/>
          <w:szCs w:val="21"/>
        </w:rPr>
      </w:pPr>
      <w:r>
        <w:rPr>
          <w:rFonts w:ascii="Times New Roman" w:hAnsi="Times New Roman"/>
          <w:szCs w:val="21"/>
          <w:lang w:val="zh-CN"/>
        </w:rPr>
        <w:fldChar w:fldCharType="end"/>
      </w:r>
      <w:bookmarkStart w:id="0" w:name="_Toc436229740"/>
    </w:p>
    <w:p w14:paraId="77C517A3">
      <w:pPr>
        <w:pStyle w:val="24"/>
        <w:spacing w:line="440" w:lineRule="exact"/>
        <w:rPr>
          <w:rFonts w:ascii="Times New Roman" w:hAnsi="Times New Roman"/>
          <w:sz w:val="24"/>
          <w:lang w:val="zh-CN"/>
        </w:rPr>
        <w:sectPr>
          <w:pgSz w:w="11906" w:h="16838"/>
          <w:pgMar w:top="1134" w:right="1134" w:bottom="1134" w:left="1701" w:header="851" w:footer="851" w:gutter="0"/>
          <w:pgNumType w:start="1"/>
          <w:cols w:space="720" w:num="1"/>
          <w:docGrid w:type="lines" w:linePitch="312" w:charSpace="0"/>
        </w:sectPr>
      </w:pPr>
    </w:p>
    <w:p w14:paraId="69E24815">
      <w:pPr>
        <w:outlineLvl w:val="0"/>
        <w:rPr>
          <w:rFonts w:ascii="Times New Roman" w:hAnsi="Times New Roman"/>
          <w:b/>
          <w:bCs/>
          <w:sz w:val="30"/>
          <w:szCs w:val="30"/>
        </w:rPr>
      </w:pPr>
      <w:bookmarkStart w:id="1" w:name="_Toc188277738"/>
      <w:r>
        <w:rPr>
          <w:rFonts w:ascii="Times New Roman" w:hAnsi="Times New Roman"/>
          <w:b/>
          <w:bCs/>
          <w:sz w:val="30"/>
          <w:szCs w:val="30"/>
        </w:rPr>
        <w:t>表1 项目基本情况</w:t>
      </w:r>
      <w:bookmarkEnd w:id="0"/>
      <w:bookmarkEnd w:id="1"/>
    </w:p>
    <w:tbl>
      <w:tblPr>
        <w:tblStyle w:val="36"/>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269"/>
        <w:gridCol w:w="1275"/>
        <w:gridCol w:w="152"/>
        <w:gridCol w:w="1342"/>
        <w:gridCol w:w="1226"/>
        <w:gridCol w:w="1359"/>
        <w:gridCol w:w="613"/>
        <w:gridCol w:w="1377"/>
      </w:tblGrid>
      <w:tr w14:paraId="1C57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2" w:type="dxa"/>
            <w:gridSpan w:val="2"/>
            <w:vAlign w:val="center"/>
          </w:tcPr>
          <w:p w14:paraId="28F43D93">
            <w:pPr>
              <w:pStyle w:val="14"/>
              <w:adjustRightInd w:val="0"/>
              <w:snapToGrid w:val="0"/>
              <w:jc w:val="center"/>
              <w:rPr>
                <w:rFonts w:ascii="Times New Roman" w:hAnsi="Times New Roman"/>
                <w:sz w:val="24"/>
              </w:rPr>
            </w:pPr>
            <w:r>
              <w:rPr>
                <w:rFonts w:ascii="Times New Roman" w:hAnsi="Times New Roman"/>
                <w:sz w:val="24"/>
              </w:rPr>
              <w:t>建设项目名称</w:t>
            </w:r>
          </w:p>
        </w:tc>
        <w:tc>
          <w:tcPr>
            <w:tcW w:w="7344" w:type="dxa"/>
            <w:gridSpan w:val="7"/>
            <w:vAlign w:val="center"/>
          </w:tcPr>
          <w:p w14:paraId="3CEAF21D">
            <w:pPr>
              <w:pStyle w:val="14"/>
              <w:adjustRightInd w:val="0"/>
              <w:snapToGrid w:val="0"/>
              <w:ind w:left="-105" w:leftChars="-50" w:right="-105" w:rightChars="-50"/>
              <w:jc w:val="center"/>
              <w:rPr>
                <w:rFonts w:ascii="Times New Roman" w:hAnsi="Times New Roman"/>
                <w:bCs/>
                <w:sz w:val="24"/>
              </w:rPr>
            </w:pPr>
            <w:r>
              <w:rPr>
                <w:rFonts w:ascii="Times New Roman" w:hAnsi="Times New Roman"/>
                <w:bCs/>
                <w:sz w:val="24"/>
              </w:rPr>
              <w:t>承德中天建设工程检测试验有限公司新建X射线野外(室外)探伤项目</w:t>
            </w:r>
          </w:p>
        </w:tc>
      </w:tr>
      <w:tr w14:paraId="4DC7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2" w:type="dxa"/>
            <w:gridSpan w:val="2"/>
            <w:vAlign w:val="center"/>
          </w:tcPr>
          <w:p w14:paraId="56A02CC2">
            <w:pPr>
              <w:pStyle w:val="14"/>
              <w:adjustRightInd w:val="0"/>
              <w:snapToGrid w:val="0"/>
              <w:jc w:val="center"/>
              <w:rPr>
                <w:rFonts w:ascii="Times New Roman" w:hAnsi="Times New Roman"/>
                <w:sz w:val="24"/>
              </w:rPr>
            </w:pPr>
            <w:r>
              <w:rPr>
                <w:rFonts w:ascii="Times New Roman" w:hAnsi="Times New Roman"/>
                <w:sz w:val="24"/>
              </w:rPr>
              <w:t>建设单位</w:t>
            </w:r>
          </w:p>
        </w:tc>
        <w:tc>
          <w:tcPr>
            <w:tcW w:w="7344" w:type="dxa"/>
            <w:gridSpan w:val="7"/>
            <w:vAlign w:val="center"/>
          </w:tcPr>
          <w:p w14:paraId="59E1FD85">
            <w:pPr>
              <w:pStyle w:val="97"/>
              <w:widowControl w:val="0"/>
              <w:adjustRightInd w:val="0"/>
              <w:snapToGrid w:val="0"/>
              <w:spacing w:line="240" w:lineRule="auto"/>
              <w:rPr>
                <w:rFonts w:ascii="Times New Roman" w:hAnsi="Times New Roman" w:eastAsia="宋体"/>
                <w:bCs/>
                <w:kern w:val="2"/>
                <w:lang w:eastAsia="zh-CN"/>
              </w:rPr>
            </w:pPr>
            <w:r>
              <w:rPr>
                <w:rFonts w:ascii="Times New Roman" w:hAnsi="Times New Roman"/>
                <w:bCs/>
                <w:lang w:eastAsia="zh-CN"/>
              </w:rPr>
              <w:t>承德中天建设工程检测试验有限公司</w:t>
            </w:r>
          </w:p>
        </w:tc>
      </w:tr>
      <w:tr w14:paraId="06FC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2" w:type="dxa"/>
            <w:gridSpan w:val="2"/>
            <w:vAlign w:val="center"/>
          </w:tcPr>
          <w:p w14:paraId="01FDD089">
            <w:pPr>
              <w:pStyle w:val="14"/>
              <w:adjustRightInd w:val="0"/>
              <w:snapToGrid w:val="0"/>
              <w:jc w:val="center"/>
              <w:rPr>
                <w:rFonts w:ascii="Times New Roman" w:hAnsi="Times New Roman"/>
                <w:sz w:val="24"/>
              </w:rPr>
            </w:pPr>
            <w:r>
              <w:rPr>
                <w:rFonts w:ascii="Times New Roman" w:hAnsi="Times New Roman"/>
                <w:sz w:val="24"/>
              </w:rPr>
              <w:t>法人代表</w:t>
            </w:r>
          </w:p>
        </w:tc>
        <w:tc>
          <w:tcPr>
            <w:tcW w:w="1275" w:type="dxa"/>
            <w:vAlign w:val="center"/>
          </w:tcPr>
          <w:p w14:paraId="0135B692">
            <w:pPr>
              <w:pStyle w:val="14"/>
              <w:adjustRightInd w:val="0"/>
              <w:snapToGrid w:val="0"/>
              <w:jc w:val="center"/>
              <w:rPr>
                <w:rFonts w:ascii="Times New Roman" w:hAnsi="Times New Roman"/>
                <w:bCs/>
                <w:sz w:val="24"/>
              </w:rPr>
            </w:pPr>
            <w:r>
              <w:rPr>
                <w:rFonts w:ascii="Times New Roman" w:hAnsi="Times New Roman"/>
                <w:sz w:val="24"/>
              </w:rPr>
              <w:t>王广珍</w:t>
            </w:r>
          </w:p>
        </w:tc>
        <w:tc>
          <w:tcPr>
            <w:tcW w:w="1494" w:type="dxa"/>
            <w:gridSpan w:val="2"/>
            <w:vAlign w:val="center"/>
          </w:tcPr>
          <w:p w14:paraId="04A9A542">
            <w:pPr>
              <w:pStyle w:val="14"/>
              <w:adjustRightInd w:val="0"/>
              <w:snapToGrid w:val="0"/>
              <w:jc w:val="center"/>
              <w:rPr>
                <w:rFonts w:ascii="Times New Roman" w:hAnsi="Times New Roman"/>
                <w:bCs/>
                <w:sz w:val="24"/>
              </w:rPr>
            </w:pPr>
            <w:r>
              <w:rPr>
                <w:rFonts w:ascii="Times New Roman" w:hAnsi="Times New Roman"/>
                <w:bCs/>
                <w:sz w:val="24"/>
              </w:rPr>
              <w:t>联系人</w:t>
            </w:r>
          </w:p>
        </w:tc>
        <w:tc>
          <w:tcPr>
            <w:tcW w:w="1226" w:type="dxa"/>
            <w:vAlign w:val="center"/>
          </w:tcPr>
          <w:p w14:paraId="7B359182">
            <w:pPr>
              <w:pStyle w:val="14"/>
              <w:adjustRightInd w:val="0"/>
              <w:snapToGrid w:val="0"/>
              <w:jc w:val="center"/>
              <w:rPr>
                <w:rFonts w:ascii="Times New Roman" w:hAnsi="Times New Roman"/>
                <w:bCs/>
                <w:sz w:val="24"/>
              </w:rPr>
            </w:pPr>
            <w:r>
              <w:rPr>
                <w:rFonts w:ascii="Times New Roman" w:hAnsi="Times New Roman"/>
                <w:szCs w:val="28"/>
              </w:rPr>
              <w:t>杨阔</w:t>
            </w:r>
          </w:p>
        </w:tc>
        <w:tc>
          <w:tcPr>
            <w:tcW w:w="1359" w:type="dxa"/>
            <w:vAlign w:val="center"/>
          </w:tcPr>
          <w:p w14:paraId="511C32AD">
            <w:pPr>
              <w:pStyle w:val="14"/>
              <w:adjustRightInd w:val="0"/>
              <w:snapToGrid w:val="0"/>
              <w:jc w:val="center"/>
              <w:rPr>
                <w:rFonts w:ascii="Times New Roman" w:hAnsi="Times New Roman"/>
                <w:bCs/>
                <w:sz w:val="24"/>
              </w:rPr>
            </w:pPr>
            <w:r>
              <w:rPr>
                <w:rFonts w:ascii="Times New Roman" w:hAnsi="Times New Roman"/>
                <w:bCs/>
                <w:sz w:val="24"/>
              </w:rPr>
              <w:t>联系电话</w:t>
            </w:r>
          </w:p>
        </w:tc>
        <w:tc>
          <w:tcPr>
            <w:tcW w:w="1990" w:type="dxa"/>
            <w:gridSpan w:val="2"/>
            <w:vAlign w:val="center"/>
          </w:tcPr>
          <w:p w14:paraId="41D0EC0B">
            <w:pPr>
              <w:pStyle w:val="14"/>
              <w:adjustRightInd w:val="0"/>
              <w:snapToGrid w:val="0"/>
              <w:jc w:val="center"/>
              <w:rPr>
                <w:rFonts w:ascii="Times New Roman" w:hAnsi="Times New Roman"/>
                <w:bCs/>
                <w:sz w:val="24"/>
              </w:rPr>
            </w:pPr>
            <w:r>
              <w:rPr>
                <w:rFonts w:ascii="Times New Roman" w:hAnsi="Times New Roman"/>
                <w:bCs/>
                <w:sz w:val="24"/>
              </w:rPr>
              <w:t>17367476665</w:t>
            </w:r>
          </w:p>
        </w:tc>
      </w:tr>
      <w:tr w14:paraId="3FCB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2" w:type="dxa"/>
            <w:gridSpan w:val="2"/>
            <w:vAlign w:val="center"/>
          </w:tcPr>
          <w:p w14:paraId="12D5D1D8">
            <w:pPr>
              <w:pStyle w:val="14"/>
              <w:adjustRightInd w:val="0"/>
              <w:snapToGrid w:val="0"/>
              <w:jc w:val="center"/>
              <w:rPr>
                <w:rFonts w:ascii="Times New Roman" w:hAnsi="Times New Roman"/>
                <w:sz w:val="24"/>
              </w:rPr>
            </w:pPr>
            <w:r>
              <w:rPr>
                <w:rFonts w:ascii="Times New Roman" w:hAnsi="Times New Roman"/>
                <w:sz w:val="24"/>
              </w:rPr>
              <w:t>注册地址</w:t>
            </w:r>
          </w:p>
        </w:tc>
        <w:tc>
          <w:tcPr>
            <w:tcW w:w="7344" w:type="dxa"/>
            <w:gridSpan w:val="7"/>
            <w:vAlign w:val="center"/>
          </w:tcPr>
          <w:p w14:paraId="2FE00278">
            <w:pPr>
              <w:pStyle w:val="97"/>
              <w:widowControl w:val="0"/>
              <w:adjustRightInd w:val="0"/>
              <w:snapToGrid w:val="0"/>
              <w:spacing w:line="240" w:lineRule="auto"/>
              <w:rPr>
                <w:rFonts w:ascii="Times New Roman" w:hAnsi="Times New Roman" w:eastAsia="宋体"/>
                <w:kern w:val="2"/>
                <w:lang w:eastAsia="zh-CN"/>
              </w:rPr>
            </w:pPr>
            <w:bookmarkStart w:id="2" w:name="OLE_LINK6"/>
            <w:r>
              <w:rPr>
                <w:rFonts w:ascii="Times New Roman" w:hAnsi="Times New Roman" w:eastAsia="宋体"/>
                <w:kern w:val="2"/>
                <w:lang w:eastAsia="zh-CN"/>
              </w:rPr>
              <w:t>承德双桥区桥东北山碧麓嘉园小区5-1号楼101-301号</w:t>
            </w:r>
            <w:bookmarkEnd w:id="2"/>
          </w:p>
        </w:tc>
      </w:tr>
      <w:tr w14:paraId="148E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2" w:type="dxa"/>
            <w:gridSpan w:val="2"/>
            <w:vAlign w:val="center"/>
          </w:tcPr>
          <w:p w14:paraId="7B67D3BD">
            <w:pPr>
              <w:pStyle w:val="14"/>
              <w:adjustRightInd w:val="0"/>
              <w:snapToGrid w:val="0"/>
              <w:jc w:val="center"/>
              <w:rPr>
                <w:rFonts w:ascii="Times New Roman" w:hAnsi="Times New Roman"/>
                <w:sz w:val="24"/>
              </w:rPr>
            </w:pPr>
            <w:r>
              <w:rPr>
                <w:rFonts w:ascii="Times New Roman" w:hAnsi="Times New Roman"/>
                <w:sz w:val="24"/>
              </w:rPr>
              <w:t>项目建设地点</w:t>
            </w:r>
          </w:p>
        </w:tc>
        <w:tc>
          <w:tcPr>
            <w:tcW w:w="7344" w:type="dxa"/>
            <w:gridSpan w:val="7"/>
            <w:vAlign w:val="center"/>
          </w:tcPr>
          <w:p w14:paraId="5932FFDB">
            <w:pPr>
              <w:pStyle w:val="14"/>
              <w:adjustRightInd w:val="0"/>
              <w:snapToGrid w:val="0"/>
              <w:jc w:val="center"/>
              <w:rPr>
                <w:rFonts w:ascii="Times New Roman" w:hAnsi="Times New Roman"/>
                <w:sz w:val="24"/>
              </w:rPr>
            </w:pPr>
            <w:r>
              <w:rPr>
                <w:rFonts w:ascii="Times New Roman" w:hAnsi="Times New Roman"/>
                <w:sz w:val="24"/>
              </w:rPr>
              <w:t>承德市双滦区双塔山镇256省道地质四队对面</w:t>
            </w:r>
          </w:p>
        </w:tc>
      </w:tr>
      <w:tr w14:paraId="7784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012" w:type="dxa"/>
            <w:gridSpan w:val="2"/>
            <w:vAlign w:val="center"/>
          </w:tcPr>
          <w:p w14:paraId="3439DB85">
            <w:pPr>
              <w:pStyle w:val="14"/>
              <w:adjustRightInd w:val="0"/>
              <w:snapToGrid w:val="0"/>
              <w:jc w:val="center"/>
              <w:rPr>
                <w:rFonts w:ascii="Times New Roman" w:hAnsi="Times New Roman"/>
                <w:sz w:val="24"/>
              </w:rPr>
            </w:pPr>
            <w:r>
              <w:rPr>
                <w:rFonts w:ascii="Times New Roman" w:hAnsi="Times New Roman"/>
                <w:sz w:val="24"/>
              </w:rPr>
              <w:t>立项审批部门</w:t>
            </w:r>
          </w:p>
        </w:tc>
        <w:tc>
          <w:tcPr>
            <w:tcW w:w="2769" w:type="dxa"/>
            <w:gridSpan w:val="3"/>
            <w:vAlign w:val="center"/>
          </w:tcPr>
          <w:p w14:paraId="2AA73F08">
            <w:pPr>
              <w:pStyle w:val="14"/>
              <w:adjustRightInd w:val="0"/>
              <w:snapToGrid w:val="0"/>
              <w:jc w:val="center"/>
              <w:rPr>
                <w:rFonts w:ascii="Times New Roman" w:hAnsi="Times New Roman"/>
                <w:sz w:val="24"/>
              </w:rPr>
            </w:pPr>
            <w:r>
              <w:rPr>
                <w:rFonts w:ascii="Times New Roman" w:hAnsi="Times New Roman"/>
                <w:sz w:val="24"/>
              </w:rPr>
              <w:t>/</w:t>
            </w:r>
          </w:p>
        </w:tc>
        <w:tc>
          <w:tcPr>
            <w:tcW w:w="1226" w:type="dxa"/>
            <w:vAlign w:val="center"/>
          </w:tcPr>
          <w:p w14:paraId="6D29D4D8">
            <w:pPr>
              <w:pStyle w:val="14"/>
              <w:adjustRightInd w:val="0"/>
              <w:snapToGrid w:val="0"/>
              <w:jc w:val="center"/>
              <w:rPr>
                <w:rFonts w:ascii="Times New Roman" w:hAnsi="Times New Roman"/>
                <w:sz w:val="24"/>
              </w:rPr>
            </w:pPr>
            <w:r>
              <w:rPr>
                <w:rFonts w:ascii="Times New Roman" w:hAnsi="Times New Roman"/>
                <w:sz w:val="24"/>
              </w:rPr>
              <w:t>批准文号</w:t>
            </w:r>
          </w:p>
        </w:tc>
        <w:tc>
          <w:tcPr>
            <w:tcW w:w="3349" w:type="dxa"/>
            <w:gridSpan w:val="3"/>
            <w:vAlign w:val="center"/>
          </w:tcPr>
          <w:p w14:paraId="78D7527C">
            <w:pPr>
              <w:pStyle w:val="14"/>
              <w:adjustRightInd w:val="0"/>
              <w:snapToGrid w:val="0"/>
              <w:jc w:val="center"/>
              <w:rPr>
                <w:rFonts w:ascii="Times New Roman" w:hAnsi="Times New Roman"/>
                <w:sz w:val="24"/>
              </w:rPr>
            </w:pPr>
            <w:r>
              <w:rPr>
                <w:rFonts w:ascii="Times New Roman" w:hAnsi="Times New Roman"/>
                <w:sz w:val="24"/>
              </w:rPr>
              <w:t>/</w:t>
            </w:r>
          </w:p>
        </w:tc>
      </w:tr>
      <w:tr w14:paraId="7393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012" w:type="dxa"/>
            <w:gridSpan w:val="2"/>
            <w:vAlign w:val="center"/>
          </w:tcPr>
          <w:p w14:paraId="29B7897C">
            <w:pPr>
              <w:pStyle w:val="14"/>
              <w:adjustRightInd w:val="0"/>
              <w:snapToGrid w:val="0"/>
              <w:jc w:val="center"/>
              <w:rPr>
                <w:rFonts w:ascii="Times New Roman" w:hAnsi="Times New Roman"/>
                <w:sz w:val="24"/>
              </w:rPr>
            </w:pPr>
            <w:r>
              <w:rPr>
                <w:rFonts w:ascii="Times New Roman" w:hAnsi="Times New Roman"/>
                <w:sz w:val="24"/>
              </w:rPr>
              <w:t>建设项目总投资</w:t>
            </w:r>
          </w:p>
          <w:p w14:paraId="01222701">
            <w:pPr>
              <w:pStyle w:val="14"/>
              <w:adjustRightInd w:val="0"/>
              <w:snapToGrid w:val="0"/>
              <w:jc w:val="center"/>
              <w:rPr>
                <w:rFonts w:ascii="Times New Roman" w:hAnsi="Times New Roman"/>
                <w:sz w:val="24"/>
              </w:rPr>
            </w:pPr>
            <w:r>
              <w:rPr>
                <w:rFonts w:ascii="Times New Roman" w:hAnsi="Times New Roman"/>
                <w:sz w:val="24"/>
              </w:rPr>
              <w:t>（万元）</w:t>
            </w:r>
          </w:p>
        </w:tc>
        <w:tc>
          <w:tcPr>
            <w:tcW w:w="1275" w:type="dxa"/>
            <w:vAlign w:val="center"/>
          </w:tcPr>
          <w:p w14:paraId="163EF362">
            <w:pPr>
              <w:pStyle w:val="14"/>
              <w:adjustRightInd w:val="0"/>
              <w:snapToGrid w:val="0"/>
              <w:jc w:val="center"/>
              <w:rPr>
                <w:rFonts w:ascii="Times New Roman" w:hAnsi="Times New Roman"/>
                <w:sz w:val="24"/>
              </w:rPr>
            </w:pPr>
            <w:r>
              <w:rPr>
                <w:rFonts w:ascii="Times New Roman" w:hAnsi="Times New Roman"/>
                <w:sz w:val="24"/>
              </w:rPr>
              <w:t>40</w:t>
            </w:r>
          </w:p>
        </w:tc>
        <w:tc>
          <w:tcPr>
            <w:tcW w:w="1494" w:type="dxa"/>
            <w:gridSpan w:val="2"/>
            <w:vAlign w:val="center"/>
          </w:tcPr>
          <w:p w14:paraId="080BBBEA">
            <w:pPr>
              <w:pStyle w:val="14"/>
              <w:adjustRightInd w:val="0"/>
              <w:snapToGrid w:val="0"/>
              <w:jc w:val="center"/>
              <w:rPr>
                <w:rFonts w:ascii="Times New Roman" w:hAnsi="Times New Roman"/>
                <w:sz w:val="24"/>
              </w:rPr>
            </w:pPr>
            <w:r>
              <w:rPr>
                <w:rFonts w:ascii="Times New Roman" w:hAnsi="Times New Roman"/>
                <w:sz w:val="24"/>
              </w:rPr>
              <w:t>项目环保投资（万元）</w:t>
            </w:r>
          </w:p>
        </w:tc>
        <w:tc>
          <w:tcPr>
            <w:tcW w:w="1226" w:type="dxa"/>
            <w:vAlign w:val="center"/>
          </w:tcPr>
          <w:p w14:paraId="4534BFA9">
            <w:pPr>
              <w:pStyle w:val="14"/>
              <w:adjustRightInd w:val="0"/>
              <w:snapToGrid w:val="0"/>
              <w:jc w:val="center"/>
              <w:rPr>
                <w:rFonts w:ascii="Times New Roman" w:hAnsi="Times New Roman"/>
                <w:sz w:val="24"/>
              </w:rPr>
            </w:pPr>
            <w:r>
              <w:rPr>
                <w:rFonts w:ascii="Times New Roman" w:hAnsi="Times New Roman"/>
                <w:sz w:val="24"/>
              </w:rPr>
              <w:t>4</w:t>
            </w:r>
          </w:p>
        </w:tc>
        <w:tc>
          <w:tcPr>
            <w:tcW w:w="1972" w:type="dxa"/>
            <w:gridSpan w:val="2"/>
            <w:vAlign w:val="center"/>
          </w:tcPr>
          <w:p w14:paraId="13A988B5">
            <w:pPr>
              <w:pStyle w:val="14"/>
              <w:adjustRightInd w:val="0"/>
              <w:snapToGrid w:val="0"/>
              <w:jc w:val="center"/>
              <w:rPr>
                <w:rFonts w:ascii="Times New Roman" w:hAnsi="Times New Roman"/>
                <w:sz w:val="24"/>
              </w:rPr>
            </w:pPr>
            <w:r>
              <w:rPr>
                <w:rFonts w:ascii="Times New Roman" w:hAnsi="Times New Roman"/>
                <w:sz w:val="24"/>
              </w:rPr>
              <w:t>投资比例（环保投资/总投资）</w:t>
            </w:r>
          </w:p>
        </w:tc>
        <w:tc>
          <w:tcPr>
            <w:tcW w:w="1377" w:type="dxa"/>
            <w:vAlign w:val="center"/>
          </w:tcPr>
          <w:p w14:paraId="69EE3C80">
            <w:pPr>
              <w:pStyle w:val="14"/>
              <w:adjustRightInd w:val="0"/>
              <w:snapToGrid w:val="0"/>
              <w:jc w:val="center"/>
              <w:rPr>
                <w:rFonts w:ascii="Times New Roman" w:hAnsi="Times New Roman"/>
                <w:sz w:val="24"/>
              </w:rPr>
            </w:pPr>
            <w:r>
              <w:rPr>
                <w:rFonts w:ascii="Times New Roman" w:hAnsi="Times New Roman"/>
                <w:sz w:val="24"/>
              </w:rPr>
              <w:t>10%</w:t>
            </w:r>
          </w:p>
        </w:tc>
      </w:tr>
      <w:tr w14:paraId="10D7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012" w:type="dxa"/>
            <w:gridSpan w:val="2"/>
            <w:vAlign w:val="center"/>
          </w:tcPr>
          <w:p w14:paraId="0E4DA558">
            <w:pPr>
              <w:pStyle w:val="14"/>
              <w:adjustRightInd w:val="0"/>
              <w:snapToGrid w:val="0"/>
              <w:jc w:val="center"/>
              <w:rPr>
                <w:rFonts w:ascii="Times New Roman" w:hAnsi="Times New Roman"/>
                <w:sz w:val="24"/>
              </w:rPr>
            </w:pPr>
            <w:r>
              <w:rPr>
                <w:rFonts w:ascii="Times New Roman" w:hAnsi="Times New Roman"/>
                <w:sz w:val="24"/>
              </w:rPr>
              <w:t>项目性质</w:t>
            </w:r>
          </w:p>
        </w:tc>
        <w:tc>
          <w:tcPr>
            <w:tcW w:w="3995" w:type="dxa"/>
            <w:gridSpan w:val="4"/>
            <w:vAlign w:val="center"/>
          </w:tcPr>
          <w:p w14:paraId="53CCCF59">
            <w:pPr>
              <w:pStyle w:val="14"/>
              <w:adjustRightInd w:val="0"/>
              <w:snapToGrid w:val="0"/>
              <w:jc w:val="center"/>
              <w:rPr>
                <w:rFonts w:ascii="Times New Roman" w:hAnsi="Times New Roman"/>
                <w:sz w:val="24"/>
              </w:rPr>
            </w:pPr>
            <w:r>
              <w:rPr>
                <w:rFonts w:ascii="Times New Roman" w:hAnsi="Times New Roman"/>
                <w:sz w:val="24"/>
              </w:rPr>
              <w:t>■新建□改建□扩建□其它</w:t>
            </w:r>
          </w:p>
        </w:tc>
        <w:tc>
          <w:tcPr>
            <w:tcW w:w="1972" w:type="dxa"/>
            <w:gridSpan w:val="2"/>
            <w:vAlign w:val="center"/>
          </w:tcPr>
          <w:p w14:paraId="733B73E1">
            <w:pPr>
              <w:pStyle w:val="14"/>
              <w:adjustRightInd w:val="0"/>
              <w:snapToGrid w:val="0"/>
              <w:rPr>
                <w:rFonts w:ascii="Times New Roman" w:hAnsi="Times New Roman"/>
                <w:sz w:val="24"/>
              </w:rPr>
            </w:pPr>
            <w:r>
              <w:rPr>
                <w:rFonts w:ascii="Times New Roman" w:hAnsi="Times New Roman"/>
                <w:sz w:val="24"/>
              </w:rPr>
              <w:t>占地面积（m</w:t>
            </w:r>
            <w:r>
              <w:rPr>
                <w:rFonts w:ascii="Times New Roman" w:hAnsi="Times New Roman"/>
                <w:sz w:val="24"/>
                <w:vertAlign w:val="superscript"/>
              </w:rPr>
              <w:t>2</w:t>
            </w:r>
            <w:r>
              <w:rPr>
                <w:rFonts w:ascii="Times New Roman" w:hAnsi="Times New Roman"/>
                <w:sz w:val="24"/>
              </w:rPr>
              <w:t>）</w:t>
            </w:r>
          </w:p>
        </w:tc>
        <w:tc>
          <w:tcPr>
            <w:tcW w:w="1377" w:type="dxa"/>
            <w:vAlign w:val="center"/>
          </w:tcPr>
          <w:p w14:paraId="4AD963D1">
            <w:pPr>
              <w:pStyle w:val="14"/>
              <w:adjustRightInd w:val="0"/>
              <w:snapToGrid w:val="0"/>
              <w:jc w:val="center"/>
              <w:rPr>
                <w:rFonts w:ascii="Times New Roman" w:hAnsi="Times New Roman"/>
                <w:sz w:val="24"/>
              </w:rPr>
            </w:pPr>
            <w:r>
              <w:rPr>
                <w:rFonts w:ascii="Times New Roman" w:hAnsi="Times New Roman"/>
                <w:sz w:val="24"/>
              </w:rPr>
              <w:t>146</w:t>
            </w:r>
          </w:p>
        </w:tc>
      </w:tr>
      <w:tr w14:paraId="6E77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restart"/>
            <w:vAlign w:val="center"/>
          </w:tcPr>
          <w:p w14:paraId="2891488D">
            <w:pPr>
              <w:pStyle w:val="14"/>
              <w:adjustRightInd w:val="0"/>
              <w:snapToGrid w:val="0"/>
              <w:spacing w:line="360" w:lineRule="auto"/>
              <w:jc w:val="center"/>
              <w:rPr>
                <w:rFonts w:ascii="Times New Roman" w:hAnsi="Times New Roman"/>
                <w:sz w:val="24"/>
              </w:rPr>
            </w:pPr>
            <w:r>
              <w:rPr>
                <w:rFonts w:ascii="Times New Roman" w:hAnsi="Times New Roman"/>
                <w:sz w:val="24"/>
              </w:rPr>
              <w:t>应用类型</w:t>
            </w:r>
          </w:p>
        </w:tc>
        <w:tc>
          <w:tcPr>
            <w:tcW w:w="1269" w:type="dxa"/>
            <w:vMerge w:val="restart"/>
            <w:vAlign w:val="center"/>
          </w:tcPr>
          <w:p w14:paraId="6898FECB">
            <w:pPr>
              <w:pStyle w:val="14"/>
              <w:adjustRightInd w:val="0"/>
              <w:snapToGrid w:val="0"/>
              <w:jc w:val="center"/>
              <w:rPr>
                <w:rFonts w:ascii="Times New Roman" w:hAnsi="Times New Roman"/>
                <w:sz w:val="24"/>
              </w:rPr>
            </w:pPr>
            <w:r>
              <w:rPr>
                <w:rFonts w:ascii="Times New Roman" w:hAnsi="Times New Roman"/>
                <w:sz w:val="24"/>
              </w:rPr>
              <w:t>放射源</w:t>
            </w:r>
          </w:p>
        </w:tc>
        <w:tc>
          <w:tcPr>
            <w:tcW w:w="1427" w:type="dxa"/>
            <w:gridSpan w:val="2"/>
            <w:vAlign w:val="center"/>
          </w:tcPr>
          <w:p w14:paraId="5073AD14">
            <w:pPr>
              <w:pStyle w:val="14"/>
              <w:adjustRightInd w:val="0"/>
              <w:snapToGrid w:val="0"/>
              <w:jc w:val="center"/>
              <w:rPr>
                <w:rFonts w:ascii="Times New Roman" w:hAnsi="Times New Roman"/>
                <w:sz w:val="24"/>
              </w:rPr>
            </w:pPr>
            <w:r>
              <w:rPr>
                <w:rFonts w:ascii="Times New Roman" w:hAnsi="Times New Roman"/>
                <w:sz w:val="24"/>
              </w:rPr>
              <w:t>□销售</w:t>
            </w:r>
          </w:p>
        </w:tc>
        <w:tc>
          <w:tcPr>
            <w:tcW w:w="5917" w:type="dxa"/>
            <w:gridSpan w:val="5"/>
            <w:vAlign w:val="center"/>
          </w:tcPr>
          <w:p w14:paraId="00C3B15C">
            <w:pPr>
              <w:pStyle w:val="14"/>
              <w:adjustRightInd w:val="0"/>
              <w:snapToGrid w:val="0"/>
              <w:jc w:val="center"/>
              <w:rPr>
                <w:rFonts w:ascii="Times New Roman" w:hAnsi="Times New Roman"/>
                <w:sz w:val="24"/>
              </w:rPr>
            </w:pPr>
            <w:r>
              <w:rPr>
                <w:rFonts w:ascii="Times New Roman" w:hAnsi="Times New Roman"/>
                <w:sz w:val="24"/>
              </w:rPr>
              <w:t>□Ⅰ类□Ⅱ类□Ⅲ类□Ⅳ类□Ⅴ类</w:t>
            </w:r>
          </w:p>
        </w:tc>
      </w:tr>
      <w:tr w14:paraId="7C11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045E302C">
            <w:pPr>
              <w:pStyle w:val="14"/>
              <w:adjustRightInd w:val="0"/>
              <w:snapToGrid w:val="0"/>
              <w:spacing w:line="360" w:lineRule="auto"/>
              <w:jc w:val="center"/>
              <w:rPr>
                <w:rFonts w:ascii="Times New Roman" w:hAnsi="Times New Roman"/>
                <w:sz w:val="24"/>
              </w:rPr>
            </w:pPr>
          </w:p>
        </w:tc>
        <w:tc>
          <w:tcPr>
            <w:tcW w:w="1269" w:type="dxa"/>
            <w:vMerge w:val="continue"/>
            <w:vAlign w:val="center"/>
          </w:tcPr>
          <w:p w14:paraId="2C6AB7B7">
            <w:pPr>
              <w:pStyle w:val="14"/>
              <w:adjustRightInd w:val="0"/>
              <w:snapToGrid w:val="0"/>
              <w:spacing w:line="360" w:lineRule="auto"/>
              <w:jc w:val="center"/>
              <w:rPr>
                <w:rFonts w:ascii="Times New Roman" w:hAnsi="Times New Roman"/>
                <w:sz w:val="24"/>
              </w:rPr>
            </w:pPr>
          </w:p>
        </w:tc>
        <w:tc>
          <w:tcPr>
            <w:tcW w:w="1427" w:type="dxa"/>
            <w:gridSpan w:val="2"/>
            <w:vAlign w:val="center"/>
          </w:tcPr>
          <w:p w14:paraId="1516B602">
            <w:pPr>
              <w:adjustRightInd w:val="0"/>
              <w:snapToGrid w:val="0"/>
              <w:jc w:val="center"/>
              <w:rPr>
                <w:rFonts w:ascii="Times New Roman" w:hAnsi="Times New Roman"/>
                <w:sz w:val="24"/>
              </w:rPr>
            </w:pPr>
            <w:r>
              <w:rPr>
                <w:rFonts w:ascii="Times New Roman" w:hAnsi="Times New Roman"/>
                <w:sz w:val="24"/>
              </w:rPr>
              <w:t>□使用</w:t>
            </w:r>
          </w:p>
        </w:tc>
        <w:tc>
          <w:tcPr>
            <w:tcW w:w="5917" w:type="dxa"/>
            <w:gridSpan w:val="5"/>
            <w:vAlign w:val="center"/>
          </w:tcPr>
          <w:p w14:paraId="23512BFE">
            <w:pPr>
              <w:pStyle w:val="14"/>
              <w:adjustRightInd w:val="0"/>
              <w:snapToGrid w:val="0"/>
              <w:jc w:val="center"/>
              <w:rPr>
                <w:rFonts w:ascii="Times New Roman" w:hAnsi="Times New Roman"/>
                <w:sz w:val="24"/>
              </w:rPr>
            </w:pPr>
            <w:r>
              <w:rPr>
                <w:rFonts w:ascii="Times New Roman" w:hAnsi="Times New Roman"/>
                <w:sz w:val="24"/>
              </w:rPr>
              <w:t>□Ⅰ类（医疗使用）□Ⅱ类□Ⅲ类□Ⅳ类□Ⅴ类</w:t>
            </w:r>
          </w:p>
        </w:tc>
      </w:tr>
      <w:tr w14:paraId="2283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4339C396">
            <w:pPr>
              <w:pStyle w:val="14"/>
              <w:adjustRightInd w:val="0"/>
              <w:snapToGrid w:val="0"/>
              <w:jc w:val="center"/>
              <w:rPr>
                <w:rFonts w:ascii="Times New Roman" w:hAnsi="Times New Roman"/>
                <w:sz w:val="24"/>
              </w:rPr>
            </w:pPr>
          </w:p>
        </w:tc>
        <w:tc>
          <w:tcPr>
            <w:tcW w:w="1269" w:type="dxa"/>
            <w:vMerge w:val="restart"/>
            <w:vAlign w:val="center"/>
          </w:tcPr>
          <w:p w14:paraId="1A111801">
            <w:pPr>
              <w:pStyle w:val="14"/>
              <w:adjustRightInd w:val="0"/>
              <w:snapToGrid w:val="0"/>
              <w:jc w:val="center"/>
              <w:rPr>
                <w:rFonts w:ascii="Times New Roman" w:hAnsi="Times New Roman"/>
                <w:sz w:val="24"/>
              </w:rPr>
            </w:pPr>
            <w:r>
              <w:rPr>
                <w:rFonts w:ascii="Times New Roman" w:hAnsi="Times New Roman"/>
                <w:sz w:val="24"/>
              </w:rPr>
              <w:t>非密封放射性物质</w:t>
            </w:r>
          </w:p>
        </w:tc>
        <w:tc>
          <w:tcPr>
            <w:tcW w:w="1427" w:type="dxa"/>
            <w:gridSpan w:val="2"/>
            <w:vAlign w:val="center"/>
          </w:tcPr>
          <w:p w14:paraId="1CD28EEB">
            <w:pPr>
              <w:adjustRightInd w:val="0"/>
              <w:snapToGrid w:val="0"/>
              <w:jc w:val="center"/>
              <w:rPr>
                <w:rFonts w:ascii="Times New Roman" w:hAnsi="Times New Roman"/>
                <w:sz w:val="24"/>
              </w:rPr>
            </w:pPr>
            <w:r>
              <w:rPr>
                <w:rFonts w:ascii="Times New Roman" w:hAnsi="Times New Roman"/>
                <w:sz w:val="24"/>
              </w:rPr>
              <w:t>□生产</w:t>
            </w:r>
          </w:p>
        </w:tc>
        <w:tc>
          <w:tcPr>
            <w:tcW w:w="5917" w:type="dxa"/>
            <w:gridSpan w:val="5"/>
            <w:vAlign w:val="center"/>
          </w:tcPr>
          <w:p w14:paraId="54C19BD2">
            <w:pPr>
              <w:pStyle w:val="14"/>
              <w:adjustRightInd w:val="0"/>
              <w:snapToGrid w:val="0"/>
              <w:jc w:val="center"/>
              <w:rPr>
                <w:rFonts w:ascii="Times New Roman" w:hAnsi="Times New Roman"/>
                <w:sz w:val="24"/>
              </w:rPr>
            </w:pPr>
            <w:r>
              <w:rPr>
                <w:rFonts w:ascii="Times New Roman" w:hAnsi="Times New Roman"/>
                <w:sz w:val="24"/>
              </w:rPr>
              <w:t>□制备PET用放射性药物</w:t>
            </w:r>
          </w:p>
        </w:tc>
      </w:tr>
      <w:tr w14:paraId="1D54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2FCED4E5">
            <w:pPr>
              <w:pStyle w:val="14"/>
              <w:adjustRightInd w:val="0"/>
              <w:snapToGrid w:val="0"/>
              <w:jc w:val="center"/>
              <w:rPr>
                <w:rFonts w:ascii="Times New Roman" w:hAnsi="Times New Roman"/>
                <w:sz w:val="24"/>
              </w:rPr>
            </w:pPr>
          </w:p>
        </w:tc>
        <w:tc>
          <w:tcPr>
            <w:tcW w:w="1269" w:type="dxa"/>
            <w:vMerge w:val="continue"/>
            <w:vAlign w:val="center"/>
          </w:tcPr>
          <w:p w14:paraId="2CCA10D6">
            <w:pPr>
              <w:pStyle w:val="14"/>
              <w:adjustRightInd w:val="0"/>
              <w:snapToGrid w:val="0"/>
              <w:jc w:val="center"/>
              <w:rPr>
                <w:rFonts w:ascii="Times New Roman" w:hAnsi="Times New Roman"/>
                <w:sz w:val="24"/>
              </w:rPr>
            </w:pPr>
          </w:p>
        </w:tc>
        <w:tc>
          <w:tcPr>
            <w:tcW w:w="1427" w:type="dxa"/>
            <w:gridSpan w:val="2"/>
            <w:vAlign w:val="center"/>
          </w:tcPr>
          <w:p w14:paraId="5EF4ABB2">
            <w:pPr>
              <w:adjustRightInd w:val="0"/>
              <w:snapToGrid w:val="0"/>
              <w:jc w:val="center"/>
              <w:rPr>
                <w:rFonts w:ascii="Times New Roman" w:hAnsi="Times New Roman"/>
                <w:sz w:val="24"/>
              </w:rPr>
            </w:pPr>
            <w:r>
              <w:rPr>
                <w:rFonts w:ascii="Times New Roman" w:hAnsi="Times New Roman"/>
                <w:sz w:val="24"/>
              </w:rPr>
              <w:t>□销售</w:t>
            </w:r>
          </w:p>
        </w:tc>
        <w:tc>
          <w:tcPr>
            <w:tcW w:w="5917" w:type="dxa"/>
            <w:gridSpan w:val="5"/>
            <w:vAlign w:val="center"/>
          </w:tcPr>
          <w:p w14:paraId="6B6BB037">
            <w:pPr>
              <w:pStyle w:val="14"/>
              <w:adjustRightInd w:val="0"/>
              <w:snapToGrid w:val="0"/>
              <w:jc w:val="center"/>
              <w:rPr>
                <w:rFonts w:ascii="Times New Roman" w:hAnsi="Times New Roman"/>
                <w:sz w:val="24"/>
              </w:rPr>
            </w:pPr>
            <w:r>
              <w:rPr>
                <w:rFonts w:ascii="Times New Roman" w:hAnsi="Times New Roman"/>
                <w:sz w:val="24"/>
              </w:rPr>
              <w:t>/</w:t>
            </w:r>
          </w:p>
        </w:tc>
      </w:tr>
      <w:tr w14:paraId="2F0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401DE299">
            <w:pPr>
              <w:pStyle w:val="14"/>
              <w:adjustRightInd w:val="0"/>
              <w:snapToGrid w:val="0"/>
              <w:jc w:val="center"/>
              <w:rPr>
                <w:rFonts w:ascii="Times New Roman" w:hAnsi="Times New Roman"/>
                <w:sz w:val="24"/>
              </w:rPr>
            </w:pPr>
          </w:p>
        </w:tc>
        <w:tc>
          <w:tcPr>
            <w:tcW w:w="1269" w:type="dxa"/>
            <w:vMerge w:val="continue"/>
            <w:vAlign w:val="center"/>
          </w:tcPr>
          <w:p w14:paraId="558AEBFC">
            <w:pPr>
              <w:pStyle w:val="14"/>
              <w:adjustRightInd w:val="0"/>
              <w:snapToGrid w:val="0"/>
              <w:jc w:val="center"/>
              <w:rPr>
                <w:rFonts w:ascii="Times New Roman" w:hAnsi="Times New Roman"/>
                <w:sz w:val="24"/>
              </w:rPr>
            </w:pPr>
          </w:p>
        </w:tc>
        <w:tc>
          <w:tcPr>
            <w:tcW w:w="1427" w:type="dxa"/>
            <w:gridSpan w:val="2"/>
            <w:vAlign w:val="center"/>
          </w:tcPr>
          <w:p w14:paraId="4D8C0BAC">
            <w:pPr>
              <w:adjustRightInd w:val="0"/>
              <w:snapToGrid w:val="0"/>
              <w:jc w:val="center"/>
              <w:rPr>
                <w:rFonts w:ascii="Times New Roman" w:hAnsi="Times New Roman"/>
                <w:sz w:val="24"/>
              </w:rPr>
            </w:pPr>
            <w:r>
              <w:rPr>
                <w:rFonts w:ascii="Times New Roman" w:hAnsi="Times New Roman"/>
                <w:sz w:val="24"/>
              </w:rPr>
              <w:t>□使用</w:t>
            </w:r>
          </w:p>
        </w:tc>
        <w:tc>
          <w:tcPr>
            <w:tcW w:w="5917" w:type="dxa"/>
            <w:gridSpan w:val="5"/>
            <w:vAlign w:val="center"/>
          </w:tcPr>
          <w:p w14:paraId="10A89942">
            <w:pPr>
              <w:pStyle w:val="14"/>
              <w:adjustRightInd w:val="0"/>
              <w:snapToGrid w:val="0"/>
              <w:jc w:val="center"/>
              <w:rPr>
                <w:rFonts w:ascii="Times New Roman" w:hAnsi="Times New Roman"/>
                <w:sz w:val="24"/>
              </w:rPr>
            </w:pPr>
            <w:r>
              <w:rPr>
                <w:rFonts w:ascii="Times New Roman" w:hAnsi="Times New Roman"/>
                <w:sz w:val="24"/>
              </w:rPr>
              <w:t>□乙 □丙</w:t>
            </w:r>
          </w:p>
        </w:tc>
      </w:tr>
      <w:tr w14:paraId="4805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017F6AE7">
            <w:pPr>
              <w:pStyle w:val="14"/>
              <w:adjustRightInd w:val="0"/>
              <w:snapToGrid w:val="0"/>
              <w:jc w:val="center"/>
              <w:rPr>
                <w:rFonts w:ascii="Times New Roman" w:hAnsi="Times New Roman"/>
                <w:sz w:val="24"/>
              </w:rPr>
            </w:pPr>
          </w:p>
        </w:tc>
        <w:tc>
          <w:tcPr>
            <w:tcW w:w="1269" w:type="dxa"/>
            <w:vMerge w:val="restart"/>
            <w:vAlign w:val="center"/>
          </w:tcPr>
          <w:p w14:paraId="1034CFCD">
            <w:pPr>
              <w:pStyle w:val="14"/>
              <w:adjustRightInd w:val="0"/>
              <w:snapToGrid w:val="0"/>
              <w:jc w:val="center"/>
              <w:rPr>
                <w:rFonts w:ascii="Times New Roman" w:hAnsi="Times New Roman"/>
                <w:sz w:val="24"/>
              </w:rPr>
            </w:pPr>
            <w:r>
              <w:rPr>
                <w:rFonts w:ascii="Times New Roman" w:hAnsi="Times New Roman"/>
                <w:sz w:val="24"/>
              </w:rPr>
              <w:t>射线装置</w:t>
            </w:r>
          </w:p>
        </w:tc>
        <w:tc>
          <w:tcPr>
            <w:tcW w:w="1427" w:type="dxa"/>
            <w:gridSpan w:val="2"/>
            <w:vAlign w:val="center"/>
          </w:tcPr>
          <w:p w14:paraId="5514A192">
            <w:pPr>
              <w:adjustRightInd w:val="0"/>
              <w:snapToGrid w:val="0"/>
              <w:jc w:val="center"/>
              <w:rPr>
                <w:rFonts w:ascii="Times New Roman" w:hAnsi="Times New Roman"/>
                <w:sz w:val="24"/>
              </w:rPr>
            </w:pPr>
            <w:r>
              <w:rPr>
                <w:rFonts w:ascii="Times New Roman" w:hAnsi="Times New Roman"/>
                <w:sz w:val="24"/>
              </w:rPr>
              <w:t>□生产</w:t>
            </w:r>
          </w:p>
        </w:tc>
        <w:tc>
          <w:tcPr>
            <w:tcW w:w="5917" w:type="dxa"/>
            <w:gridSpan w:val="5"/>
            <w:vAlign w:val="center"/>
          </w:tcPr>
          <w:p w14:paraId="138748ED">
            <w:pPr>
              <w:pStyle w:val="14"/>
              <w:adjustRightInd w:val="0"/>
              <w:snapToGrid w:val="0"/>
              <w:jc w:val="center"/>
              <w:rPr>
                <w:rFonts w:ascii="Times New Roman" w:hAnsi="Times New Roman"/>
                <w:sz w:val="24"/>
              </w:rPr>
            </w:pPr>
            <w:r>
              <w:rPr>
                <w:rFonts w:ascii="Times New Roman" w:hAnsi="Times New Roman"/>
                <w:sz w:val="24"/>
              </w:rPr>
              <w:t>□Ⅱ类□Ⅲ类</w:t>
            </w:r>
          </w:p>
        </w:tc>
      </w:tr>
      <w:tr w14:paraId="4A77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14B41399">
            <w:pPr>
              <w:pStyle w:val="14"/>
              <w:adjustRightInd w:val="0"/>
              <w:snapToGrid w:val="0"/>
              <w:jc w:val="center"/>
              <w:rPr>
                <w:rFonts w:ascii="Times New Roman" w:hAnsi="Times New Roman"/>
                <w:sz w:val="24"/>
              </w:rPr>
            </w:pPr>
          </w:p>
        </w:tc>
        <w:tc>
          <w:tcPr>
            <w:tcW w:w="1269" w:type="dxa"/>
            <w:vMerge w:val="continue"/>
            <w:vAlign w:val="center"/>
          </w:tcPr>
          <w:p w14:paraId="5B609611">
            <w:pPr>
              <w:pStyle w:val="14"/>
              <w:adjustRightInd w:val="0"/>
              <w:snapToGrid w:val="0"/>
              <w:jc w:val="center"/>
              <w:rPr>
                <w:rFonts w:ascii="Times New Roman" w:hAnsi="Times New Roman"/>
                <w:sz w:val="24"/>
              </w:rPr>
            </w:pPr>
          </w:p>
        </w:tc>
        <w:tc>
          <w:tcPr>
            <w:tcW w:w="1427" w:type="dxa"/>
            <w:gridSpan w:val="2"/>
            <w:vAlign w:val="center"/>
          </w:tcPr>
          <w:p w14:paraId="236A00F0">
            <w:pPr>
              <w:adjustRightInd w:val="0"/>
              <w:snapToGrid w:val="0"/>
              <w:jc w:val="center"/>
              <w:rPr>
                <w:rFonts w:ascii="Times New Roman" w:hAnsi="Times New Roman"/>
                <w:sz w:val="24"/>
              </w:rPr>
            </w:pPr>
            <w:r>
              <w:rPr>
                <w:rFonts w:ascii="Times New Roman" w:hAnsi="Times New Roman"/>
                <w:sz w:val="24"/>
              </w:rPr>
              <w:t>□销售</w:t>
            </w:r>
          </w:p>
        </w:tc>
        <w:tc>
          <w:tcPr>
            <w:tcW w:w="5917" w:type="dxa"/>
            <w:gridSpan w:val="5"/>
            <w:vAlign w:val="center"/>
          </w:tcPr>
          <w:p w14:paraId="34B2CD35">
            <w:pPr>
              <w:pStyle w:val="14"/>
              <w:adjustRightInd w:val="0"/>
              <w:snapToGrid w:val="0"/>
              <w:jc w:val="center"/>
              <w:rPr>
                <w:rFonts w:ascii="Times New Roman" w:hAnsi="Times New Roman"/>
                <w:sz w:val="24"/>
              </w:rPr>
            </w:pPr>
            <w:r>
              <w:rPr>
                <w:rFonts w:ascii="Times New Roman" w:hAnsi="Times New Roman"/>
                <w:sz w:val="24"/>
              </w:rPr>
              <w:t>□Ⅱ类□Ⅲ类</w:t>
            </w:r>
          </w:p>
        </w:tc>
      </w:tr>
      <w:tr w14:paraId="429F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3" w:type="dxa"/>
            <w:vMerge w:val="continue"/>
            <w:vAlign w:val="center"/>
          </w:tcPr>
          <w:p w14:paraId="59BEBDF2">
            <w:pPr>
              <w:pStyle w:val="14"/>
              <w:adjustRightInd w:val="0"/>
              <w:snapToGrid w:val="0"/>
              <w:jc w:val="center"/>
              <w:rPr>
                <w:rFonts w:ascii="Times New Roman" w:hAnsi="Times New Roman"/>
                <w:sz w:val="24"/>
              </w:rPr>
            </w:pPr>
          </w:p>
        </w:tc>
        <w:tc>
          <w:tcPr>
            <w:tcW w:w="1269" w:type="dxa"/>
            <w:vMerge w:val="continue"/>
            <w:vAlign w:val="center"/>
          </w:tcPr>
          <w:p w14:paraId="0589CE66">
            <w:pPr>
              <w:pStyle w:val="14"/>
              <w:adjustRightInd w:val="0"/>
              <w:snapToGrid w:val="0"/>
              <w:jc w:val="center"/>
              <w:rPr>
                <w:rFonts w:ascii="Times New Roman" w:hAnsi="Times New Roman"/>
                <w:sz w:val="24"/>
              </w:rPr>
            </w:pPr>
          </w:p>
        </w:tc>
        <w:tc>
          <w:tcPr>
            <w:tcW w:w="1427" w:type="dxa"/>
            <w:gridSpan w:val="2"/>
            <w:vAlign w:val="center"/>
          </w:tcPr>
          <w:p w14:paraId="12BFDE99">
            <w:pPr>
              <w:adjustRightInd w:val="0"/>
              <w:snapToGrid w:val="0"/>
              <w:jc w:val="center"/>
              <w:rPr>
                <w:rFonts w:ascii="Times New Roman" w:hAnsi="Times New Roman"/>
                <w:sz w:val="24"/>
              </w:rPr>
            </w:pPr>
            <w:r>
              <w:rPr>
                <w:rFonts w:ascii="Times New Roman" w:hAnsi="Times New Roman"/>
                <w:sz w:val="24"/>
              </w:rPr>
              <w:t>■使用</w:t>
            </w:r>
          </w:p>
        </w:tc>
        <w:tc>
          <w:tcPr>
            <w:tcW w:w="5917" w:type="dxa"/>
            <w:gridSpan w:val="5"/>
            <w:vAlign w:val="center"/>
          </w:tcPr>
          <w:p w14:paraId="65CB4841">
            <w:pPr>
              <w:pStyle w:val="14"/>
              <w:adjustRightInd w:val="0"/>
              <w:snapToGrid w:val="0"/>
              <w:jc w:val="center"/>
              <w:rPr>
                <w:rFonts w:ascii="Times New Roman" w:hAnsi="Times New Roman"/>
                <w:sz w:val="24"/>
              </w:rPr>
            </w:pPr>
            <w:r>
              <w:rPr>
                <w:rFonts w:ascii="Times New Roman" w:hAnsi="Times New Roman"/>
                <w:sz w:val="24"/>
              </w:rPr>
              <w:t>■Ⅱ类□Ⅲ类</w:t>
            </w:r>
          </w:p>
        </w:tc>
      </w:tr>
      <w:tr w14:paraId="5680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Merge w:val="continue"/>
            <w:vAlign w:val="center"/>
          </w:tcPr>
          <w:p w14:paraId="097D08E8">
            <w:pPr>
              <w:pStyle w:val="14"/>
              <w:adjustRightInd w:val="0"/>
              <w:snapToGrid w:val="0"/>
              <w:jc w:val="center"/>
              <w:rPr>
                <w:rFonts w:ascii="Times New Roman" w:hAnsi="Times New Roman"/>
                <w:sz w:val="24"/>
              </w:rPr>
            </w:pPr>
          </w:p>
        </w:tc>
        <w:tc>
          <w:tcPr>
            <w:tcW w:w="1269" w:type="dxa"/>
            <w:vAlign w:val="center"/>
          </w:tcPr>
          <w:p w14:paraId="1CCB5A24">
            <w:pPr>
              <w:pStyle w:val="14"/>
              <w:adjustRightInd w:val="0"/>
              <w:snapToGrid w:val="0"/>
              <w:jc w:val="center"/>
              <w:rPr>
                <w:rFonts w:ascii="Times New Roman" w:hAnsi="Times New Roman"/>
                <w:sz w:val="24"/>
              </w:rPr>
            </w:pPr>
            <w:r>
              <w:rPr>
                <w:rFonts w:ascii="Times New Roman" w:hAnsi="Times New Roman"/>
                <w:sz w:val="24"/>
              </w:rPr>
              <w:t>其他</w:t>
            </w:r>
          </w:p>
        </w:tc>
        <w:tc>
          <w:tcPr>
            <w:tcW w:w="7344" w:type="dxa"/>
            <w:gridSpan w:val="7"/>
            <w:vAlign w:val="center"/>
          </w:tcPr>
          <w:p w14:paraId="0451F066">
            <w:pPr>
              <w:pStyle w:val="14"/>
              <w:adjustRightInd w:val="0"/>
              <w:snapToGrid w:val="0"/>
              <w:jc w:val="center"/>
              <w:rPr>
                <w:rFonts w:ascii="Times New Roman" w:hAnsi="Times New Roman"/>
                <w:sz w:val="24"/>
              </w:rPr>
            </w:pPr>
            <w:r>
              <w:rPr>
                <w:rFonts w:ascii="Times New Roman" w:hAnsi="Times New Roman"/>
                <w:sz w:val="24"/>
              </w:rPr>
              <w:t>/</w:t>
            </w:r>
          </w:p>
        </w:tc>
      </w:tr>
      <w:tr w14:paraId="0EB9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6" w:type="dxa"/>
            <w:gridSpan w:val="9"/>
            <w:vAlign w:val="center"/>
          </w:tcPr>
          <w:p w14:paraId="0E057169">
            <w:pPr>
              <w:adjustRightInd w:val="0"/>
              <w:snapToGrid w:val="0"/>
              <w:spacing w:before="156" w:beforeLines="50" w:line="360" w:lineRule="auto"/>
              <w:ind w:firstLine="482" w:firstLineChars="200"/>
              <w:rPr>
                <w:rFonts w:ascii="Times New Roman" w:hAnsi="Times New Roman"/>
                <w:b/>
                <w:sz w:val="24"/>
              </w:rPr>
            </w:pPr>
            <w:bookmarkStart w:id="3" w:name="_Toc436229741"/>
            <w:r>
              <w:rPr>
                <w:rFonts w:ascii="Times New Roman" w:hAnsi="Times New Roman"/>
                <w:b/>
                <w:sz w:val="24"/>
              </w:rPr>
              <w:t>1、建设单位概况</w:t>
            </w:r>
          </w:p>
          <w:p w14:paraId="01DC79A1">
            <w:pPr>
              <w:adjustRightInd w:val="0"/>
              <w:snapToGrid w:val="0"/>
              <w:spacing w:line="360" w:lineRule="auto"/>
              <w:ind w:firstLine="480" w:firstLineChars="200"/>
              <w:rPr>
                <w:rFonts w:ascii="Times New Roman" w:hAnsi="Times New Roman"/>
                <w:sz w:val="24"/>
              </w:rPr>
            </w:pPr>
            <w:bookmarkStart w:id="4" w:name="OLE_LINK22"/>
            <w:bookmarkStart w:id="5" w:name="OLE_LINK23"/>
            <w:r>
              <w:rPr>
                <w:rFonts w:ascii="Times New Roman" w:hAnsi="Times New Roman"/>
                <w:sz w:val="24"/>
              </w:rPr>
              <w:t>承德中天建设工程检测试验有限公司</w:t>
            </w:r>
            <w:bookmarkEnd w:id="4"/>
            <w:bookmarkEnd w:id="5"/>
            <w:r>
              <w:rPr>
                <w:rFonts w:ascii="Times New Roman" w:hAnsi="Times New Roman"/>
                <w:sz w:val="24"/>
              </w:rPr>
              <w:t>成立于2005年05月23日，注册地位于承德双桥区桥东北山碧麓嘉园小区5-1号楼101-301号。经营范围包括许可项目：检验检测服务；安全评价业务；司法鉴定服务；建设工程质量检测；水利工程质量检测；特种设备检验检测；雷电防护装置检测；测绘服务；室内环境检测；建设工程设计；建设工程勘察；地质灾害治理工程勘查；特种设备安装改造修理；地质灾害危险性评估。（依法须经批准的项目，经相关部门批准后方可开展经营活动，具体经营项目以相关部门批准文件或许可证件为准）一般项目：计量技术服务；消防技术服务；环保咨询服务；网络技术服务；信息技术咨询服务；人力资源服务（不含职业中介活动、劳务派遣服务）；技术服务、技术开发、技术咨询、技术交流、技术转让、技术推广；公路水运工程试验检测服务；环境保护监测；工程和技术研究和试验发展；规划设计管理；土地调查评估服务；财政资金项目预算绩效评价服务；地质勘查技术服务；运行效能评估服务；工程管理服务；知识产权服务（专利代理服务除外）；建设工程消防验收现场评定技术服务；资产评估；企业信用调查和评估；工程造价咨询业务。</w:t>
            </w:r>
          </w:p>
          <w:p w14:paraId="2D931E8C">
            <w:pPr>
              <w:pStyle w:val="2"/>
              <w:spacing w:after="0" w:line="360" w:lineRule="auto"/>
              <w:ind w:left="0" w:leftChars="0" w:firstLine="480"/>
              <w:rPr>
                <w:sz w:val="24"/>
              </w:rPr>
            </w:pPr>
            <w:bookmarkStart w:id="6" w:name="OLE_LINK27"/>
            <w:bookmarkStart w:id="7" w:name="OLE_LINK26"/>
            <w:r>
              <w:rPr>
                <w:sz w:val="24"/>
              </w:rPr>
              <w:t>2021年6月，公司取得了承德市生态环境局双滦区分局关于《承德中天建设工程检测试验有限公司改建实验室项目环境影响报告表》的批复，批复文号：承双滦环审[2021]18号，详见附件。</w:t>
            </w:r>
            <w:bookmarkEnd w:id="6"/>
            <w:bookmarkEnd w:id="7"/>
          </w:p>
          <w:p w14:paraId="760CF168">
            <w:pPr>
              <w:pStyle w:val="2"/>
              <w:spacing w:after="0" w:line="360" w:lineRule="auto"/>
              <w:ind w:left="0" w:leftChars="0" w:firstLine="480"/>
              <w:rPr>
                <w:sz w:val="24"/>
              </w:rPr>
            </w:pPr>
            <w:r>
              <w:rPr>
                <w:sz w:val="24"/>
              </w:rPr>
              <w:t>2021年7月，公司取得了承德中天建设工程检测试验有限公司改建实验室项目</w:t>
            </w:r>
            <w:bookmarkStart w:id="8" w:name="OLE_LINK29"/>
            <w:bookmarkStart w:id="9" w:name="OLE_LINK28"/>
            <w:r>
              <w:rPr>
                <w:sz w:val="24"/>
              </w:rPr>
              <w:t>环境保护设施竣工验收意见</w:t>
            </w:r>
            <w:bookmarkEnd w:id="8"/>
            <w:bookmarkEnd w:id="9"/>
            <w:r>
              <w:rPr>
                <w:sz w:val="24"/>
              </w:rPr>
              <w:t>，详见附件。</w:t>
            </w:r>
          </w:p>
          <w:p w14:paraId="2044A4FF">
            <w:pPr>
              <w:pStyle w:val="2"/>
              <w:spacing w:after="0" w:line="360" w:lineRule="auto"/>
              <w:ind w:left="0" w:leftChars="0" w:firstLine="480"/>
              <w:rPr>
                <w:sz w:val="24"/>
              </w:rPr>
            </w:pPr>
            <w:r>
              <w:rPr>
                <w:sz w:val="24"/>
              </w:rPr>
              <w:t>2021年9月，公司获得了河北省市场监督管理局批准的检验检测机构资质认定，涉及超声探伤、射线探伤、透析探伤、磁粉探伤等多个检测领域，详见附件。</w:t>
            </w:r>
          </w:p>
          <w:p w14:paraId="2B519FE7">
            <w:pPr>
              <w:pStyle w:val="2"/>
              <w:spacing w:after="0" w:line="360" w:lineRule="auto"/>
              <w:ind w:left="0" w:leftChars="0" w:firstLine="480"/>
              <w:rPr>
                <w:sz w:val="24"/>
              </w:rPr>
            </w:pPr>
            <w:r>
              <w:rPr>
                <w:sz w:val="24"/>
              </w:rPr>
              <w:t>2024年12月11日，公司与</w:t>
            </w:r>
            <w:bookmarkStart w:id="10" w:name="OLE_LINK14"/>
            <w:bookmarkStart w:id="11" w:name="OLE_LINK13"/>
            <w:bookmarkStart w:id="12" w:name="OLE_LINK16"/>
            <w:bookmarkStart w:id="13" w:name="OLE_LINK15"/>
            <w:r>
              <w:rPr>
                <w:sz w:val="24"/>
              </w:rPr>
              <w:t>承德双然环保科技有限公司</w:t>
            </w:r>
            <w:bookmarkEnd w:id="10"/>
            <w:bookmarkEnd w:id="11"/>
            <w:bookmarkEnd w:id="12"/>
            <w:bookmarkEnd w:id="13"/>
            <w:r>
              <w:rPr>
                <w:sz w:val="24"/>
              </w:rPr>
              <w:t>签订了危险废物收集转运技术服务合同，并于2025年1月16日签订了关于本项目新增危废的补充协议书，危废经承德双然环保科技有限公司收集后交由有危废处理资质的</w:t>
            </w:r>
            <w:r>
              <w:rPr>
                <w:rFonts w:hint="eastAsia"/>
                <w:sz w:val="24"/>
              </w:rPr>
              <w:t>万德斯(唐山曹妃甸)环保科技有限公司处置，</w:t>
            </w:r>
            <w:r>
              <w:rPr>
                <w:sz w:val="24"/>
              </w:rPr>
              <w:t>详见附件。</w:t>
            </w:r>
          </w:p>
          <w:p w14:paraId="0232B69C">
            <w:pPr>
              <w:adjustRightInd w:val="0"/>
              <w:snapToGrid w:val="0"/>
              <w:spacing w:line="360" w:lineRule="auto"/>
              <w:ind w:firstLine="482" w:firstLineChars="200"/>
              <w:rPr>
                <w:rFonts w:ascii="Times New Roman" w:hAnsi="Times New Roman"/>
                <w:b/>
                <w:sz w:val="24"/>
              </w:rPr>
            </w:pPr>
            <w:r>
              <w:rPr>
                <w:rFonts w:ascii="Times New Roman" w:hAnsi="Times New Roman"/>
                <w:b/>
                <w:sz w:val="24"/>
              </w:rPr>
              <w:t>2、项目由来</w:t>
            </w:r>
          </w:p>
          <w:p w14:paraId="6E943D16">
            <w:pPr>
              <w:adjustRightInd w:val="0"/>
              <w:snapToGrid w:val="0"/>
              <w:spacing w:line="360" w:lineRule="auto"/>
              <w:ind w:firstLine="480" w:firstLineChars="200"/>
              <w:rPr>
                <w:rFonts w:ascii="Times New Roman" w:hAnsi="Times New Roman"/>
                <w:sz w:val="24"/>
              </w:rPr>
            </w:pPr>
            <w:r>
              <w:rPr>
                <w:rFonts w:ascii="Times New Roman" w:hAnsi="Times New Roman"/>
                <w:sz w:val="24"/>
              </w:rPr>
              <w:t>建设单位主要从事建设工程质量检测、检验检测服务等，因发展需求，将承接外部委托施工安装现场的桥梁、钢箱梁结构、钢板对接焊缝探伤检测及对承压类压力管道等进行检验检测。由于探伤作业委托单位的不同，探伤作业地点不固定，均为野外施工现场或其他企业的厂区内，探伤工件已固定安装或在用，不具备移动至曝光室内检测的条件，为了保证检验检测工作的质量安全，建设单位准备开展X射线野外(室外)探伤这项业务。本项目</w:t>
            </w:r>
            <w:bookmarkStart w:id="14" w:name="OLE_LINK11"/>
            <w:bookmarkStart w:id="15" w:name="OLE_LINK12"/>
            <w:r>
              <w:rPr>
                <w:rFonts w:ascii="Times New Roman" w:hAnsi="Times New Roman"/>
                <w:sz w:val="24"/>
              </w:rPr>
              <w:t>购置</w:t>
            </w:r>
            <w:bookmarkEnd w:id="14"/>
            <w:bookmarkEnd w:id="15"/>
            <w:r>
              <w:rPr>
                <w:rFonts w:ascii="Times New Roman" w:hAnsi="Times New Roman"/>
                <w:sz w:val="24"/>
              </w:rPr>
              <w:t>1台XT1605D型定向X射线探伤机(额定最大管电压160kV，额定最大管电流5mA)、1台XXH2005C型周向X射线探伤机(额定最大管电压200kV，额定最大管电流5mA)、1台XT2505C型周向X射线探伤机(额定最大管电压250kV，额定最大管电流5mA)、1台XT2505D型定向X射线探伤机(额定最大管电压250kV，额定最大管电流5mA)和1台XT3005D型定向X射线探伤机(额定最大管电压300kV，额定最大管电流5mA)，均属于Ⅱ类射线装置。根据《中华人民共和国环境保护法》、《中华人民共和国环境影响评价法》《中华人民共和国放射性污染防治法》、《放射性同位素和射线装置安全和防护条例》和《放射性同位素与射线装置安全和防护管理办法》的规定和要求，本项目涉及使用Ⅱ类射线装置，需进行环境影响评价。根据《建设项目环境影响评价分类管理名录(2021年版)》(生态环境部 部令第16号，2021年1月1日起施行)，本项目属于“第五十五项-172条核技术利用建设项目-使用Ⅱ类射线装置”，应编制环境影响报告表，因此，承德中天建设工程检测试验有限公司委托河北江沅环保科技有限公司对该项目开展环境影响评价工作，河北江沅环保科技有限公司接受委托后，通过现场勘察、收集资料等工作，结合本项目的特点，按照国家有关技术规范要求，编制完成了本项目环境影响报告表。</w:t>
            </w:r>
          </w:p>
          <w:p w14:paraId="78D71451">
            <w:pPr>
              <w:adjustRightInd w:val="0"/>
              <w:snapToGrid w:val="0"/>
              <w:spacing w:line="360" w:lineRule="auto"/>
              <w:ind w:firstLine="482" w:firstLineChars="200"/>
              <w:rPr>
                <w:rFonts w:ascii="Times New Roman" w:hAnsi="Times New Roman"/>
                <w:b/>
                <w:sz w:val="24"/>
              </w:rPr>
            </w:pPr>
            <w:r>
              <w:rPr>
                <w:rFonts w:ascii="Times New Roman" w:hAnsi="Times New Roman"/>
                <w:b/>
                <w:sz w:val="24"/>
              </w:rPr>
              <w:t>3、原有核技术利用情况</w:t>
            </w:r>
          </w:p>
          <w:p w14:paraId="6E336B13">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本次项目为建设单位首次申领辐射安全许可证开展的环境影响评价，该公司暂未开展任何核技术利用情况。因此，建设单位无原有核技术利用情况。</w:t>
            </w:r>
          </w:p>
          <w:bookmarkEnd w:id="3"/>
          <w:p w14:paraId="7CA68FA7">
            <w:pPr>
              <w:adjustRightInd w:val="0"/>
              <w:snapToGrid w:val="0"/>
              <w:spacing w:line="360" w:lineRule="auto"/>
              <w:ind w:firstLine="482" w:firstLineChars="200"/>
              <w:rPr>
                <w:rFonts w:ascii="Times New Roman" w:hAnsi="Times New Roman"/>
                <w:b/>
                <w:sz w:val="28"/>
                <w:szCs w:val="28"/>
              </w:rPr>
            </w:pPr>
            <w:r>
              <w:rPr>
                <w:rFonts w:ascii="Times New Roman" w:hAnsi="Times New Roman"/>
                <w:b/>
                <w:sz w:val="24"/>
              </w:rPr>
              <w:t>4、建设内容与规模</w:t>
            </w:r>
          </w:p>
          <w:p w14:paraId="1CE1FCDF">
            <w:pPr>
              <w:adjustRightInd w:val="0"/>
              <w:snapToGrid w:val="0"/>
              <w:spacing w:line="360" w:lineRule="auto"/>
              <w:ind w:firstLine="480" w:firstLineChars="200"/>
              <w:rPr>
                <w:rFonts w:ascii="Times New Roman" w:hAnsi="Times New Roman"/>
                <w:sz w:val="24"/>
              </w:rPr>
            </w:pPr>
            <w:r>
              <w:rPr>
                <w:rFonts w:ascii="Times New Roman" w:hAnsi="Times New Roman"/>
                <w:sz w:val="24"/>
              </w:rPr>
              <w:t>（1）建设地点</w:t>
            </w:r>
          </w:p>
          <w:p w14:paraId="24AEAC96">
            <w:pPr>
              <w:adjustRightInd w:val="0"/>
              <w:snapToGrid w:val="0"/>
              <w:spacing w:line="360" w:lineRule="auto"/>
              <w:ind w:firstLine="480" w:firstLineChars="200"/>
              <w:rPr>
                <w:rFonts w:ascii="Times New Roman" w:hAnsi="Times New Roman"/>
                <w:sz w:val="24"/>
              </w:rPr>
            </w:pPr>
            <w:r>
              <w:rPr>
                <w:rFonts w:ascii="Times New Roman" w:hAnsi="Times New Roman"/>
                <w:sz w:val="24"/>
              </w:rPr>
              <w:t>项目名称：承德中天建设工程检测试验有限公司新建X射线野外（室外）探伤项目</w:t>
            </w:r>
          </w:p>
          <w:p w14:paraId="5C1FCB76">
            <w:pPr>
              <w:adjustRightInd w:val="0"/>
              <w:snapToGrid w:val="0"/>
              <w:spacing w:line="360" w:lineRule="auto"/>
              <w:ind w:firstLine="480" w:firstLineChars="200"/>
              <w:rPr>
                <w:rFonts w:ascii="Times New Roman" w:hAnsi="Times New Roman"/>
                <w:sz w:val="24"/>
              </w:rPr>
            </w:pPr>
            <w:r>
              <w:rPr>
                <w:rFonts w:ascii="Times New Roman" w:hAnsi="Times New Roman"/>
                <w:sz w:val="24"/>
              </w:rPr>
              <w:t>建设单位：</w:t>
            </w:r>
            <w:bookmarkStart w:id="16" w:name="OLE_LINK32"/>
            <w:r>
              <w:rPr>
                <w:rFonts w:ascii="Times New Roman" w:hAnsi="Times New Roman"/>
                <w:sz w:val="24"/>
              </w:rPr>
              <w:t>承德中天建设工程检测试验有限公司</w:t>
            </w:r>
            <w:bookmarkEnd w:id="16"/>
          </w:p>
          <w:p w14:paraId="4ACD46F5">
            <w:pPr>
              <w:adjustRightInd w:val="0"/>
              <w:snapToGrid w:val="0"/>
              <w:spacing w:line="360" w:lineRule="auto"/>
              <w:ind w:firstLine="480" w:firstLineChars="200"/>
              <w:rPr>
                <w:rFonts w:ascii="Times New Roman" w:hAnsi="Times New Roman"/>
                <w:sz w:val="24"/>
              </w:rPr>
            </w:pPr>
            <w:r>
              <w:rPr>
                <w:rFonts w:ascii="Times New Roman" w:hAnsi="Times New Roman"/>
                <w:sz w:val="24"/>
              </w:rPr>
              <w:t>建设性质：新建</w:t>
            </w:r>
          </w:p>
          <w:p w14:paraId="4027FDB8">
            <w:pPr>
              <w:adjustRightInd w:val="0"/>
              <w:snapToGrid w:val="0"/>
              <w:spacing w:line="360" w:lineRule="auto"/>
              <w:ind w:firstLine="480" w:firstLineChars="200"/>
              <w:rPr>
                <w:rFonts w:ascii="Times New Roman" w:hAnsi="Times New Roman"/>
                <w:sz w:val="24"/>
              </w:rPr>
            </w:pPr>
            <w:r>
              <w:rPr>
                <w:rFonts w:ascii="Times New Roman" w:hAnsi="Times New Roman"/>
                <w:sz w:val="24"/>
              </w:rPr>
              <w:t>建设地点：</w:t>
            </w:r>
            <w:r>
              <w:rPr>
                <w:rFonts w:hint="eastAsia" w:ascii="Times New Roman" w:hAnsi="Times New Roman"/>
                <w:bCs/>
                <w:sz w:val="24"/>
              </w:rPr>
              <w:t>项目</w:t>
            </w:r>
            <w:r>
              <w:rPr>
                <w:rFonts w:ascii="Times New Roman" w:hAnsi="Times New Roman"/>
                <w:bCs/>
                <w:sz w:val="24"/>
              </w:rPr>
              <w:t>位于承德中天建设工程检测试验有限公司现有厂区内；探伤地点不固定，全国范围野外（室外）</w:t>
            </w:r>
            <w:r>
              <w:rPr>
                <w:rFonts w:ascii="Times New Roman" w:hAnsi="Times New Roman"/>
                <w:sz w:val="24"/>
              </w:rPr>
              <w:t>。</w:t>
            </w:r>
          </w:p>
          <w:p w14:paraId="593D5814">
            <w:pPr>
              <w:adjustRightInd w:val="0"/>
              <w:snapToGrid w:val="0"/>
              <w:spacing w:line="360" w:lineRule="auto"/>
              <w:ind w:firstLine="480" w:firstLineChars="200"/>
              <w:rPr>
                <w:rFonts w:ascii="Times New Roman" w:hAnsi="Times New Roman"/>
                <w:sz w:val="24"/>
              </w:rPr>
            </w:pPr>
            <w:r>
              <w:rPr>
                <w:rFonts w:ascii="Times New Roman" w:hAnsi="Times New Roman"/>
                <w:sz w:val="24"/>
              </w:rPr>
              <w:t>（2）建设内容</w:t>
            </w:r>
          </w:p>
          <w:p w14:paraId="2168E81C">
            <w:pPr>
              <w:adjustRightInd w:val="0"/>
              <w:snapToGrid w:val="0"/>
              <w:spacing w:line="360" w:lineRule="auto"/>
              <w:ind w:firstLine="480" w:firstLineChars="200"/>
              <w:rPr>
                <w:rFonts w:ascii="Times New Roman" w:hAnsi="Times New Roman"/>
                <w:sz w:val="24"/>
              </w:rPr>
            </w:pPr>
            <w:r>
              <w:rPr>
                <w:rFonts w:ascii="Times New Roman" w:hAnsi="Times New Roman"/>
                <w:sz w:val="24"/>
              </w:rPr>
              <w:t>建设单位购置1台XT1605D型定向X射线探伤机、1台XXH2005C型周向X射线探伤机、1台XT2505C型周向X射线探伤机、1台XT2505D型定向X射线探伤机和1台XT3005D型定向X射线探伤机，进行野外（室外）探伤作业，均属Ⅱ类射线装置。未进行野外（室外）探伤作业时，探伤机存放在公司一层设备室内。本项目探伤机仅进行野外（室外）探伤作业使用，不涉及室内探伤，在实施探伤过程中，</w:t>
            </w:r>
            <w:r>
              <w:rPr>
                <w:rFonts w:hint="eastAsia" w:ascii="Times New Roman" w:hAnsi="Times New Roman"/>
                <w:sz w:val="24"/>
              </w:rPr>
              <w:t>不存在同一地点两台及以上探伤机同时探伤或同一时间不同地点两台及以上探伤机同时探伤的情况</w:t>
            </w:r>
            <w:r>
              <w:rPr>
                <w:rFonts w:ascii="Times New Roman" w:hAnsi="Times New Roman"/>
                <w:sz w:val="24"/>
              </w:rPr>
              <w:t>。其中XT1605D型X射线探伤机年探伤次数约2000次；XXH2005C型X射线探伤机年探伤次数约2000次；XT2505C型探伤机年探伤次数约2000次，XT2505D型探伤机年探伤次数约2000次；XT3005D型X射线探伤机年探伤次数约1000次，每次最大曝光时间均为5min，该5台探伤机年野外（室外）探伤曝光时间总计最大约750h。</w:t>
            </w:r>
          </w:p>
          <w:p w14:paraId="59B23447">
            <w:pPr>
              <w:pStyle w:val="2"/>
              <w:spacing w:after="0" w:line="360" w:lineRule="auto"/>
              <w:ind w:left="0" w:leftChars="0" w:firstLine="480"/>
              <w:rPr>
                <w:sz w:val="24"/>
              </w:rPr>
            </w:pPr>
            <w:r>
              <w:rPr>
                <w:sz w:val="24"/>
              </w:rPr>
              <w:t>本项目建设内容见表1-1。</w:t>
            </w:r>
          </w:p>
          <w:p w14:paraId="6C735346">
            <w:pPr>
              <w:adjustRightInd w:val="0"/>
              <w:snapToGrid w:val="0"/>
              <w:jc w:val="center"/>
              <w:rPr>
                <w:rFonts w:ascii="Times New Roman" w:hAnsi="Times New Roman"/>
                <w:b/>
                <w:szCs w:val="21"/>
              </w:rPr>
            </w:pPr>
            <w:r>
              <w:rPr>
                <w:rFonts w:ascii="Times New Roman" w:hAnsi="Times New Roman"/>
                <w:b/>
                <w:szCs w:val="21"/>
                <w:lang w:bidi="ar"/>
              </w:rPr>
              <w:t>表1-1 建设内容一览表</w:t>
            </w:r>
          </w:p>
          <w:tbl>
            <w:tblPr>
              <w:tblStyle w:val="36"/>
              <w:tblW w:w="9109" w:type="dxa"/>
              <w:jc w:val="center"/>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573"/>
              <w:gridCol w:w="7110"/>
            </w:tblGrid>
            <w:tr w14:paraId="5BA79D82">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426" w:type="dxa"/>
                  <w:tcBorders>
                    <w:top w:val="single" w:color="auto" w:sz="12" w:space="0"/>
                    <w:left w:val="single" w:color="auto" w:sz="12" w:space="0"/>
                    <w:bottom w:val="single" w:color="auto" w:sz="8" w:space="0"/>
                    <w:right w:val="single" w:color="auto" w:sz="8" w:space="0"/>
                  </w:tcBorders>
                  <w:shd w:val="clear" w:color="auto" w:fill="auto"/>
                  <w:vAlign w:val="center"/>
                </w:tcPr>
                <w:p w14:paraId="1F4EA89B">
                  <w:pPr>
                    <w:adjustRightInd w:val="0"/>
                    <w:snapToGrid w:val="0"/>
                    <w:jc w:val="center"/>
                    <w:rPr>
                      <w:rFonts w:ascii="Times New Roman" w:hAnsi="Times New Roman"/>
                      <w:bCs/>
                      <w:szCs w:val="21"/>
                    </w:rPr>
                  </w:pPr>
                  <w:r>
                    <w:rPr>
                      <w:rFonts w:ascii="Times New Roman" w:hAnsi="Times New Roman"/>
                      <w:bCs/>
                      <w:szCs w:val="21"/>
                      <w:lang w:bidi="ar"/>
                    </w:rPr>
                    <w:t>类别</w:t>
                  </w:r>
                </w:p>
              </w:tc>
              <w:tc>
                <w:tcPr>
                  <w:tcW w:w="1573" w:type="dxa"/>
                  <w:tcBorders>
                    <w:top w:val="single" w:color="auto" w:sz="12" w:space="0"/>
                    <w:left w:val="single" w:color="auto" w:sz="8" w:space="0"/>
                    <w:bottom w:val="single" w:color="auto" w:sz="8" w:space="0"/>
                    <w:right w:val="single" w:color="auto" w:sz="8" w:space="0"/>
                  </w:tcBorders>
                  <w:shd w:val="clear" w:color="auto" w:fill="auto"/>
                  <w:vAlign w:val="center"/>
                </w:tcPr>
                <w:p w14:paraId="27A705AC">
                  <w:pPr>
                    <w:adjustRightInd w:val="0"/>
                    <w:snapToGrid w:val="0"/>
                    <w:jc w:val="center"/>
                    <w:rPr>
                      <w:rFonts w:ascii="Times New Roman" w:hAnsi="Times New Roman"/>
                      <w:bCs/>
                      <w:szCs w:val="21"/>
                    </w:rPr>
                  </w:pPr>
                  <w:r>
                    <w:rPr>
                      <w:rFonts w:ascii="Times New Roman" w:hAnsi="Times New Roman"/>
                      <w:bCs/>
                      <w:szCs w:val="21"/>
                      <w:lang w:bidi="ar"/>
                    </w:rPr>
                    <w:t>项目名称</w:t>
                  </w:r>
                </w:p>
              </w:tc>
              <w:tc>
                <w:tcPr>
                  <w:tcW w:w="7110" w:type="dxa"/>
                  <w:tcBorders>
                    <w:top w:val="single" w:color="auto" w:sz="12" w:space="0"/>
                    <w:left w:val="single" w:color="auto" w:sz="8" w:space="0"/>
                    <w:bottom w:val="single" w:color="auto" w:sz="8" w:space="0"/>
                    <w:right w:val="single" w:color="auto" w:sz="12" w:space="0"/>
                  </w:tcBorders>
                  <w:shd w:val="clear" w:color="auto" w:fill="auto"/>
                  <w:vAlign w:val="center"/>
                </w:tcPr>
                <w:p w14:paraId="4D915646">
                  <w:pPr>
                    <w:adjustRightInd w:val="0"/>
                    <w:snapToGrid w:val="0"/>
                    <w:jc w:val="center"/>
                    <w:rPr>
                      <w:rFonts w:ascii="Times New Roman" w:hAnsi="Times New Roman"/>
                      <w:bCs/>
                      <w:szCs w:val="21"/>
                    </w:rPr>
                  </w:pPr>
                  <w:r>
                    <w:rPr>
                      <w:rFonts w:ascii="Times New Roman" w:hAnsi="Times New Roman"/>
                      <w:bCs/>
                      <w:szCs w:val="21"/>
                    </w:rPr>
                    <w:t>建设内容</w:t>
                  </w:r>
                </w:p>
              </w:tc>
            </w:tr>
            <w:tr w14:paraId="7D70799E">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26" w:type="dxa"/>
                  <w:vMerge w:val="restart"/>
                  <w:tcBorders>
                    <w:left w:val="single" w:color="auto" w:sz="12" w:space="0"/>
                    <w:right w:val="single" w:color="auto" w:sz="8" w:space="0"/>
                  </w:tcBorders>
                  <w:shd w:val="clear" w:color="auto" w:fill="auto"/>
                  <w:vAlign w:val="center"/>
                </w:tcPr>
                <w:p w14:paraId="48527B83">
                  <w:pPr>
                    <w:adjustRightInd w:val="0"/>
                    <w:snapToGrid w:val="0"/>
                    <w:rPr>
                      <w:rFonts w:ascii="Times New Roman" w:hAnsi="Times New Roman"/>
                      <w:szCs w:val="21"/>
                    </w:rPr>
                  </w:pPr>
                  <w:r>
                    <w:rPr>
                      <w:rFonts w:ascii="Times New Roman" w:hAnsi="Times New Roman"/>
                      <w:szCs w:val="21"/>
                    </w:rPr>
                    <w:t>主体工程</w:t>
                  </w:r>
                </w:p>
              </w:tc>
              <w:tc>
                <w:tcPr>
                  <w:tcW w:w="1573" w:type="dxa"/>
                  <w:tcBorders>
                    <w:top w:val="single" w:color="auto" w:sz="8" w:space="0"/>
                    <w:left w:val="single" w:color="auto" w:sz="8" w:space="0"/>
                    <w:bottom w:val="single" w:color="auto" w:sz="8" w:space="0"/>
                    <w:right w:val="single" w:color="auto" w:sz="8" w:space="0"/>
                  </w:tcBorders>
                  <w:shd w:val="clear" w:color="auto" w:fill="auto"/>
                  <w:vAlign w:val="center"/>
                </w:tcPr>
                <w:p w14:paraId="1F593106">
                  <w:pPr>
                    <w:adjustRightInd w:val="0"/>
                    <w:snapToGrid w:val="0"/>
                    <w:ind w:left="-105" w:leftChars="-50" w:right="-105" w:rightChars="-50"/>
                    <w:jc w:val="center"/>
                    <w:rPr>
                      <w:rFonts w:ascii="Times New Roman" w:hAnsi="Times New Roman"/>
                      <w:bCs/>
                      <w:szCs w:val="21"/>
                    </w:rPr>
                  </w:pPr>
                  <w:r>
                    <w:rPr>
                      <w:rFonts w:ascii="Times New Roman" w:hAnsi="Times New Roman"/>
                      <w:szCs w:val="21"/>
                    </w:rPr>
                    <w:t>探伤机情况</w:t>
                  </w:r>
                </w:p>
              </w:tc>
              <w:tc>
                <w:tcPr>
                  <w:tcW w:w="7110" w:type="dxa"/>
                  <w:tcBorders>
                    <w:top w:val="single" w:color="auto" w:sz="8" w:space="0"/>
                    <w:left w:val="single" w:color="auto" w:sz="8" w:space="0"/>
                    <w:right w:val="single" w:color="auto" w:sz="12" w:space="0"/>
                  </w:tcBorders>
                  <w:shd w:val="clear" w:color="auto" w:fill="auto"/>
                  <w:vAlign w:val="center"/>
                </w:tcPr>
                <w:p w14:paraId="3BBA8441">
                  <w:pPr>
                    <w:adjustRightInd w:val="0"/>
                    <w:snapToGrid w:val="0"/>
                    <w:rPr>
                      <w:rFonts w:ascii="Times New Roman" w:hAnsi="Times New Roman"/>
                      <w:bCs/>
                      <w:szCs w:val="21"/>
                    </w:rPr>
                  </w:pPr>
                  <w:r>
                    <w:rPr>
                      <w:rFonts w:ascii="Times New Roman" w:hAnsi="Times New Roman"/>
                      <w:bCs/>
                      <w:szCs w:val="21"/>
                    </w:rPr>
                    <w:t>购置1台XT1605D型定向X射线探伤机(额定最大管电压160kV，额定最大管电流5mA)、1台XXH2005C型周向X射线探伤机(额定最大管电压200kV，额定最大管电流5mA)、1台XT2505C型周向X射线探伤机(额定最大管电压250kV，额定最大管电流5mA)、1台XT2505D型定向X射线探伤机(额定最大管电压250kV，额定最大管电流5mA)和1台XT3005D型定向X射线探伤机(额定最大管电压300kV，额定最大管电流5mA)，进行野外（室外）探伤作业，均属Ⅱ类射线装置。未进行野外（室外）探伤作业时，探伤机存放在公司一层东北侧设备室内。</w:t>
                  </w:r>
                </w:p>
              </w:tc>
            </w:tr>
            <w:tr w14:paraId="30499A95">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26" w:type="dxa"/>
                  <w:vMerge w:val="continue"/>
                  <w:tcBorders>
                    <w:left w:val="single" w:color="auto" w:sz="12" w:space="0"/>
                    <w:right w:val="single" w:color="auto" w:sz="8" w:space="0"/>
                  </w:tcBorders>
                  <w:shd w:val="clear" w:color="auto" w:fill="auto"/>
                  <w:vAlign w:val="center"/>
                </w:tcPr>
                <w:p w14:paraId="5EF69197">
                  <w:pPr>
                    <w:adjustRightInd w:val="0"/>
                    <w:snapToGrid w:val="0"/>
                    <w:rPr>
                      <w:rFonts w:ascii="Times New Roman" w:hAnsi="Times New Roman"/>
                      <w:szCs w:val="21"/>
                    </w:rPr>
                  </w:pPr>
                </w:p>
              </w:tc>
              <w:tc>
                <w:tcPr>
                  <w:tcW w:w="1573" w:type="dxa"/>
                  <w:tcBorders>
                    <w:top w:val="single" w:color="auto" w:sz="8" w:space="0"/>
                    <w:left w:val="single" w:color="auto" w:sz="8" w:space="0"/>
                    <w:bottom w:val="single" w:color="auto" w:sz="8" w:space="0"/>
                    <w:right w:val="single" w:color="auto" w:sz="8" w:space="0"/>
                  </w:tcBorders>
                  <w:shd w:val="clear" w:color="auto" w:fill="auto"/>
                  <w:vAlign w:val="center"/>
                </w:tcPr>
                <w:p w14:paraId="343C3CFA">
                  <w:pPr>
                    <w:adjustRightInd w:val="0"/>
                    <w:snapToGrid w:val="0"/>
                    <w:jc w:val="center"/>
                    <w:rPr>
                      <w:rFonts w:ascii="Times New Roman" w:hAnsi="Times New Roman"/>
                      <w:bCs/>
                      <w:szCs w:val="21"/>
                    </w:rPr>
                  </w:pPr>
                  <w:r>
                    <w:rPr>
                      <w:rFonts w:ascii="Times New Roman" w:hAnsi="Times New Roman"/>
                      <w:szCs w:val="21"/>
                    </w:rPr>
                    <w:t>探伤地点</w:t>
                  </w:r>
                </w:p>
              </w:tc>
              <w:tc>
                <w:tcPr>
                  <w:tcW w:w="7110" w:type="dxa"/>
                  <w:tcBorders>
                    <w:left w:val="single" w:color="auto" w:sz="8" w:space="0"/>
                    <w:right w:val="single" w:color="auto" w:sz="12" w:space="0"/>
                  </w:tcBorders>
                  <w:shd w:val="clear" w:color="auto" w:fill="auto"/>
                  <w:vAlign w:val="center"/>
                </w:tcPr>
                <w:p w14:paraId="05FC049C">
                  <w:pPr>
                    <w:adjustRightInd w:val="0"/>
                    <w:snapToGrid w:val="0"/>
                    <w:rPr>
                      <w:rFonts w:ascii="Times New Roman" w:hAnsi="Times New Roman"/>
                      <w:bCs/>
                      <w:szCs w:val="21"/>
                    </w:rPr>
                  </w:pPr>
                  <w:r>
                    <w:rPr>
                      <w:rFonts w:ascii="Times New Roman" w:hAnsi="Times New Roman"/>
                      <w:szCs w:val="21"/>
                    </w:rPr>
                    <w:t>探伤地点为全国各地，不固定</w:t>
                  </w:r>
                </w:p>
              </w:tc>
            </w:tr>
            <w:tr w14:paraId="2872B47F">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426" w:type="dxa"/>
                  <w:vMerge w:val="continue"/>
                  <w:tcBorders>
                    <w:left w:val="single" w:color="auto" w:sz="12" w:space="0"/>
                    <w:right w:val="single" w:color="auto" w:sz="8" w:space="0"/>
                  </w:tcBorders>
                  <w:shd w:val="clear" w:color="auto" w:fill="auto"/>
                  <w:vAlign w:val="center"/>
                </w:tcPr>
                <w:p w14:paraId="12BC0BAA">
                  <w:pPr>
                    <w:adjustRightInd w:val="0"/>
                    <w:snapToGrid w:val="0"/>
                    <w:rPr>
                      <w:rFonts w:ascii="Times New Roman" w:hAnsi="Times New Roman"/>
                      <w:szCs w:val="21"/>
                    </w:rPr>
                  </w:pPr>
                </w:p>
              </w:tc>
              <w:tc>
                <w:tcPr>
                  <w:tcW w:w="1573" w:type="dxa"/>
                  <w:tcBorders>
                    <w:top w:val="single" w:color="auto" w:sz="8" w:space="0"/>
                    <w:left w:val="single" w:color="auto" w:sz="8" w:space="0"/>
                    <w:bottom w:val="single" w:color="auto" w:sz="8" w:space="0"/>
                    <w:right w:val="single" w:color="auto" w:sz="8" w:space="0"/>
                  </w:tcBorders>
                  <w:shd w:val="clear" w:color="auto" w:fill="auto"/>
                  <w:vAlign w:val="center"/>
                </w:tcPr>
                <w:p w14:paraId="531841D0">
                  <w:pPr>
                    <w:adjustRightInd w:val="0"/>
                    <w:snapToGrid w:val="0"/>
                    <w:jc w:val="center"/>
                    <w:rPr>
                      <w:rFonts w:ascii="Times New Roman" w:hAnsi="Times New Roman"/>
                      <w:bCs/>
                      <w:szCs w:val="21"/>
                    </w:rPr>
                  </w:pPr>
                  <w:r>
                    <w:rPr>
                      <w:rFonts w:ascii="Times New Roman" w:hAnsi="Times New Roman"/>
                      <w:szCs w:val="21"/>
                    </w:rPr>
                    <w:t>曝光时间</w:t>
                  </w:r>
                </w:p>
              </w:tc>
              <w:tc>
                <w:tcPr>
                  <w:tcW w:w="7110" w:type="dxa"/>
                  <w:tcBorders>
                    <w:left w:val="single" w:color="auto" w:sz="8" w:space="0"/>
                    <w:bottom w:val="single" w:color="auto" w:sz="8" w:space="0"/>
                    <w:right w:val="single" w:color="auto" w:sz="12" w:space="0"/>
                  </w:tcBorders>
                  <w:shd w:val="clear" w:color="auto" w:fill="auto"/>
                  <w:vAlign w:val="center"/>
                </w:tcPr>
                <w:p w14:paraId="64A1A639">
                  <w:pPr>
                    <w:adjustRightInd w:val="0"/>
                    <w:snapToGrid w:val="0"/>
                    <w:rPr>
                      <w:rFonts w:ascii="Times New Roman" w:hAnsi="Times New Roman"/>
                      <w:bCs/>
                      <w:szCs w:val="21"/>
                    </w:rPr>
                  </w:pPr>
                  <w:r>
                    <w:rPr>
                      <w:rFonts w:ascii="Times New Roman" w:hAnsi="Times New Roman"/>
                      <w:bCs/>
                      <w:szCs w:val="21"/>
                    </w:rPr>
                    <w:t>5台探伤机年野外（室外）探伤曝光时间总计最大约750h</w:t>
                  </w:r>
                </w:p>
              </w:tc>
            </w:tr>
            <w:tr w14:paraId="15AA98DA">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8" w:space="0"/>
                    <w:left w:val="single" w:color="auto" w:sz="12" w:space="0"/>
                    <w:right w:val="single" w:color="auto" w:sz="8" w:space="0"/>
                  </w:tcBorders>
                  <w:shd w:val="clear" w:color="auto" w:fill="auto"/>
                  <w:vAlign w:val="center"/>
                </w:tcPr>
                <w:p w14:paraId="0F5447E0">
                  <w:pPr>
                    <w:adjustRightInd w:val="0"/>
                    <w:snapToGrid w:val="0"/>
                    <w:jc w:val="center"/>
                    <w:rPr>
                      <w:rFonts w:ascii="Times New Roman" w:hAnsi="Times New Roman"/>
                      <w:bCs/>
                      <w:szCs w:val="21"/>
                      <w:lang w:bidi="ar"/>
                    </w:rPr>
                  </w:pPr>
                  <w:r>
                    <w:rPr>
                      <w:rFonts w:ascii="Times New Roman" w:hAnsi="Times New Roman"/>
                      <w:bCs/>
                      <w:szCs w:val="21"/>
                      <w:lang w:bidi="ar"/>
                    </w:rPr>
                    <w:t>辅助工程</w:t>
                  </w:r>
                </w:p>
              </w:tc>
              <w:tc>
                <w:tcPr>
                  <w:tcW w:w="1573" w:type="dxa"/>
                  <w:tcBorders>
                    <w:top w:val="single" w:color="auto" w:sz="8" w:space="0"/>
                    <w:left w:val="single" w:color="auto" w:sz="8" w:space="0"/>
                    <w:right w:val="single" w:color="auto" w:sz="12" w:space="0"/>
                  </w:tcBorders>
                  <w:shd w:val="clear" w:color="auto" w:fill="auto"/>
                  <w:vAlign w:val="center"/>
                </w:tcPr>
                <w:p w14:paraId="37D86024">
                  <w:pPr>
                    <w:adjustRightInd w:val="0"/>
                    <w:snapToGrid w:val="0"/>
                    <w:jc w:val="center"/>
                    <w:rPr>
                      <w:rFonts w:ascii="Times New Roman" w:hAnsi="Times New Roman"/>
                      <w:szCs w:val="21"/>
                    </w:rPr>
                  </w:pPr>
                  <w:r>
                    <w:rPr>
                      <w:rFonts w:hint="eastAsia" w:ascii="Times New Roman" w:hAnsi="Times New Roman"/>
                      <w:szCs w:val="21"/>
                    </w:rPr>
                    <w:t>设备存放室</w:t>
                  </w:r>
                </w:p>
              </w:tc>
              <w:tc>
                <w:tcPr>
                  <w:tcW w:w="7110" w:type="dxa"/>
                  <w:tcBorders>
                    <w:top w:val="single" w:color="auto" w:sz="8" w:space="0"/>
                    <w:left w:val="single" w:color="auto" w:sz="8" w:space="0"/>
                    <w:right w:val="single" w:color="auto" w:sz="12" w:space="0"/>
                  </w:tcBorders>
                  <w:shd w:val="clear" w:color="auto" w:fill="auto"/>
                  <w:vAlign w:val="center"/>
                </w:tcPr>
                <w:p w14:paraId="2F561D30">
                  <w:pPr>
                    <w:adjustRightInd w:val="0"/>
                    <w:snapToGrid w:val="0"/>
                    <w:rPr>
                      <w:rFonts w:ascii="Times New Roman" w:hAnsi="Times New Roman"/>
                      <w:szCs w:val="21"/>
                    </w:rPr>
                  </w:pPr>
                  <w:r>
                    <w:rPr>
                      <w:rFonts w:hint="eastAsia" w:ascii="Times New Roman" w:hAnsi="Times New Roman"/>
                      <w:szCs w:val="21"/>
                    </w:rPr>
                    <w:t>公司一层设备室</w:t>
                  </w:r>
                </w:p>
              </w:tc>
            </w:tr>
            <w:tr w14:paraId="0E1F7259">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dxa"/>
                  <w:vMerge w:val="continue"/>
                  <w:tcBorders>
                    <w:left w:val="single" w:color="auto" w:sz="12" w:space="0"/>
                    <w:right w:val="single" w:color="auto" w:sz="8" w:space="0"/>
                  </w:tcBorders>
                  <w:shd w:val="clear" w:color="auto" w:fill="auto"/>
                  <w:vAlign w:val="center"/>
                </w:tcPr>
                <w:p w14:paraId="3712D907">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30DD5D09">
                  <w:pPr>
                    <w:adjustRightInd w:val="0"/>
                    <w:snapToGrid w:val="0"/>
                    <w:jc w:val="center"/>
                    <w:rPr>
                      <w:rFonts w:ascii="Times New Roman" w:hAnsi="Times New Roman"/>
                      <w:szCs w:val="21"/>
                    </w:rPr>
                  </w:pPr>
                  <w:r>
                    <w:rPr>
                      <w:rFonts w:hint="eastAsia" w:ascii="Times New Roman" w:hAnsi="Times New Roman"/>
                      <w:szCs w:val="21"/>
                    </w:rPr>
                    <w:t>洗片作业室</w:t>
                  </w:r>
                </w:p>
              </w:tc>
              <w:tc>
                <w:tcPr>
                  <w:tcW w:w="7110" w:type="dxa"/>
                  <w:vMerge w:val="restart"/>
                  <w:tcBorders>
                    <w:top w:val="single" w:color="auto" w:sz="8" w:space="0"/>
                    <w:left w:val="single" w:color="auto" w:sz="8" w:space="0"/>
                    <w:right w:val="single" w:color="auto" w:sz="12" w:space="0"/>
                  </w:tcBorders>
                  <w:shd w:val="clear" w:color="auto" w:fill="auto"/>
                  <w:vAlign w:val="center"/>
                </w:tcPr>
                <w:p w14:paraId="691CBA2E">
                  <w:pPr>
                    <w:adjustRightInd w:val="0"/>
                    <w:snapToGrid w:val="0"/>
                    <w:rPr>
                      <w:rFonts w:ascii="Times New Roman" w:hAnsi="Times New Roman"/>
                      <w:szCs w:val="21"/>
                    </w:rPr>
                  </w:pPr>
                  <w:r>
                    <w:rPr>
                      <w:rFonts w:ascii="Times New Roman" w:hAnsi="Times New Roman"/>
                      <w:szCs w:val="21"/>
                    </w:rPr>
                    <w:t>公司负一层暗室</w:t>
                  </w:r>
                </w:p>
              </w:tc>
            </w:tr>
            <w:tr w14:paraId="636041CD">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dxa"/>
                  <w:vMerge w:val="continue"/>
                  <w:tcBorders>
                    <w:left w:val="single" w:color="auto" w:sz="12" w:space="0"/>
                    <w:right w:val="single" w:color="auto" w:sz="8" w:space="0"/>
                  </w:tcBorders>
                  <w:shd w:val="clear" w:color="auto" w:fill="auto"/>
                  <w:vAlign w:val="center"/>
                </w:tcPr>
                <w:p w14:paraId="67726891">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551DA84F">
                  <w:pPr>
                    <w:adjustRightInd w:val="0"/>
                    <w:snapToGrid w:val="0"/>
                    <w:jc w:val="center"/>
                    <w:rPr>
                      <w:rFonts w:ascii="Times New Roman" w:hAnsi="Times New Roman"/>
                      <w:szCs w:val="21"/>
                    </w:rPr>
                  </w:pPr>
                  <w:r>
                    <w:rPr>
                      <w:rFonts w:hint="eastAsia" w:ascii="Times New Roman" w:hAnsi="Times New Roman"/>
                      <w:szCs w:val="21"/>
                    </w:rPr>
                    <w:t>评片室</w:t>
                  </w:r>
                </w:p>
              </w:tc>
              <w:tc>
                <w:tcPr>
                  <w:tcW w:w="7110" w:type="dxa"/>
                  <w:vMerge w:val="continue"/>
                  <w:tcBorders>
                    <w:left w:val="single" w:color="auto" w:sz="8" w:space="0"/>
                    <w:right w:val="single" w:color="auto" w:sz="12" w:space="0"/>
                  </w:tcBorders>
                  <w:shd w:val="clear" w:color="auto" w:fill="auto"/>
                  <w:vAlign w:val="center"/>
                </w:tcPr>
                <w:p w14:paraId="2B227146">
                  <w:pPr>
                    <w:adjustRightInd w:val="0"/>
                    <w:snapToGrid w:val="0"/>
                    <w:rPr>
                      <w:rFonts w:ascii="Times New Roman" w:hAnsi="Times New Roman"/>
                      <w:szCs w:val="21"/>
                    </w:rPr>
                  </w:pPr>
                </w:p>
              </w:tc>
            </w:tr>
            <w:tr w14:paraId="6469665A">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dxa"/>
                  <w:vMerge w:val="continue"/>
                  <w:tcBorders>
                    <w:left w:val="single" w:color="auto" w:sz="12" w:space="0"/>
                    <w:right w:val="single" w:color="auto" w:sz="8" w:space="0"/>
                  </w:tcBorders>
                  <w:shd w:val="clear" w:color="auto" w:fill="auto"/>
                  <w:vAlign w:val="center"/>
                </w:tcPr>
                <w:p w14:paraId="6E6EEE55">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30BA2A17">
                  <w:pPr>
                    <w:adjustRightInd w:val="0"/>
                    <w:snapToGrid w:val="0"/>
                    <w:jc w:val="center"/>
                    <w:rPr>
                      <w:rFonts w:ascii="Times New Roman" w:hAnsi="Times New Roman"/>
                      <w:szCs w:val="21"/>
                    </w:rPr>
                  </w:pPr>
                  <w:r>
                    <w:rPr>
                      <w:rFonts w:hint="eastAsia" w:ascii="Times New Roman" w:hAnsi="Times New Roman"/>
                      <w:szCs w:val="21"/>
                    </w:rPr>
                    <w:t>晾片室</w:t>
                  </w:r>
                </w:p>
              </w:tc>
              <w:tc>
                <w:tcPr>
                  <w:tcW w:w="7110" w:type="dxa"/>
                  <w:vMerge w:val="continue"/>
                  <w:tcBorders>
                    <w:left w:val="single" w:color="auto" w:sz="8" w:space="0"/>
                    <w:right w:val="single" w:color="auto" w:sz="12" w:space="0"/>
                  </w:tcBorders>
                  <w:shd w:val="clear" w:color="auto" w:fill="auto"/>
                  <w:vAlign w:val="center"/>
                </w:tcPr>
                <w:p w14:paraId="70ED8DE4">
                  <w:pPr>
                    <w:adjustRightInd w:val="0"/>
                    <w:snapToGrid w:val="0"/>
                    <w:rPr>
                      <w:rFonts w:ascii="Times New Roman" w:hAnsi="Times New Roman"/>
                      <w:szCs w:val="21"/>
                    </w:rPr>
                  </w:pPr>
                </w:p>
              </w:tc>
            </w:tr>
            <w:tr w14:paraId="2FA446BD">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26" w:type="dxa"/>
                  <w:vMerge w:val="restart"/>
                  <w:tcBorders>
                    <w:top w:val="single" w:color="auto" w:sz="8" w:space="0"/>
                    <w:left w:val="single" w:color="auto" w:sz="12" w:space="0"/>
                    <w:right w:val="single" w:color="auto" w:sz="8" w:space="0"/>
                  </w:tcBorders>
                  <w:shd w:val="clear" w:color="auto" w:fill="auto"/>
                  <w:vAlign w:val="center"/>
                </w:tcPr>
                <w:p w14:paraId="5383332B">
                  <w:pPr>
                    <w:adjustRightInd w:val="0"/>
                    <w:snapToGrid w:val="0"/>
                    <w:jc w:val="center"/>
                    <w:rPr>
                      <w:rFonts w:ascii="Times New Roman" w:hAnsi="Times New Roman"/>
                      <w:bCs/>
                      <w:szCs w:val="21"/>
                    </w:rPr>
                  </w:pPr>
                  <w:r>
                    <w:rPr>
                      <w:rFonts w:hint="eastAsia" w:ascii="Times New Roman" w:hAnsi="Times New Roman"/>
                      <w:bCs/>
                      <w:szCs w:val="21"/>
                      <w:lang w:bidi="ar"/>
                    </w:rPr>
                    <w:t>防护</w:t>
                  </w:r>
                </w:p>
                <w:p w14:paraId="6B4ED9F3">
                  <w:pPr>
                    <w:adjustRightInd w:val="0"/>
                    <w:snapToGrid w:val="0"/>
                    <w:jc w:val="center"/>
                    <w:rPr>
                      <w:rFonts w:ascii="Times New Roman" w:hAnsi="Times New Roman"/>
                      <w:bCs/>
                      <w:szCs w:val="21"/>
                    </w:rPr>
                  </w:pPr>
                  <w:r>
                    <w:rPr>
                      <w:rFonts w:ascii="Times New Roman" w:hAnsi="Times New Roman"/>
                      <w:bCs/>
                      <w:szCs w:val="21"/>
                      <w:lang w:bidi="ar"/>
                    </w:rPr>
                    <w:t>工程</w:t>
                  </w:r>
                </w:p>
              </w:tc>
              <w:tc>
                <w:tcPr>
                  <w:tcW w:w="1573" w:type="dxa"/>
                  <w:tcBorders>
                    <w:top w:val="single" w:color="auto" w:sz="8" w:space="0"/>
                    <w:left w:val="single" w:color="auto" w:sz="8" w:space="0"/>
                    <w:right w:val="single" w:color="auto" w:sz="12" w:space="0"/>
                  </w:tcBorders>
                  <w:shd w:val="clear" w:color="auto" w:fill="auto"/>
                  <w:vAlign w:val="center"/>
                </w:tcPr>
                <w:p w14:paraId="63169BAC">
                  <w:pPr>
                    <w:adjustRightInd w:val="0"/>
                    <w:snapToGrid w:val="0"/>
                    <w:jc w:val="center"/>
                    <w:rPr>
                      <w:rFonts w:ascii="Times New Roman" w:hAnsi="Times New Roman"/>
                      <w:bCs/>
                      <w:szCs w:val="21"/>
                      <w:lang w:bidi="ar"/>
                    </w:rPr>
                  </w:pPr>
                  <w:r>
                    <w:rPr>
                      <w:rFonts w:ascii="Times New Roman" w:hAnsi="Times New Roman"/>
                      <w:bCs/>
                      <w:szCs w:val="21"/>
                      <w:lang w:bidi="ar"/>
                    </w:rPr>
                    <w:t>危废处置</w:t>
                  </w:r>
                </w:p>
              </w:tc>
              <w:tc>
                <w:tcPr>
                  <w:tcW w:w="7110" w:type="dxa"/>
                  <w:tcBorders>
                    <w:top w:val="single" w:color="auto" w:sz="8" w:space="0"/>
                    <w:left w:val="single" w:color="auto" w:sz="8" w:space="0"/>
                    <w:right w:val="single" w:color="auto" w:sz="12" w:space="0"/>
                  </w:tcBorders>
                  <w:shd w:val="clear" w:color="auto" w:fill="auto"/>
                  <w:vAlign w:val="center"/>
                </w:tcPr>
                <w:p w14:paraId="4B0C3D9B">
                  <w:pPr>
                    <w:adjustRightInd w:val="0"/>
                    <w:snapToGrid w:val="0"/>
                    <w:rPr>
                      <w:rFonts w:ascii="Times New Roman" w:hAnsi="Times New Roman"/>
                      <w:bCs/>
                      <w:szCs w:val="21"/>
                      <w:lang w:bidi="ar"/>
                    </w:rPr>
                  </w:pPr>
                  <w:r>
                    <w:rPr>
                      <w:rFonts w:ascii="Times New Roman" w:hAnsi="Times New Roman"/>
                      <w:szCs w:val="21"/>
                    </w:rPr>
                    <w:t>公司厂区东北角危废暂存间（危废暂存间为2间，每间房间面积为5.04m</w:t>
                  </w:r>
                  <w:r>
                    <w:rPr>
                      <w:rFonts w:ascii="Times New Roman" w:hAnsi="Times New Roman"/>
                      <w:szCs w:val="21"/>
                      <w:vertAlign w:val="superscript"/>
                    </w:rPr>
                    <w:t>2</w:t>
                  </w:r>
                  <w:r>
                    <w:rPr>
                      <w:rFonts w:ascii="Times New Roman" w:hAnsi="Times New Roman"/>
                      <w:szCs w:val="21"/>
                    </w:rPr>
                    <w:t>），暂存本项目产生的废显影液、废定影液（含冲洗废水）和废胶片等危险废物</w:t>
                  </w:r>
                </w:p>
              </w:tc>
            </w:tr>
            <w:tr w14:paraId="31B4A3D0">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26" w:type="dxa"/>
                  <w:vMerge w:val="continue"/>
                  <w:tcBorders>
                    <w:left w:val="single" w:color="auto" w:sz="12" w:space="0"/>
                    <w:right w:val="single" w:color="auto" w:sz="8" w:space="0"/>
                  </w:tcBorders>
                  <w:shd w:val="clear" w:color="auto" w:fill="auto"/>
                  <w:vAlign w:val="center"/>
                </w:tcPr>
                <w:p w14:paraId="65F04756">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433DF9FF">
                  <w:pPr>
                    <w:adjustRightInd w:val="0"/>
                    <w:snapToGrid w:val="0"/>
                    <w:jc w:val="center"/>
                    <w:rPr>
                      <w:rFonts w:ascii="Times New Roman" w:hAnsi="Times New Roman"/>
                      <w:bCs/>
                      <w:szCs w:val="21"/>
                      <w:lang w:bidi="ar"/>
                    </w:rPr>
                  </w:pPr>
                  <w:r>
                    <w:rPr>
                      <w:rFonts w:hint="eastAsia"/>
                      <w:szCs w:val="21"/>
                    </w:rPr>
                    <w:t>个人防护用品</w:t>
                  </w:r>
                </w:p>
              </w:tc>
              <w:tc>
                <w:tcPr>
                  <w:tcW w:w="7110" w:type="dxa"/>
                  <w:tcBorders>
                    <w:top w:val="single" w:color="auto" w:sz="8" w:space="0"/>
                    <w:left w:val="single" w:color="auto" w:sz="8" w:space="0"/>
                    <w:right w:val="single" w:color="auto" w:sz="12" w:space="0"/>
                  </w:tcBorders>
                  <w:shd w:val="clear" w:color="auto" w:fill="auto"/>
                  <w:vAlign w:val="center"/>
                </w:tcPr>
                <w:p w14:paraId="4DEDAA8C">
                  <w:pPr>
                    <w:adjustRightInd w:val="0"/>
                    <w:snapToGrid w:val="0"/>
                    <w:rPr>
                      <w:rFonts w:ascii="Times New Roman" w:hAnsi="Times New Roman"/>
                      <w:bCs/>
                      <w:szCs w:val="21"/>
                      <w:lang w:bidi="ar"/>
                    </w:rPr>
                  </w:pPr>
                  <w:r>
                    <w:rPr>
                      <w:rFonts w:hint="eastAsia"/>
                      <w:szCs w:val="21"/>
                    </w:rPr>
                    <w:t>8套个人剂量计</w:t>
                  </w:r>
                </w:p>
              </w:tc>
            </w:tr>
            <w:tr w14:paraId="3F23D895">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26" w:type="dxa"/>
                  <w:vMerge w:val="continue"/>
                  <w:tcBorders>
                    <w:left w:val="single" w:color="auto" w:sz="12" w:space="0"/>
                    <w:right w:val="single" w:color="auto" w:sz="8" w:space="0"/>
                  </w:tcBorders>
                  <w:shd w:val="clear" w:color="auto" w:fill="auto"/>
                  <w:vAlign w:val="center"/>
                </w:tcPr>
                <w:p w14:paraId="79FD2C10">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6C8594B9">
                  <w:pPr>
                    <w:adjustRightInd w:val="0"/>
                    <w:snapToGrid w:val="0"/>
                    <w:jc w:val="center"/>
                    <w:rPr>
                      <w:rFonts w:ascii="Times New Roman" w:hAnsi="Times New Roman"/>
                      <w:bCs/>
                      <w:szCs w:val="21"/>
                      <w:lang w:bidi="ar"/>
                    </w:rPr>
                  </w:pPr>
                  <w:r>
                    <w:rPr>
                      <w:rFonts w:hint="eastAsia"/>
                      <w:szCs w:val="21"/>
                    </w:rPr>
                    <w:t>辅助防护设施</w:t>
                  </w:r>
                </w:p>
              </w:tc>
              <w:tc>
                <w:tcPr>
                  <w:tcW w:w="7110" w:type="dxa"/>
                  <w:tcBorders>
                    <w:top w:val="single" w:color="auto" w:sz="8" w:space="0"/>
                    <w:left w:val="single" w:color="auto" w:sz="8" w:space="0"/>
                    <w:right w:val="single" w:color="auto" w:sz="12" w:space="0"/>
                  </w:tcBorders>
                  <w:shd w:val="clear" w:color="auto" w:fill="auto"/>
                  <w:vAlign w:val="center"/>
                </w:tcPr>
                <w:p w14:paraId="00906949">
                  <w:pPr>
                    <w:adjustRightInd w:val="0"/>
                    <w:snapToGrid w:val="0"/>
                    <w:rPr>
                      <w:rFonts w:ascii="Times New Roman" w:hAnsi="Times New Roman"/>
                      <w:bCs/>
                      <w:szCs w:val="21"/>
                      <w:lang w:bidi="ar"/>
                    </w:rPr>
                  </w:pPr>
                  <w:r>
                    <w:rPr>
                      <w:rFonts w:ascii="TimesNewRomanPSMT" w:hAnsi="TimesNewRomanPSMT"/>
                      <w:szCs w:val="21"/>
                    </w:rPr>
                    <w:t>8</w:t>
                  </w:r>
                  <w:r>
                    <w:rPr>
                      <w:rFonts w:hint="eastAsia"/>
                      <w:szCs w:val="21"/>
                    </w:rPr>
                    <w:t>块移动防护铅板（4套1</w:t>
                  </w:r>
                  <w:r>
                    <w:rPr>
                      <w:szCs w:val="21"/>
                    </w:rPr>
                    <w:t>0mm铅板和</w:t>
                  </w:r>
                  <w:r>
                    <w:rPr>
                      <w:rFonts w:hint="eastAsia"/>
                      <w:szCs w:val="21"/>
                    </w:rPr>
                    <w:t>4套</w:t>
                  </w:r>
                  <w:r>
                    <w:rPr>
                      <w:szCs w:val="21"/>
                    </w:rPr>
                    <w:t>5mm铅板</w:t>
                  </w:r>
                  <w:r>
                    <w:rPr>
                      <w:rFonts w:hint="eastAsia"/>
                      <w:szCs w:val="21"/>
                    </w:rPr>
                    <w:t>）</w:t>
                  </w:r>
                </w:p>
              </w:tc>
            </w:tr>
            <w:tr w14:paraId="54CD56F8">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26" w:type="dxa"/>
                  <w:vMerge w:val="continue"/>
                  <w:tcBorders>
                    <w:left w:val="single" w:color="auto" w:sz="12" w:space="0"/>
                    <w:right w:val="single" w:color="auto" w:sz="8" w:space="0"/>
                  </w:tcBorders>
                  <w:shd w:val="clear" w:color="auto" w:fill="auto"/>
                  <w:vAlign w:val="center"/>
                </w:tcPr>
                <w:p w14:paraId="5D389569">
                  <w:pPr>
                    <w:adjustRightInd w:val="0"/>
                    <w:snapToGrid w:val="0"/>
                    <w:jc w:val="center"/>
                    <w:rPr>
                      <w:rFonts w:ascii="Times New Roman" w:hAnsi="Times New Roman"/>
                      <w:bCs/>
                      <w:szCs w:val="21"/>
                      <w:lang w:bidi="ar"/>
                    </w:rPr>
                  </w:pPr>
                </w:p>
              </w:tc>
              <w:tc>
                <w:tcPr>
                  <w:tcW w:w="1573" w:type="dxa"/>
                  <w:tcBorders>
                    <w:top w:val="single" w:color="auto" w:sz="8" w:space="0"/>
                    <w:left w:val="single" w:color="auto" w:sz="8" w:space="0"/>
                    <w:right w:val="single" w:color="auto" w:sz="12" w:space="0"/>
                  </w:tcBorders>
                  <w:shd w:val="clear" w:color="auto" w:fill="auto"/>
                  <w:vAlign w:val="center"/>
                </w:tcPr>
                <w:p w14:paraId="29FF118B">
                  <w:pPr>
                    <w:adjustRightInd w:val="0"/>
                    <w:snapToGrid w:val="0"/>
                    <w:jc w:val="center"/>
                    <w:rPr>
                      <w:rFonts w:ascii="Times New Roman" w:hAnsi="Times New Roman"/>
                      <w:bCs/>
                      <w:szCs w:val="21"/>
                      <w:lang w:bidi="ar"/>
                    </w:rPr>
                  </w:pPr>
                  <w:r>
                    <w:rPr>
                      <w:rFonts w:hint="eastAsia"/>
                      <w:szCs w:val="21"/>
                    </w:rPr>
                    <w:t>监测设备</w:t>
                  </w:r>
                </w:p>
              </w:tc>
              <w:tc>
                <w:tcPr>
                  <w:tcW w:w="7110" w:type="dxa"/>
                  <w:tcBorders>
                    <w:top w:val="single" w:color="auto" w:sz="8" w:space="0"/>
                    <w:left w:val="single" w:color="auto" w:sz="8" w:space="0"/>
                    <w:right w:val="single" w:color="auto" w:sz="12" w:space="0"/>
                  </w:tcBorders>
                  <w:shd w:val="clear" w:color="auto" w:fill="auto"/>
                  <w:vAlign w:val="center"/>
                </w:tcPr>
                <w:p w14:paraId="5EC8B4CF">
                  <w:pPr>
                    <w:adjustRightInd w:val="0"/>
                    <w:snapToGrid w:val="0"/>
                    <w:rPr>
                      <w:rFonts w:ascii="Times New Roman" w:hAnsi="Times New Roman"/>
                      <w:bCs/>
                      <w:szCs w:val="21"/>
                      <w:lang w:bidi="ar"/>
                    </w:rPr>
                  </w:pPr>
                  <w:r>
                    <w:rPr>
                      <w:rFonts w:ascii="TimesNewRomanPSMT" w:hAnsi="TimesNewRomanPSMT"/>
                      <w:szCs w:val="21"/>
                    </w:rPr>
                    <w:t>8</w:t>
                  </w:r>
                  <w:r>
                    <w:rPr>
                      <w:rFonts w:hint="eastAsia"/>
                      <w:szCs w:val="21"/>
                    </w:rPr>
                    <w:t>台个人剂量报警仪，</w:t>
                  </w:r>
                  <w:r>
                    <w:rPr>
                      <w:rFonts w:ascii="TimesNewRomanPSMT" w:hAnsi="TimesNewRomanPSMT"/>
                      <w:szCs w:val="21"/>
                    </w:rPr>
                    <w:t>2</w:t>
                  </w:r>
                  <w:r>
                    <w:rPr>
                      <w:rFonts w:hint="eastAsia"/>
                      <w:szCs w:val="21"/>
                    </w:rPr>
                    <w:t>台</w:t>
                  </w:r>
                  <w:r>
                    <w:rPr>
                      <w:rFonts w:ascii="TimesNewRomanPSMT" w:hAnsi="TimesNewRomanPSMT"/>
                      <w:szCs w:val="21"/>
                    </w:rPr>
                    <w:t>X-γ</w:t>
                  </w:r>
                  <w:r>
                    <w:rPr>
                      <w:rFonts w:hint="eastAsia"/>
                      <w:szCs w:val="21"/>
                    </w:rPr>
                    <w:t>巡测仪</w:t>
                  </w:r>
                </w:p>
              </w:tc>
            </w:tr>
            <w:tr w14:paraId="0118B0BC">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426" w:type="dxa"/>
                  <w:vMerge w:val="continue"/>
                  <w:tcBorders>
                    <w:left w:val="single" w:color="auto" w:sz="12" w:space="0"/>
                    <w:right w:val="single" w:color="auto" w:sz="8" w:space="0"/>
                  </w:tcBorders>
                  <w:shd w:val="clear" w:color="auto" w:fill="auto"/>
                  <w:vAlign w:val="center"/>
                </w:tcPr>
                <w:p w14:paraId="648E45E7">
                  <w:pPr>
                    <w:adjustRightInd w:val="0"/>
                    <w:snapToGrid w:val="0"/>
                    <w:jc w:val="center"/>
                    <w:rPr>
                      <w:rFonts w:ascii="Times New Roman" w:hAnsi="Times New Roman"/>
                      <w:bCs/>
                      <w:szCs w:val="21"/>
                      <w:lang w:bidi="ar"/>
                    </w:rPr>
                  </w:pPr>
                </w:p>
              </w:tc>
              <w:tc>
                <w:tcPr>
                  <w:tcW w:w="8683" w:type="dxa"/>
                  <w:gridSpan w:val="2"/>
                  <w:tcBorders>
                    <w:top w:val="single" w:color="auto" w:sz="8" w:space="0"/>
                    <w:left w:val="single" w:color="auto" w:sz="8" w:space="0"/>
                    <w:right w:val="single" w:color="auto" w:sz="12" w:space="0"/>
                  </w:tcBorders>
                  <w:shd w:val="clear" w:color="auto" w:fill="auto"/>
                  <w:vAlign w:val="center"/>
                </w:tcPr>
                <w:p w14:paraId="411C98A4">
                  <w:pPr>
                    <w:adjustRightInd w:val="0"/>
                    <w:snapToGrid w:val="0"/>
                    <w:jc w:val="center"/>
                    <w:rPr>
                      <w:rFonts w:ascii="Times New Roman" w:hAnsi="Times New Roman"/>
                      <w:bCs/>
                      <w:szCs w:val="21"/>
                      <w:lang w:bidi="ar"/>
                    </w:rPr>
                  </w:pPr>
                  <w:r>
                    <w:rPr>
                      <w:rFonts w:hint="eastAsia"/>
                      <w:szCs w:val="21"/>
                    </w:rPr>
                    <w:t>警示灯、警戒绳、电离辐射警示标识牌若干</w:t>
                  </w:r>
                </w:p>
              </w:tc>
            </w:tr>
            <w:tr w14:paraId="68A2374B">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1099" w:hRule="atLeast"/>
                <w:jc w:val="center"/>
              </w:trPr>
              <w:tc>
                <w:tcPr>
                  <w:tcW w:w="426" w:type="dxa"/>
                  <w:tcBorders>
                    <w:left w:val="single" w:color="auto" w:sz="12" w:space="0"/>
                    <w:right w:val="single" w:color="auto" w:sz="8" w:space="0"/>
                  </w:tcBorders>
                  <w:shd w:val="clear" w:color="auto" w:fill="auto"/>
                  <w:vAlign w:val="center"/>
                </w:tcPr>
                <w:p w14:paraId="4C3A9BEC">
                  <w:pPr>
                    <w:pStyle w:val="14"/>
                    <w:adjustRightInd w:val="0"/>
                    <w:snapToGrid w:val="0"/>
                    <w:jc w:val="center"/>
                    <w:rPr>
                      <w:rFonts w:ascii="Times New Roman" w:hAnsi="Times New Roman"/>
                      <w:sz w:val="21"/>
                      <w:szCs w:val="21"/>
                    </w:rPr>
                  </w:pPr>
                  <w:r>
                    <w:rPr>
                      <w:rFonts w:ascii="Times New Roman" w:hAnsi="Times New Roman"/>
                      <w:sz w:val="21"/>
                      <w:szCs w:val="21"/>
                    </w:rPr>
                    <w:t>公用工程</w:t>
                  </w:r>
                </w:p>
              </w:tc>
              <w:tc>
                <w:tcPr>
                  <w:tcW w:w="8683" w:type="dxa"/>
                  <w:gridSpan w:val="2"/>
                  <w:tcBorders>
                    <w:left w:val="single" w:color="auto" w:sz="8" w:space="0"/>
                    <w:right w:val="single" w:color="auto" w:sz="12" w:space="0"/>
                  </w:tcBorders>
                  <w:shd w:val="clear" w:color="auto" w:fill="auto"/>
                  <w:vAlign w:val="center"/>
                </w:tcPr>
                <w:p w14:paraId="7F7C8FB6">
                  <w:pPr>
                    <w:pStyle w:val="14"/>
                    <w:adjustRightInd w:val="0"/>
                    <w:snapToGrid w:val="0"/>
                    <w:jc w:val="center"/>
                    <w:rPr>
                      <w:rFonts w:ascii="Times New Roman" w:hAnsi="Times New Roman"/>
                      <w:sz w:val="21"/>
                      <w:szCs w:val="21"/>
                    </w:rPr>
                  </w:pPr>
                  <w:r>
                    <w:rPr>
                      <w:rFonts w:ascii="Times New Roman" w:hAnsi="Times New Roman"/>
                      <w:sz w:val="21"/>
                      <w:szCs w:val="21"/>
                    </w:rPr>
                    <w:t>利用探伤地周围公共设施</w:t>
                  </w:r>
                </w:p>
              </w:tc>
            </w:tr>
            <w:tr w14:paraId="5BA9F4BA">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426" w:type="dxa"/>
                  <w:tcBorders>
                    <w:left w:val="single" w:color="auto" w:sz="12" w:space="0"/>
                    <w:right w:val="single" w:color="auto" w:sz="8" w:space="0"/>
                  </w:tcBorders>
                  <w:shd w:val="clear" w:color="auto" w:fill="auto"/>
                  <w:vAlign w:val="center"/>
                </w:tcPr>
                <w:p w14:paraId="323033F4">
                  <w:pPr>
                    <w:pStyle w:val="14"/>
                    <w:adjustRightInd w:val="0"/>
                    <w:snapToGrid w:val="0"/>
                    <w:jc w:val="center"/>
                    <w:rPr>
                      <w:rFonts w:ascii="Times New Roman" w:hAnsi="Times New Roman"/>
                      <w:sz w:val="21"/>
                      <w:szCs w:val="21"/>
                    </w:rPr>
                  </w:pPr>
                  <w:r>
                    <w:rPr>
                      <w:rFonts w:ascii="Times New Roman" w:hAnsi="Times New Roman"/>
                      <w:sz w:val="21"/>
                      <w:szCs w:val="21"/>
                    </w:rPr>
                    <w:t>环保工程</w:t>
                  </w:r>
                </w:p>
              </w:tc>
              <w:tc>
                <w:tcPr>
                  <w:tcW w:w="8683" w:type="dxa"/>
                  <w:gridSpan w:val="2"/>
                  <w:tcBorders>
                    <w:left w:val="single" w:color="auto" w:sz="8" w:space="0"/>
                    <w:right w:val="single" w:color="auto" w:sz="12" w:space="0"/>
                  </w:tcBorders>
                  <w:shd w:val="clear" w:color="auto" w:fill="auto"/>
                  <w:vAlign w:val="center"/>
                </w:tcPr>
                <w:p w14:paraId="7E45ED35">
                  <w:pPr>
                    <w:adjustRightInd w:val="0"/>
                    <w:snapToGrid w:val="0"/>
                    <w:rPr>
                      <w:rFonts w:ascii="Times New Roman" w:hAnsi="Times New Roman"/>
                      <w:szCs w:val="21"/>
                    </w:rPr>
                  </w:pPr>
                  <w:r>
                    <w:rPr>
                      <w:rFonts w:ascii="Times New Roman" w:hAnsi="Times New Roman"/>
                      <w:szCs w:val="21"/>
                    </w:rPr>
                    <w:t>本项目工作人员由公司原有人员调剂，不新增生活污水，不新增生活垃圾；本项目产生的危险废物依托建设单位已有危废间暂存，经承德双然环保科技有限公司收集后交由有危废处理资质的</w:t>
                  </w:r>
                  <w:r>
                    <w:rPr>
                      <w:rFonts w:hint="eastAsia" w:ascii="Times New Roman" w:hAnsi="Times New Roman"/>
                      <w:szCs w:val="21"/>
                    </w:rPr>
                    <w:t>万德斯(唐山曹妃甸)环保科技有限公司处置</w:t>
                  </w:r>
                  <w:r>
                    <w:rPr>
                      <w:rFonts w:ascii="Times New Roman" w:hAnsi="Times New Roman"/>
                      <w:szCs w:val="21"/>
                    </w:rPr>
                    <w:t>。</w:t>
                  </w:r>
                </w:p>
              </w:tc>
            </w:tr>
          </w:tbl>
          <w:p w14:paraId="09CD1DD5">
            <w:pPr>
              <w:adjustRightInd w:val="0"/>
              <w:snapToGrid w:val="0"/>
              <w:spacing w:before="100" w:beforeAutospacing="1" w:line="360" w:lineRule="auto"/>
              <w:ind w:firstLine="480" w:firstLineChars="200"/>
              <w:rPr>
                <w:rFonts w:ascii="Times New Roman" w:hAnsi="Times New Roman"/>
                <w:sz w:val="24"/>
              </w:rPr>
            </w:pPr>
            <w:r>
              <w:rPr>
                <w:rFonts w:ascii="Times New Roman" w:hAnsi="Times New Roman"/>
                <w:sz w:val="24"/>
              </w:rPr>
              <w:t>本项目主要原辅材料及能耗情况见表1-2。</w:t>
            </w:r>
          </w:p>
          <w:p w14:paraId="0FF60F98">
            <w:pPr>
              <w:pStyle w:val="2"/>
              <w:spacing w:after="0"/>
              <w:ind w:left="0" w:leftChars="0" w:firstLine="0" w:firstLineChars="0"/>
              <w:jc w:val="center"/>
            </w:pPr>
            <w:r>
              <w:rPr>
                <w:b/>
                <w:bCs/>
              </w:rPr>
              <w:t>表</w:t>
            </w:r>
            <w:r>
              <w:t xml:space="preserve">1-2 </w:t>
            </w:r>
            <w:r>
              <w:rPr>
                <w:b/>
                <w:bCs/>
              </w:rPr>
              <w:t>主要原辅材料及能耗情况表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969"/>
              <w:gridCol w:w="1133"/>
              <w:gridCol w:w="1702"/>
              <w:gridCol w:w="851"/>
              <w:gridCol w:w="4134"/>
            </w:tblGrid>
            <w:tr w14:paraId="6DC06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8" w:type="pct"/>
                  <w:gridSpan w:val="2"/>
                  <w:shd w:val="clear" w:color="auto" w:fill="auto"/>
                  <w:vAlign w:val="center"/>
                </w:tcPr>
                <w:p w14:paraId="5228A55A">
                  <w:pPr>
                    <w:adjustRightInd w:val="0"/>
                    <w:snapToGrid w:val="0"/>
                    <w:jc w:val="center"/>
                    <w:rPr>
                      <w:rFonts w:ascii="Times New Roman" w:hAnsi="Times New Roman"/>
                      <w:b/>
                      <w:szCs w:val="21"/>
                    </w:rPr>
                  </w:pPr>
                  <w:r>
                    <w:rPr>
                      <w:rFonts w:ascii="Times New Roman" w:hAnsi="Times New Roman"/>
                      <w:b/>
                      <w:szCs w:val="21"/>
                      <w:lang w:bidi="ar"/>
                    </w:rPr>
                    <w:t>类别</w:t>
                  </w:r>
                </w:p>
              </w:tc>
              <w:tc>
                <w:tcPr>
                  <w:tcW w:w="622" w:type="pct"/>
                  <w:vAlign w:val="center"/>
                </w:tcPr>
                <w:p w14:paraId="7C5C4236">
                  <w:pPr>
                    <w:adjustRightInd w:val="0"/>
                    <w:snapToGrid w:val="0"/>
                    <w:jc w:val="center"/>
                    <w:rPr>
                      <w:rFonts w:ascii="Times New Roman" w:hAnsi="Times New Roman"/>
                      <w:b/>
                      <w:szCs w:val="21"/>
                      <w:lang w:bidi="ar"/>
                    </w:rPr>
                  </w:pPr>
                  <w:r>
                    <w:rPr>
                      <w:rFonts w:ascii="Times New Roman" w:hAnsi="Times New Roman"/>
                      <w:b/>
                      <w:szCs w:val="21"/>
                    </w:rPr>
                    <w:t>名称</w:t>
                  </w:r>
                </w:p>
              </w:tc>
              <w:tc>
                <w:tcPr>
                  <w:tcW w:w="934" w:type="pct"/>
                  <w:shd w:val="clear" w:color="auto" w:fill="auto"/>
                  <w:vAlign w:val="center"/>
                </w:tcPr>
                <w:p w14:paraId="7A650D9F">
                  <w:pPr>
                    <w:adjustRightInd w:val="0"/>
                    <w:snapToGrid w:val="0"/>
                    <w:jc w:val="center"/>
                    <w:rPr>
                      <w:rFonts w:ascii="Times New Roman" w:hAnsi="Times New Roman"/>
                      <w:b/>
                      <w:szCs w:val="21"/>
                    </w:rPr>
                  </w:pPr>
                  <w:r>
                    <w:rPr>
                      <w:rFonts w:ascii="Times New Roman" w:hAnsi="Times New Roman"/>
                      <w:b/>
                      <w:szCs w:val="21"/>
                      <w:lang w:bidi="ar"/>
                    </w:rPr>
                    <w:t>年耗量（单位）</w:t>
                  </w:r>
                </w:p>
              </w:tc>
              <w:tc>
                <w:tcPr>
                  <w:tcW w:w="467" w:type="pct"/>
                  <w:shd w:val="clear" w:color="auto" w:fill="auto"/>
                  <w:vAlign w:val="center"/>
                </w:tcPr>
                <w:p w14:paraId="11C87E48">
                  <w:pPr>
                    <w:adjustRightInd w:val="0"/>
                    <w:snapToGrid w:val="0"/>
                    <w:jc w:val="center"/>
                    <w:rPr>
                      <w:rFonts w:ascii="Times New Roman" w:hAnsi="Times New Roman"/>
                      <w:b/>
                      <w:szCs w:val="21"/>
                    </w:rPr>
                  </w:pPr>
                  <w:r>
                    <w:rPr>
                      <w:rFonts w:ascii="Times New Roman" w:hAnsi="Times New Roman"/>
                      <w:b/>
                      <w:szCs w:val="21"/>
                      <w:lang w:bidi="ar"/>
                    </w:rPr>
                    <w:t>来源</w:t>
                  </w:r>
                </w:p>
              </w:tc>
              <w:tc>
                <w:tcPr>
                  <w:tcW w:w="2269" w:type="pct"/>
                  <w:shd w:val="clear" w:color="auto" w:fill="auto"/>
                  <w:vAlign w:val="center"/>
                </w:tcPr>
                <w:p w14:paraId="53A14AD3">
                  <w:pPr>
                    <w:adjustRightInd w:val="0"/>
                    <w:snapToGrid w:val="0"/>
                    <w:jc w:val="center"/>
                    <w:rPr>
                      <w:rFonts w:ascii="Times New Roman" w:hAnsi="Times New Roman"/>
                      <w:b/>
                      <w:szCs w:val="21"/>
                    </w:rPr>
                  </w:pPr>
                  <w:r>
                    <w:rPr>
                      <w:rFonts w:ascii="Times New Roman" w:hAnsi="Times New Roman"/>
                      <w:b/>
                      <w:szCs w:val="21"/>
                      <w:lang w:bidi="ar"/>
                    </w:rPr>
                    <w:t>主要化学成分</w:t>
                  </w:r>
                </w:p>
              </w:tc>
            </w:tr>
            <w:tr w14:paraId="698B6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8" w:type="pct"/>
                  <w:gridSpan w:val="2"/>
                  <w:vMerge w:val="restart"/>
                  <w:shd w:val="clear" w:color="auto" w:fill="auto"/>
                  <w:vAlign w:val="center"/>
                </w:tcPr>
                <w:p w14:paraId="08A6F694">
                  <w:pPr>
                    <w:adjustRightInd w:val="0"/>
                    <w:snapToGrid w:val="0"/>
                    <w:ind w:left="-105" w:leftChars="-50" w:right="-105" w:rightChars="-50"/>
                    <w:jc w:val="center"/>
                    <w:rPr>
                      <w:rFonts w:ascii="Times New Roman" w:hAnsi="Times New Roman"/>
                      <w:bCs/>
                      <w:szCs w:val="21"/>
                      <w:lang w:bidi="ar"/>
                    </w:rPr>
                  </w:pPr>
                  <w:r>
                    <w:rPr>
                      <w:rFonts w:ascii="Times New Roman" w:hAnsi="Times New Roman"/>
                      <w:bCs/>
                      <w:szCs w:val="21"/>
                      <w:lang w:bidi="ar"/>
                    </w:rPr>
                    <w:t>主（辅）料</w:t>
                  </w:r>
                </w:p>
              </w:tc>
              <w:tc>
                <w:tcPr>
                  <w:tcW w:w="622" w:type="pct"/>
                  <w:vAlign w:val="center"/>
                </w:tcPr>
                <w:p w14:paraId="084E314F">
                  <w:pPr>
                    <w:jc w:val="center"/>
                    <w:rPr>
                      <w:rFonts w:ascii="Times New Roman" w:hAnsi="Times New Roman"/>
                      <w:szCs w:val="21"/>
                    </w:rPr>
                  </w:pPr>
                  <w:r>
                    <w:rPr>
                      <w:rFonts w:ascii="Times New Roman" w:hAnsi="Times New Roman"/>
                      <w:szCs w:val="21"/>
                    </w:rPr>
                    <w:t>胶片</w:t>
                  </w:r>
                </w:p>
              </w:tc>
              <w:tc>
                <w:tcPr>
                  <w:tcW w:w="934" w:type="pct"/>
                  <w:shd w:val="clear" w:color="auto" w:fill="auto"/>
                  <w:vAlign w:val="center"/>
                </w:tcPr>
                <w:p w14:paraId="3AC65740">
                  <w:pPr>
                    <w:adjustRightInd w:val="0"/>
                    <w:snapToGrid w:val="0"/>
                    <w:jc w:val="center"/>
                    <w:rPr>
                      <w:rFonts w:ascii="Times New Roman" w:hAnsi="Times New Roman"/>
                      <w:szCs w:val="21"/>
                      <w:lang w:bidi="ar"/>
                    </w:rPr>
                  </w:pPr>
                  <w:r>
                    <w:rPr>
                      <w:rFonts w:ascii="Times New Roman" w:hAnsi="Times New Roman"/>
                      <w:szCs w:val="21"/>
                    </w:rPr>
                    <w:t>8000张</w:t>
                  </w:r>
                </w:p>
              </w:tc>
              <w:tc>
                <w:tcPr>
                  <w:tcW w:w="467" w:type="pct"/>
                  <w:shd w:val="clear" w:color="auto" w:fill="auto"/>
                  <w:vAlign w:val="center"/>
                </w:tcPr>
                <w:p w14:paraId="660E0AE3">
                  <w:pPr>
                    <w:adjustRightInd w:val="0"/>
                    <w:snapToGrid w:val="0"/>
                    <w:jc w:val="center"/>
                    <w:rPr>
                      <w:rFonts w:ascii="Times New Roman" w:hAnsi="Times New Roman"/>
                      <w:szCs w:val="21"/>
                      <w:lang w:bidi="ar"/>
                    </w:rPr>
                  </w:pPr>
                  <w:r>
                    <w:rPr>
                      <w:rFonts w:ascii="Times New Roman" w:hAnsi="Times New Roman"/>
                      <w:szCs w:val="21"/>
                    </w:rPr>
                    <w:t>外购</w:t>
                  </w:r>
                </w:p>
              </w:tc>
              <w:tc>
                <w:tcPr>
                  <w:tcW w:w="2269" w:type="pct"/>
                  <w:shd w:val="clear" w:color="auto" w:fill="auto"/>
                  <w:vAlign w:val="center"/>
                </w:tcPr>
                <w:p w14:paraId="43C4A219">
                  <w:pPr>
                    <w:adjustRightInd w:val="0"/>
                    <w:snapToGrid w:val="0"/>
                    <w:jc w:val="center"/>
                    <w:rPr>
                      <w:rFonts w:ascii="Times New Roman" w:hAnsi="Times New Roman"/>
                      <w:szCs w:val="21"/>
                    </w:rPr>
                  </w:pPr>
                  <w:r>
                    <w:rPr>
                      <w:rFonts w:ascii="Times New Roman" w:hAnsi="Times New Roman"/>
                      <w:szCs w:val="21"/>
                    </w:rPr>
                    <w:t>卤化银</w:t>
                  </w:r>
                </w:p>
              </w:tc>
            </w:tr>
            <w:tr w14:paraId="7DDF1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8" w:type="pct"/>
                  <w:gridSpan w:val="2"/>
                  <w:vMerge w:val="continue"/>
                  <w:shd w:val="clear" w:color="auto" w:fill="auto"/>
                  <w:vAlign w:val="center"/>
                </w:tcPr>
                <w:p w14:paraId="7BD041B6">
                  <w:pPr>
                    <w:adjustRightInd w:val="0"/>
                    <w:snapToGrid w:val="0"/>
                    <w:ind w:left="-105" w:leftChars="-50" w:right="-105" w:rightChars="-50"/>
                    <w:jc w:val="center"/>
                    <w:rPr>
                      <w:rFonts w:ascii="Times New Roman" w:hAnsi="Times New Roman"/>
                      <w:bCs/>
                      <w:szCs w:val="21"/>
                      <w:lang w:bidi="ar"/>
                    </w:rPr>
                  </w:pPr>
                </w:p>
              </w:tc>
              <w:tc>
                <w:tcPr>
                  <w:tcW w:w="622" w:type="pct"/>
                  <w:vAlign w:val="center"/>
                </w:tcPr>
                <w:p w14:paraId="7F75D83A">
                  <w:pPr>
                    <w:jc w:val="center"/>
                    <w:rPr>
                      <w:rFonts w:ascii="Times New Roman" w:hAnsi="Times New Roman"/>
                      <w:szCs w:val="21"/>
                    </w:rPr>
                  </w:pPr>
                  <w:r>
                    <w:rPr>
                      <w:rFonts w:ascii="Times New Roman" w:hAnsi="Times New Roman"/>
                      <w:szCs w:val="21"/>
                    </w:rPr>
                    <w:t>显影液</w:t>
                  </w:r>
                </w:p>
              </w:tc>
              <w:tc>
                <w:tcPr>
                  <w:tcW w:w="934" w:type="pct"/>
                  <w:shd w:val="clear" w:color="auto" w:fill="auto"/>
                  <w:vAlign w:val="center"/>
                </w:tcPr>
                <w:p w14:paraId="66F525AD">
                  <w:pPr>
                    <w:adjustRightInd w:val="0"/>
                    <w:snapToGrid w:val="0"/>
                    <w:jc w:val="center"/>
                    <w:rPr>
                      <w:rFonts w:ascii="Times New Roman" w:hAnsi="Times New Roman"/>
                      <w:szCs w:val="21"/>
                      <w:lang w:bidi="ar"/>
                    </w:rPr>
                  </w:pPr>
                  <w:r>
                    <w:rPr>
                      <w:rFonts w:ascii="Times New Roman" w:hAnsi="Times New Roman"/>
                      <w:szCs w:val="21"/>
                    </w:rPr>
                    <w:t>100kg/a</w:t>
                  </w:r>
                </w:p>
              </w:tc>
              <w:tc>
                <w:tcPr>
                  <w:tcW w:w="467" w:type="pct"/>
                  <w:shd w:val="clear" w:color="auto" w:fill="auto"/>
                  <w:vAlign w:val="center"/>
                </w:tcPr>
                <w:p w14:paraId="65B33A62">
                  <w:pPr>
                    <w:adjustRightInd w:val="0"/>
                    <w:snapToGrid w:val="0"/>
                    <w:jc w:val="center"/>
                    <w:rPr>
                      <w:rFonts w:ascii="Times New Roman" w:hAnsi="Times New Roman"/>
                      <w:szCs w:val="21"/>
                      <w:lang w:bidi="ar"/>
                    </w:rPr>
                  </w:pPr>
                  <w:r>
                    <w:rPr>
                      <w:rFonts w:ascii="Times New Roman" w:hAnsi="Times New Roman"/>
                      <w:szCs w:val="21"/>
                    </w:rPr>
                    <w:t>外购</w:t>
                  </w:r>
                </w:p>
              </w:tc>
              <w:tc>
                <w:tcPr>
                  <w:tcW w:w="2269" w:type="pct"/>
                  <w:shd w:val="clear" w:color="auto" w:fill="auto"/>
                  <w:vAlign w:val="center"/>
                </w:tcPr>
                <w:p w14:paraId="27D3A7F5">
                  <w:pPr>
                    <w:adjustRightInd w:val="0"/>
                    <w:snapToGrid w:val="0"/>
                    <w:jc w:val="center"/>
                    <w:rPr>
                      <w:rFonts w:ascii="Times New Roman" w:hAnsi="Times New Roman"/>
                      <w:szCs w:val="21"/>
                    </w:rPr>
                  </w:pPr>
                  <w:r>
                    <w:rPr>
                      <w:rFonts w:ascii="Times New Roman" w:hAnsi="Times New Roman"/>
                      <w:szCs w:val="21"/>
                    </w:rPr>
                    <w:t>溴化钾、无水亚硫酸纳</w:t>
                  </w:r>
                </w:p>
              </w:tc>
            </w:tr>
            <w:tr w14:paraId="6E446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8" w:type="pct"/>
                  <w:gridSpan w:val="2"/>
                  <w:vMerge w:val="continue"/>
                  <w:shd w:val="clear" w:color="auto" w:fill="auto"/>
                  <w:vAlign w:val="center"/>
                </w:tcPr>
                <w:p w14:paraId="24156CCF">
                  <w:pPr>
                    <w:adjustRightInd w:val="0"/>
                    <w:snapToGrid w:val="0"/>
                    <w:ind w:left="-105" w:leftChars="-50" w:right="-105" w:rightChars="-50"/>
                    <w:jc w:val="center"/>
                    <w:rPr>
                      <w:rFonts w:ascii="Times New Roman" w:hAnsi="Times New Roman"/>
                      <w:bCs/>
                      <w:szCs w:val="21"/>
                      <w:lang w:bidi="ar"/>
                    </w:rPr>
                  </w:pPr>
                </w:p>
              </w:tc>
              <w:tc>
                <w:tcPr>
                  <w:tcW w:w="622" w:type="pct"/>
                  <w:vAlign w:val="center"/>
                </w:tcPr>
                <w:p w14:paraId="64FBF892">
                  <w:pPr>
                    <w:jc w:val="center"/>
                    <w:rPr>
                      <w:rFonts w:ascii="Times New Roman" w:hAnsi="Times New Roman"/>
                      <w:szCs w:val="21"/>
                    </w:rPr>
                  </w:pPr>
                  <w:r>
                    <w:rPr>
                      <w:rFonts w:ascii="Times New Roman" w:hAnsi="Times New Roman"/>
                      <w:szCs w:val="21"/>
                    </w:rPr>
                    <w:t>定影液</w:t>
                  </w:r>
                </w:p>
              </w:tc>
              <w:tc>
                <w:tcPr>
                  <w:tcW w:w="934" w:type="pct"/>
                  <w:shd w:val="clear" w:color="auto" w:fill="auto"/>
                  <w:vAlign w:val="center"/>
                </w:tcPr>
                <w:p w14:paraId="317BDBCC">
                  <w:pPr>
                    <w:adjustRightInd w:val="0"/>
                    <w:snapToGrid w:val="0"/>
                    <w:jc w:val="center"/>
                    <w:rPr>
                      <w:rFonts w:ascii="Times New Roman" w:hAnsi="Times New Roman"/>
                      <w:szCs w:val="21"/>
                      <w:lang w:bidi="ar"/>
                    </w:rPr>
                  </w:pPr>
                  <w:r>
                    <w:rPr>
                      <w:rFonts w:ascii="Times New Roman" w:hAnsi="Times New Roman"/>
                      <w:szCs w:val="21"/>
                    </w:rPr>
                    <w:t>100kg/a</w:t>
                  </w:r>
                </w:p>
              </w:tc>
              <w:tc>
                <w:tcPr>
                  <w:tcW w:w="467" w:type="pct"/>
                  <w:shd w:val="clear" w:color="auto" w:fill="auto"/>
                  <w:vAlign w:val="center"/>
                </w:tcPr>
                <w:p w14:paraId="77ABE404">
                  <w:pPr>
                    <w:adjustRightInd w:val="0"/>
                    <w:snapToGrid w:val="0"/>
                    <w:jc w:val="center"/>
                    <w:rPr>
                      <w:rFonts w:ascii="Times New Roman" w:hAnsi="Times New Roman"/>
                      <w:szCs w:val="21"/>
                      <w:lang w:bidi="ar"/>
                    </w:rPr>
                  </w:pPr>
                  <w:r>
                    <w:rPr>
                      <w:rFonts w:ascii="Times New Roman" w:hAnsi="Times New Roman"/>
                      <w:szCs w:val="21"/>
                    </w:rPr>
                    <w:t>外购</w:t>
                  </w:r>
                </w:p>
              </w:tc>
              <w:tc>
                <w:tcPr>
                  <w:tcW w:w="2269" w:type="pct"/>
                  <w:shd w:val="clear" w:color="auto" w:fill="auto"/>
                  <w:vAlign w:val="center"/>
                </w:tcPr>
                <w:p w14:paraId="18577587">
                  <w:pPr>
                    <w:adjustRightInd w:val="0"/>
                    <w:snapToGrid w:val="0"/>
                    <w:jc w:val="center"/>
                    <w:rPr>
                      <w:rFonts w:ascii="Times New Roman" w:hAnsi="Times New Roman"/>
                      <w:szCs w:val="21"/>
                    </w:rPr>
                  </w:pPr>
                  <w:r>
                    <w:rPr>
                      <w:rFonts w:ascii="Times New Roman" w:hAnsi="Times New Roman"/>
                      <w:szCs w:val="21"/>
                    </w:rPr>
                    <w:t>硫代硫酸钠(Na</w:t>
                  </w:r>
                  <w:r>
                    <w:rPr>
                      <w:rFonts w:ascii="Times New Roman" w:hAnsi="Times New Roman"/>
                      <w:szCs w:val="21"/>
                      <w:vertAlign w:val="subscript"/>
                    </w:rPr>
                    <w:t>2</w:t>
                  </w:r>
                  <w:r>
                    <w:rPr>
                      <w:rFonts w:ascii="Times New Roman" w:hAnsi="Times New Roman"/>
                      <w:szCs w:val="21"/>
                    </w:rPr>
                    <w:t>S</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)、无水亚硫酸钠</w:t>
                  </w:r>
                </w:p>
              </w:tc>
            </w:tr>
            <w:tr w14:paraId="20952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6" w:type="pct"/>
                  <w:vMerge w:val="restart"/>
                  <w:shd w:val="clear" w:color="auto" w:fill="auto"/>
                  <w:vAlign w:val="center"/>
                </w:tcPr>
                <w:p w14:paraId="3547E4BC">
                  <w:pPr>
                    <w:adjustRightInd w:val="0"/>
                    <w:snapToGrid w:val="0"/>
                    <w:ind w:left="-105" w:leftChars="-50" w:right="-105" w:rightChars="-50"/>
                    <w:jc w:val="center"/>
                    <w:rPr>
                      <w:rFonts w:ascii="Times New Roman" w:hAnsi="Times New Roman"/>
                      <w:bCs/>
                      <w:szCs w:val="21"/>
                      <w:lang w:bidi="ar"/>
                    </w:rPr>
                  </w:pPr>
                  <w:r>
                    <w:rPr>
                      <w:rFonts w:ascii="Times New Roman" w:hAnsi="Times New Roman"/>
                      <w:bCs/>
                      <w:szCs w:val="21"/>
                      <w:lang w:bidi="ar"/>
                    </w:rPr>
                    <w:t>能源</w:t>
                  </w:r>
                </w:p>
              </w:tc>
              <w:tc>
                <w:tcPr>
                  <w:tcW w:w="532" w:type="pct"/>
                  <w:shd w:val="clear" w:color="auto" w:fill="auto"/>
                  <w:vAlign w:val="center"/>
                </w:tcPr>
                <w:p w14:paraId="259054EE">
                  <w:pPr>
                    <w:adjustRightInd w:val="0"/>
                    <w:snapToGrid w:val="0"/>
                    <w:ind w:left="-105" w:leftChars="-50" w:right="-105" w:rightChars="-50"/>
                    <w:jc w:val="center"/>
                    <w:rPr>
                      <w:rFonts w:ascii="Times New Roman" w:hAnsi="Times New Roman"/>
                      <w:bCs/>
                      <w:szCs w:val="21"/>
                      <w:lang w:bidi="ar"/>
                    </w:rPr>
                  </w:pPr>
                  <w:r>
                    <w:rPr>
                      <w:rFonts w:ascii="Times New Roman" w:hAnsi="Times New Roman"/>
                      <w:szCs w:val="21"/>
                    </w:rPr>
                    <w:t>煤(T)</w:t>
                  </w:r>
                </w:p>
              </w:tc>
              <w:tc>
                <w:tcPr>
                  <w:tcW w:w="622" w:type="pct"/>
                  <w:vAlign w:val="center"/>
                </w:tcPr>
                <w:p w14:paraId="2D16EE4D">
                  <w:pPr>
                    <w:jc w:val="center"/>
                    <w:rPr>
                      <w:rFonts w:ascii="Times New Roman" w:hAnsi="Times New Roman"/>
                      <w:szCs w:val="21"/>
                    </w:rPr>
                  </w:pPr>
                  <w:r>
                    <w:rPr>
                      <w:rFonts w:ascii="Times New Roman" w:hAnsi="Times New Roman"/>
                      <w:szCs w:val="21"/>
                    </w:rPr>
                    <w:t>/</w:t>
                  </w:r>
                </w:p>
              </w:tc>
              <w:tc>
                <w:tcPr>
                  <w:tcW w:w="934" w:type="pct"/>
                  <w:shd w:val="clear" w:color="auto" w:fill="auto"/>
                  <w:vAlign w:val="center"/>
                </w:tcPr>
                <w:p w14:paraId="63C0D085">
                  <w:pPr>
                    <w:adjustRightInd w:val="0"/>
                    <w:snapToGrid w:val="0"/>
                    <w:jc w:val="center"/>
                    <w:rPr>
                      <w:rFonts w:ascii="Times New Roman" w:hAnsi="Times New Roman"/>
                      <w:szCs w:val="21"/>
                      <w:lang w:bidi="ar"/>
                    </w:rPr>
                  </w:pPr>
                  <w:r>
                    <w:rPr>
                      <w:rFonts w:ascii="Times New Roman" w:hAnsi="Times New Roman"/>
                      <w:szCs w:val="21"/>
                      <w:lang w:bidi="ar"/>
                    </w:rPr>
                    <w:t>/</w:t>
                  </w:r>
                </w:p>
              </w:tc>
              <w:tc>
                <w:tcPr>
                  <w:tcW w:w="467" w:type="pct"/>
                  <w:shd w:val="clear" w:color="auto" w:fill="auto"/>
                  <w:vAlign w:val="center"/>
                </w:tcPr>
                <w:p w14:paraId="770C6245">
                  <w:pPr>
                    <w:adjustRightInd w:val="0"/>
                    <w:snapToGrid w:val="0"/>
                    <w:jc w:val="center"/>
                    <w:rPr>
                      <w:rFonts w:ascii="Times New Roman" w:hAnsi="Times New Roman"/>
                      <w:szCs w:val="21"/>
                      <w:lang w:bidi="ar"/>
                    </w:rPr>
                  </w:pPr>
                  <w:r>
                    <w:rPr>
                      <w:rFonts w:ascii="Times New Roman" w:hAnsi="Times New Roman"/>
                      <w:szCs w:val="21"/>
                      <w:lang w:bidi="ar"/>
                    </w:rPr>
                    <w:t>/</w:t>
                  </w:r>
                </w:p>
              </w:tc>
              <w:tc>
                <w:tcPr>
                  <w:tcW w:w="2269" w:type="pct"/>
                  <w:shd w:val="clear" w:color="auto" w:fill="auto"/>
                  <w:vAlign w:val="center"/>
                </w:tcPr>
                <w:p w14:paraId="3122D6BF">
                  <w:pPr>
                    <w:adjustRightInd w:val="0"/>
                    <w:snapToGrid w:val="0"/>
                    <w:jc w:val="center"/>
                    <w:rPr>
                      <w:rFonts w:ascii="Times New Roman" w:hAnsi="Times New Roman"/>
                      <w:szCs w:val="21"/>
                    </w:rPr>
                  </w:pPr>
                  <w:r>
                    <w:rPr>
                      <w:rFonts w:ascii="Times New Roman" w:hAnsi="Times New Roman"/>
                      <w:szCs w:val="21"/>
                    </w:rPr>
                    <w:t>/</w:t>
                  </w:r>
                </w:p>
              </w:tc>
            </w:tr>
            <w:tr w14:paraId="0929E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6" w:type="pct"/>
                  <w:vMerge w:val="continue"/>
                  <w:shd w:val="clear" w:color="auto" w:fill="auto"/>
                  <w:vAlign w:val="center"/>
                </w:tcPr>
                <w:p w14:paraId="2CDB04DE">
                  <w:pPr>
                    <w:adjustRightInd w:val="0"/>
                    <w:snapToGrid w:val="0"/>
                    <w:ind w:left="-105" w:leftChars="-50" w:right="-105" w:rightChars="-50"/>
                    <w:jc w:val="center"/>
                    <w:rPr>
                      <w:rFonts w:ascii="Times New Roman" w:hAnsi="Times New Roman"/>
                      <w:bCs/>
                      <w:szCs w:val="21"/>
                      <w:lang w:bidi="ar"/>
                    </w:rPr>
                  </w:pPr>
                </w:p>
              </w:tc>
              <w:tc>
                <w:tcPr>
                  <w:tcW w:w="532" w:type="pct"/>
                  <w:shd w:val="clear" w:color="auto" w:fill="auto"/>
                  <w:vAlign w:val="center"/>
                </w:tcPr>
                <w:p w14:paraId="14835FA1">
                  <w:pPr>
                    <w:adjustRightInd w:val="0"/>
                    <w:snapToGrid w:val="0"/>
                    <w:ind w:left="-105" w:leftChars="-50" w:right="-105" w:rightChars="-50"/>
                    <w:jc w:val="center"/>
                    <w:rPr>
                      <w:rFonts w:ascii="Times New Roman" w:hAnsi="Times New Roman"/>
                      <w:bCs/>
                      <w:szCs w:val="21"/>
                      <w:lang w:bidi="ar"/>
                    </w:rPr>
                  </w:pPr>
                  <w:r>
                    <w:rPr>
                      <w:rFonts w:ascii="Times New Roman" w:hAnsi="Times New Roman"/>
                      <w:szCs w:val="21"/>
                    </w:rPr>
                    <w:t>电(度)</w:t>
                  </w:r>
                </w:p>
              </w:tc>
              <w:tc>
                <w:tcPr>
                  <w:tcW w:w="622" w:type="pct"/>
                  <w:vAlign w:val="center"/>
                </w:tcPr>
                <w:p w14:paraId="0EF85C10">
                  <w:pPr>
                    <w:jc w:val="center"/>
                    <w:rPr>
                      <w:rFonts w:ascii="Times New Roman" w:hAnsi="Times New Roman"/>
                      <w:szCs w:val="21"/>
                    </w:rPr>
                  </w:pPr>
                  <w:r>
                    <w:rPr>
                      <w:rFonts w:ascii="Times New Roman" w:hAnsi="Times New Roman"/>
                      <w:szCs w:val="21"/>
                    </w:rPr>
                    <w:t>探伤用电</w:t>
                  </w:r>
                </w:p>
              </w:tc>
              <w:tc>
                <w:tcPr>
                  <w:tcW w:w="934" w:type="pct"/>
                  <w:shd w:val="clear" w:color="auto" w:fill="auto"/>
                  <w:vAlign w:val="center"/>
                </w:tcPr>
                <w:p w14:paraId="68F08A9B">
                  <w:pPr>
                    <w:adjustRightInd w:val="0"/>
                    <w:snapToGrid w:val="0"/>
                    <w:jc w:val="center"/>
                    <w:rPr>
                      <w:rFonts w:ascii="Times New Roman" w:hAnsi="Times New Roman"/>
                      <w:szCs w:val="21"/>
                      <w:lang w:bidi="ar"/>
                    </w:rPr>
                  </w:pPr>
                  <w:r>
                    <w:rPr>
                      <w:rFonts w:ascii="Times New Roman" w:hAnsi="Times New Roman"/>
                      <w:szCs w:val="21"/>
                    </w:rPr>
                    <w:t>750kWh</w:t>
                  </w:r>
                </w:p>
              </w:tc>
              <w:tc>
                <w:tcPr>
                  <w:tcW w:w="467" w:type="pct"/>
                  <w:shd w:val="clear" w:color="auto" w:fill="auto"/>
                  <w:vAlign w:val="center"/>
                </w:tcPr>
                <w:p w14:paraId="6F02505F">
                  <w:pPr>
                    <w:adjustRightInd w:val="0"/>
                    <w:snapToGrid w:val="0"/>
                    <w:jc w:val="center"/>
                    <w:rPr>
                      <w:rFonts w:ascii="Times New Roman" w:hAnsi="Times New Roman"/>
                      <w:szCs w:val="21"/>
                      <w:lang w:bidi="ar"/>
                    </w:rPr>
                  </w:pPr>
                  <w:r>
                    <w:rPr>
                      <w:rFonts w:ascii="Times New Roman" w:hAnsi="Times New Roman"/>
                      <w:szCs w:val="21"/>
                      <w:lang w:bidi="ar"/>
                    </w:rPr>
                    <w:t>/</w:t>
                  </w:r>
                </w:p>
              </w:tc>
              <w:tc>
                <w:tcPr>
                  <w:tcW w:w="2269" w:type="pct"/>
                  <w:shd w:val="clear" w:color="auto" w:fill="auto"/>
                  <w:vAlign w:val="center"/>
                </w:tcPr>
                <w:p w14:paraId="46D23436">
                  <w:pPr>
                    <w:adjustRightInd w:val="0"/>
                    <w:snapToGrid w:val="0"/>
                    <w:jc w:val="center"/>
                    <w:rPr>
                      <w:rFonts w:ascii="Times New Roman" w:hAnsi="Times New Roman"/>
                      <w:szCs w:val="21"/>
                    </w:rPr>
                  </w:pPr>
                  <w:r>
                    <w:rPr>
                      <w:rFonts w:ascii="Times New Roman" w:hAnsi="Times New Roman"/>
                      <w:szCs w:val="21"/>
                    </w:rPr>
                    <w:t>/</w:t>
                  </w:r>
                </w:p>
              </w:tc>
            </w:tr>
            <w:tr w14:paraId="58570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6" w:type="pct"/>
                  <w:vMerge w:val="continue"/>
                  <w:shd w:val="clear" w:color="auto" w:fill="auto"/>
                  <w:vAlign w:val="center"/>
                </w:tcPr>
                <w:p w14:paraId="5D79759B">
                  <w:pPr>
                    <w:adjustRightInd w:val="0"/>
                    <w:snapToGrid w:val="0"/>
                    <w:ind w:left="-105" w:leftChars="-50" w:right="-105" w:rightChars="-50"/>
                    <w:jc w:val="center"/>
                    <w:rPr>
                      <w:rFonts w:ascii="Times New Roman" w:hAnsi="Times New Roman"/>
                      <w:bCs/>
                      <w:szCs w:val="21"/>
                      <w:lang w:bidi="ar"/>
                    </w:rPr>
                  </w:pPr>
                </w:p>
              </w:tc>
              <w:tc>
                <w:tcPr>
                  <w:tcW w:w="532" w:type="pct"/>
                  <w:shd w:val="clear" w:color="auto" w:fill="auto"/>
                  <w:vAlign w:val="center"/>
                </w:tcPr>
                <w:p w14:paraId="272DA150">
                  <w:pPr>
                    <w:adjustRightInd w:val="0"/>
                    <w:snapToGrid w:val="0"/>
                    <w:ind w:left="-105" w:leftChars="-50" w:right="-105" w:rightChars="-50"/>
                    <w:jc w:val="center"/>
                    <w:rPr>
                      <w:rFonts w:ascii="Times New Roman" w:hAnsi="Times New Roman"/>
                      <w:bCs/>
                      <w:szCs w:val="21"/>
                      <w:lang w:bidi="ar"/>
                    </w:rPr>
                  </w:pPr>
                  <w:r>
                    <w:rPr>
                      <w:rFonts w:ascii="Times New Roman" w:hAnsi="Times New Roman"/>
                      <w:szCs w:val="21"/>
                    </w:rPr>
                    <w:t>气(Nm</w:t>
                  </w:r>
                  <w:r>
                    <w:rPr>
                      <w:rFonts w:ascii="Times New Roman" w:hAnsi="Times New Roman"/>
                      <w:szCs w:val="21"/>
                      <w:vertAlign w:val="superscript"/>
                    </w:rPr>
                    <w:t>3</w:t>
                  </w:r>
                  <w:r>
                    <w:rPr>
                      <w:rFonts w:ascii="Times New Roman" w:hAnsi="Times New Roman"/>
                      <w:szCs w:val="21"/>
                    </w:rPr>
                    <w:t>)</w:t>
                  </w:r>
                </w:p>
              </w:tc>
              <w:tc>
                <w:tcPr>
                  <w:tcW w:w="622" w:type="pct"/>
                  <w:vAlign w:val="center"/>
                </w:tcPr>
                <w:p w14:paraId="1C9240DF">
                  <w:pPr>
                    <w:jc w:val="center"/>
                    <w:rPr>
                      <w:rFonts w:ascii="Times New Roman" w:hAnsi="Times New Roman"/>
                      <w:szCs w:val="21"/>
                    </w:rPr>
                  </w:pPr>
                  <w:r>
                    <w:rPr>
                      <w:rFonts w:ascii="Times New Roman" w:hAnsi="Times New Roman"/>
                      <w:szCs w:val="21"/>
                    </w:rPr>
                    <w:t>/</w:t>
                  </w:r>
                </w:p>
              </w:tc>
              <w:tc>
                <w:tcPr>
                  <w:tcW w:w="934" w:type="pct"/>
                  <w:shd w:val="clear" w:color="auto" w:fill="auto"/>
                  <w:vAlign w:val="center"/>
                </w:tcPr>
                <w:p w14:paraId="31CF7771">
                  <w:pPr>
                    <w:adjustRightInd w:val="0"/>
                    <w:snapToGrid w:val="0"/>
                    <w:jc w:val="center"/>
                    <w:rPr>
                      <w:rFonts w:ascii="Times New Roman" w:hAnsi="Times New Roman"/>
                      <w:szCs w:val="21"/>
                      <w:lang w:bidi="ar"/>
                    </w:rPr>
                  </w:pPr>
                  <w:r>
                    <w:rPr>
                      <w:rFonts w:ascii="Times New Roman" w:hAnsi="Times New Roman"/>
                      <w:szCs w:val="21"/>
                      <w:lang w:bidi="ar"/>
                    </w:rPr>
                    <w:t>/</w:t>
                  </w:r>
                </w:p>
              </w:tc>
              <w:tc>
                <w:tcPr>
                  <w:tcW w:w="467" w:type="pct"/>
                  <w:shd w:val="clear" w:color="auto" w:fill="auto"/>
                  <w:vAlign w:val="center"/>
                </w:tcPr>
                <w:p w14:paraId="7F25E803">
                  <w:pPr>
                    <w:adjustRightInd w:val="0"/>
                    <w:snapToGrid w:val="0"/>
                    <w:jc w:val="center"/>
                    <w:rPr>
                      <w:rFonts w:ascii="Times New Roman" w:hAnsi="Times New Roman"/>
                      <w:szCs w:val="21"/>
                      <w:lang w:bidi="ar"/>
                    </w:rPr>
                  </w:pPr>
                  <w:r>
                    <w:rPr>
                      <w:rFonts w:ascii="Times New Roman" w:hAnsi="Times New Roman"/>
                      <w:szCs w:val="21"/>
                      <w:lang w:bidi="ar"/>
                    </w:rPr>
                    <w:t>/</w:t>
                  </w:r>
                </w:p>
              </w:tc>
              <w:tc>
                <w:tcPr>
                  <w:tcW w:w="2269" w:type="pct"/>
                  <w:shd w:val="clear" w:color="auto" w:fill="auto"/>
                  <w:vAlign w:val="center"/>
                </w:tcPr>
                <w:p w14:paraId="6C42C39B">
                  <w:pPr>
                    <w:adjustRightInd w:val="0"/>
                    <w:snapToGrid w:val="0"/>
                    <w:jc w:val="center"/>
                    <w:rPr>
                      <w:rFonts w:ascii="Times New Roman" w:hAnsi="Times New Roman"/>
                      <w:szCs w:val="21"/>
                    </w:rPr>
                  </w:pPr>
                  <w:r>
                    <w:rPr>
                      <w:rFonts w:ascii="Times New Roman" w:hAnsi="Times New Roman"/>
                      <w:szCs w:val="21"/>
                    </w:rPr>
                    <w:t>/</w:t>
                  </w:r>
                </w:p>
              </w:tc>
            </w:tr>
            <w:tr w14:paraId="560B7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6" w:type="pct"/>
                  <w:vMerge w:val="restart"/>
                  <w:shd w:val="clear" w:color="auto" w:fill="auto"/>
                  <w:vAlign w:val="center"/>
                </w:tcPr>
                <w:p w14:paraId="1E986297">
                  <w:pPr>
                    <w:adjustRightInd w:val="0"/>
                    <w:snapToGrid w:val="0"/>
                    <w:ind w:left="-105" w:leftChars="-50" w:right="-105" w:rightChars="-50"/>
                    <w:jc w:val="center"/>
                    <w:rPr>
                      <w:rFonts w:ascii="Times New Roman" w:hAnsi="Times New Roman"/>
                      <w:bCs/>
                      <w:szCs w:val="21"/>
                      <w:lang w:bidi="ar"/>
                    </w:rPr>
                  </w:pPr>
                  <w:r>
                    <w:rPr>
                      <w:rFonts w:ascii="Times New Roman" w:hAnsi="Times New Roman"/>
                      <w:bCs/>
                      <w:szCs w:val="21"/>
                      <w:lang w:bidi="ar"/>
                    </w:rPr>
                    <w:t>水量</w:t>
                  </w:r>
                </w:p>
              </w:tc>
              <w:tc>
                <w:tcPr>
                  <w:tcW w:w="532" w:type="pct"/>
                  <w:shd w:val="clear" w:color="auto" w:fill="auto"/>
                  <w:vAlign w:val="center"/>
                </w:tcPr>
                <w:p w14:paraId="3EF80273">
                  <w:pPr>
                    <w:adjustRightInd w:val="0"/>
                    <w:snapToGrid w:val="0"/>
                    <w:ind w:left="-105" w:leftChars="-50" w:right="-105" w:rightChars="-50"/>
                    <w:jc w:val="center"/>
                    <w:rPr>
                      <w:rFonts w:ascii="Times New Roman" w:hAnsi="Times New Roman"/>
                      <w:bCs/>
                      <w:szCs w:val="21"/>
                      <w:lang w:bidi="ar"/>
                    </w:rPr>
                  </w:pPr>
                  <w:r>
                    <w:rPr>
                      <w:rFonts w:ascii="Times New Roman" w:hAnsi="Times New Roman"/>
                      <w:szCs w:val="21"/>
                    </w:rPr>
                    <w:t>地表水</w:t>
                  </w:r>
                </w:p>
              </w:tc>
              <w:tc>
                <w:tcPr>
                  <w:tcW w:w="622" w:type="pct"/>
                  <w:vAlign w:val="center"/>
                </w:tcPr>
                <w:p w14:paraId="4B82DAC8">
                  <w:pPr>
                    <w:jc w:val="center"/>
                    <w:rPr>
                      <w:rFonts w:ascii="Times New Roman" w:hAnsi="Times New Roman"/>
                      <w:szCs w:val="21"/>
                    </w:rPr>
                  </w:pPr>
                  <w:r>
                    <w:rPr>
                      <w:rFonts w:ascii="Times New Roman" w:hAnsi="Times New Roman"/>
                      <w:szCs w:val="21"/>
                    </w:rPr>
                    <w:t>自来水</w:t>
                  </w:r>
                </w:p>
              </w:tc>
              <w:tc>
                <w:tcPr>
                  <w:tcW w:w="934" w:type="pct"/>
                  <w:shd w:val="clear" w:color="auto" w:fill="auto"/>
                  <w:vAlign w:val="center"/>
                </w:tcPr>
                <w:p w14:paraId="760FFECC">
                  <w:pPr>
                    <w:adjustRightInd w:val="0"/>
                    <w:snapToGrid w:val="0"/>
                    <w:jc w:val="center"/>
                    <w:rPr>
                      <w:rFonts w:ascii="Times New Roman" w:hAnsi="Times New Roman"/>
                      <w:szCs w:val="21"/>
                      <w:lang w:bidi="ar"/>
                    </w:rPr>
                  </w:pPr>
                  <w:r>
                    <w:rPr>
                      <w:rFonts w:ascii="Times New Roman" w:hAnsi="Times New Roman"/>
                      <w:szCs w:val="21"/>
                    </w:rPr>
                    <w:t>60m</w:t>
                  </w:r>
                  <w:r>
                    <w:rPr>
                      <w:rFonts w:ascii="Times New Roman" w:hAnsi="Times New Roman"/>
                      <w:szCs w:val="21"/>
                      <w:vertAlign w:val="superscript"/>
                    </w:rPr>
                    <w:t>3</w:t>
                  </w:r>
                  <w:r>
                    <w:rPr>
                      <w:rFonts w:ascii="Times New Roman" w:hAnsi="Times New Roman"/>
                      <w:szCs w:val="21"/>
                    </w:rPr>
                    <w:t>/a</w:t>
                  </w:r>
                </w:p>
              </w:tc>
              <w:tc>
                <w:tcPr>
                  <w:tcW w:w="467" w:type="pct"/>
                  <w:shd w:val="clear" w:color="auto" w:fill="auto"/>
                  <w:vAlign w:val="center"/>
                </w:tcPr>
                <w:p w14:paraId="5EAED7A3">
                  <w:pPr>
                    <w:adjustRightInd w:val="0"/>
                    <w:snapToGrid w:val="0"/>
                    <w:jc w:val="center"/>
                    <w:rPr>
                      <w:rFonts w:ascii="Times New Roman" w:hAnsi="Times New Roman"/>
                      <w:szCs w:val="21"/>
                      <w:lang w:bidi="ar"/>
                    </w:rPr>
                  </w:pPr>
                  <w:r>
                    <w:rPr>
                      <w:rFonts w:ascii="Times New Roman" w:hAnsi="Times New Roman"/>
                      <w:szCs w:val="21"/>
                      <w:lang w:bidi="ar"/>
                    </w:rPr>
                    <w:t>/</w:t>
                  </w:r>
                </w:p>
              </w:tc>
              <w:tc>
                <w:tcPr>
                  <w:tcW w:w="2269" w:type="pct"/>
                  <w:shd w:val="clear" w:color="auto" w:fill="auto"/>
                  <w:vAlign w:val="center"/>
                </w:tcPr>
                <w:p w14:paraId="7493680C">
                  <w:pPr>
                    <w:adjustRightInd w:val="0"/>
                    <w:snapToGrid w:val="0"/>
                    <w:jc w:val="center"/>
                    <w:rPr>
                      <w:rFonts w:ascii="Times New Roman" w:hAnsi="Times New Roman"/>
                      <w:szCs w:val="21"/>
                    </w:rPr>
                  </w:pPr>
                  <w:r>
                    <w:rPr>
                      <w:rFonts w:ascii="Times New Roman" w:hAnsi="Times New Roman"/>
                      <w:szCs w:val="21"/>
                    </w:rPr>
                    <w:t>/</w:t>
                  </w:r>
                </w:p>
              </w:tc>
            </w:tr>
            <w:tr w14:paraId="2FFC1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6" w:type="pct"/>
                  <w:vMerge w:val="continue"/>
                  <w:shd w:val="clear" w:color="auto" w:fill="auto"/>
                  <w:vAlign w:val="center"/>
                </w:tcPr>
                <w:p w14:paraId="75800843">
                  <w:pPr>
                    <w:adjustRightInd w:val="0"/>
                    <w:snapToGrid w:val="0"/>
                    <w:ind w:left="-105" w:leftChars="-50" w:right="-105" w:rightChars="-50"/>
                    <w:jc w:val="center"/>
                    <w:rPr>
                      <w:rFonts w:ascii="Times New Roman" w:hAnsi="Times New Roman"/>
                      <w:bCs/>
                      <w:szCs w:val="21"/>
                      <w:lang w:bidi="ar"/>
                    </w:rPr>
                  </w:pPr>
                </w:p>
              </w:tc>
              <w:tc>
                <w:tcPr>
                  <w:tcW w:w="532" w:type="pct"/>
                  <w:shd w:val="clear" w:color="auto" w:fill="auto"/>
                  <w:vAlign w:val="center"/>
                </w:tcPr>
                <w:p w14:paraId="1163F746">
                  <w:pPr>
                    <w:adjustRightInd w:val="0"/>
                    <w:snapToGrid w:val="0"/>
                    <w:ind w:left="-105" w:leftChars="-50" w:right="-105" w:rightChars="-50"/>
                    <w:jc w:val="center"/>
                    <w:rPr>
                      <w:rFonts w:ascii="Times New Roman" w:hAnsi="Times New Roman"/>
                      <w:bCs/>
                      <w:szCs w:val="21"/>
                      <w:lang w:bidi="ar"/>
                    </w:rPr>
                  </w:pPr>
                  <w:r>
                    <w:rPr>
                      <w:rFonts w:ascii="Times New Roman" w:hAnsi="Times New Roman"/>
                      <w:szCs w:val="21"/>
                    </w:rPr>
                    <w:t>地下水</w:t>
                  </w:r>
                </w:p>
              </w:tc>
              <w:tc>
                <w:tcPr>
                  <w:tcW w:w="622" w:type="pct"/>
                  <w:vAlign w:val="center"/>
                </w:tcPr>
                <w:p w14:paraId="4311E5D6">
                  <w:pPr>
                    <w:jc w:val="center"/>
                    <w:rPr>
                      <w:rFonts w:ascii="Times New Roman" w:hAnsi="Times New Roman"/>
                      <w:szCs w:val="21"/>
                    </w:rPr>
                  </w:pPr>
                  <w:r>
                    <w:rPr>
                      <w:rFonts w:ascii="Times New Roman" w:hAnsi="Times New Roman"/>
                      <w:szCs w:val="21"/>
                    </w:rPr>
                    <w:t>/</w:t>
                  </w:r>
                </w:p>
              </w:tc>
              <w:tc>
                <w:tcPr>
                  <w:tcW w:w="934" w:type="pct"/>
                  <w:shd w:val="clear" w:color="auto" w:fill="auto"/>
                  <w:vAlign w:val="center"/>
                </w:tcPr>
                <w:p w14:paraId="20AB1F6E">
                  <w:pPr>
                    <w:adjustRightInd w:val="0"/>
                    <w:snapToGrid w:val="0"/>
                    <w:jc w:val="center"/>
                    <w:rPr>
                      <w:rFonts w:ascii="Times New Roman" w:hAnsi="Times New Roman"/>
                      <w:szCs w:val="21"/>
                      <w:lang w:bidi="ar"/>
                    </w:rPr>
                  </w:pPr>
                  <w:r>
                    <w:rPr>
                      <w:rFonts w:ascii="Times New Roman" w:hAnsi="Times New Roman"/>
                      <w:szCs w:val="21"/>
                      <w:lang w:bidi="ar"/>
                    </w:rPr>
                    <w:t>/</w:t>
                  </w:r>
                </w:p>
              </w:tc>
              <w:tc>
                <w:tcPr>
                  <w:tcW w:w="467" w:type="pct"/>
                  <w:shd w:val="clear" w:color="auto" w:fill="auto"/>
                  <w:vAlign w:val="center"/>
                </w:tcPr>
                <w:p w14:paraId="5FE18CE2">
                  <w:pPr>
                    <w:adjustRightInd w:val="0"/>
                    <w:snapToGrid w:val="0"/>
                    <w:jc w:val="center"/>
                    <w:rPr>
                      <w:rFonts w:ascii="Times New Roman" w:hAnsi="Times New Roman"/>
                      <w:szCs w:val="21"/>
                      <w:lang w:bidi="ar"/>
                    </w:rPr>
                  </w:pPr>
                  <w:r>
                    <w:rPr>
                      <w:rFonts w:ascii="Times New Roman" w:hAnsi="Times New Roman"/>
                      <w:szCs w:val="21"/>
                      <w:lang w:bidi="ar"/>
                    </w:rPr>
                    <w:t>/</w:t>
                  </w:r>
                </w:p>
              </w:tc>
              <w:tc>
                <w:tcPr>
                  <w:tcW w:w="2269" w:type="pct"/>
                  <w:shd w:val="clear" w:color="auto" w:fill="auto"/>
                  <w:vAlign w:val="center"/>
                </w:tcPr>
                <w:p w14:paraId="6AE6B6B4">
                  <w:pPr>
                    <w:adjustRightInd w:val="0"/>
                    <w:snapToGrid w:val="0"/>
                    <w:jc w:val="center"/>
                    <w:rPr>
                      <w:rFonts w:ascii="Times New Roman" w:hAnsi="Times New Roman"/>
                      <w:szCs w:val="21"/>
                    </w:rPr>
                  </w:pPr>
                  <w:r>
                    <w:rPr>
                      <w:rFonts w:ascii="Times New Roman" w:hAnsi="Times New Roman"/>
                      <w:szCs w:val="21"/>
                    </w:rPr>
                    <w:t>/</w:t>
                  </w:r>
                </w:p>
              </w:tc>
            </w:tr>
          </w:tbl>
          <w:p w14:paraId="07242041">
            <w:pPr>
              <w:adjustRightInd w:val="0"/>
              <w:snapToGrid w:val="0"/>
              <w:spacing w:before="100" w:beforeAutospacing="1" w:line="360" w:lineRule="auto"/>
              <w:ind w:firstLine="480" w:firstLineChars="200"/>
              <w:rPr>
                <w:rFonts w:ascii="Times New Roman" w:hAnsi="Times New Roman"/>
                <w:szCs w:val="21"/>
              </w:rPr>
            </w:pPr>
            <w:r>
              <w:rPr>
                <w:rFonts w:ascii="Times New Roman" w:hAnsi="Times New Roman"/>
                <w:sz w:val="24"/>
              </w:rPr>
              <w:t>本项目新增5台X射线探伤机及胶片处理装置，探伤机均属于Ⅱ类射线装置，详见表1-3和表1-4。</w:t>
            </w:r>
          </w:p>
          <w:p w14:paraId="5154646A">
            <w:pPr>
              <w:adjustRightInd w:val="0"/>
              <w:snapToGrid w:val="0"/>
              <w:jc w:val="center"/>
              <w:rPr>
                <w:rFonts w:ascii="Times New Roman" w:hAnsi="Times New Roman"/>
                <w:szCs w:val="21"/>
              </w:rPr>
            </w:pPr>
            <w:r>
              <w:rPr>
                <w:rFonts w:ascii="Times New Roman" w:hAnsi="Times New Roman"/>
                <w:b/>
                <w:szCs w:val="21"/>
                <w:lang w:bidi="ar"/>
              </w:rPr>
              <w:t>表1-3 本项目新增射线装置参数一览表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624"/>
              <w:gridCol w:w="1276"/>
              <w:gridCol w:w="709"/>
              <w:gridCol w:w="649"/>
              <w:gridCol w:w="944"/>
              <w:gridCol w:w="980"/>
              <w:gridCol w:w="884"/>
              <w:gridCol w:w="988"/>
              <w:gridCol w:w="824"/>
            </w:tblGrid>
            <w:tr w14:paraId="0190B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6" w:type="pct"/>
                  <w:vAlign w:val="center"/>
                </w:tcPr>
                <w:p w14:paraId="00465874">
                  <w:pPr>
                    <w:adjustRightInd w:val="0"/>
                    <w:snapToGrid w:val="0"/>
                    <w:jc w:val="center"/>
                    <w:rPr>
                      <w:rFonts w:ascii="Times New Roman" w:hAnsi="Times New Roman"/>
                      <w:b/>
                      <w:szCs w:val="21"/>
                      <w:lang w:bidi="ar"/>
                    </w:rPr>
                  </w:pPr>
                  <w:r>
                    <w:rPr>
                      <w:rFonts w:ascii="Times New Roman" w:hAnsi="Times New Roman"/>
                      <w:b/>
                      <w:szCs w:val="21"/>
                    </w:rPr>
                    <w:t>设备型号</w:t>
                  </w:r>
                </w:p>
              </w:tc>
              <w:tc>
                <w:tcPr>
                  <w:tcW w:w="343" w:type="pct"/>
                  <w:shd w:val="clear" w:color="auto" w:fill="auto"/>
                  <w:vAlign w:val="center"/>
                </w:tcPr>
                <w:p w14:paraId="25BC0514">
                  <w:pPr>
                    <w:adjustRightInd w:val="0"/>
                    <w:snapToGrid w:val="0"/>
                    <w:ind w:left="-105" w:leftChars="-50" w:right="-105" w:rightChars="-50"/>
                    <w:jc w:val="center"/>
                    <w:rPr>
                      <w:rFonts w:ascii="Times New Roman" w:hAnsi="Times New Roman"/>
                      <w:b/>
                      <w:szCs w:val="21"/>
                    </w:rPr>
                  </w:pPr>
                  <w:r>
                    <w:rPr>
                      <w:rFonts w:ascii="Times New Roman" w:hAnsi="Times New Roman"/>
                      <w:b/>
                      <w:szCs w:val="21"/>
                      <w:lang w:bidi="ar"/>
                    </w:rPr>
                    <w:t>数量</w:t>
                  </w:r>
                </w:p>
              </w:tc>
              <w:tc>
                <w:tcPr>
                  <w:tcW w:w="700" w:type="pct"/>
                  <w:shd w:val="clear" w:color="auto" w:fill="auto"/>
                  <w:vAlign w:val="center"/>
                </w:tcPr>
                <w:p w14:paraId="3408DBDF">
                  <w:pPr>
                    <w:adjustRightInd w:val="0"/>
                    <w:snapToGrid w:val="0"/>
                    <w:jc w:val="center"/>
                    <w:rPr>
                      <w:rFonts w:ascii="Times New Roman" w:hAnsi="Times New Roman"/>
                      <w:b/>
                      <w:szCs w:val="21"/>
                      <w:lang w:bidi="ar"/>
                    </w:rPr>
                  </w:pPr>
                  <w:r>
                    <w:rPr>
                      <w:rFonts w:ascii="Times New Roman" w:hAnsi="Times New Roman"/>
                      <w:b/>
                      <w:szCs w:val="21"/>
                      <w:lang w:bidi="ar"/>
                    </w:rPr>
                    <w:t>最大管电压（kV）</w:t>
                  </w:r>
                </w:p>
                <w:p w14:paraId="391B86D1">
                  <w:pPr>
                    <w:adjustRightInd w:val="0"/>
                    <w:snapToGrid w:val="0"/>
                    <w:jc w:val="center"/>
                    <w:rPr>
                      <w:rFonts w:ascii="Times New Roman" w:hAnsi="Times New Roman"/>
                      <w:b/>
                      <w:szCs w:val="21"/>
                    </w:rPr>
                  </w:pPr>
                  <w:r>
                    <w:rPr>
                      <w:rFonts w:ascii="Times New Roman" w:hAnsi="Times New Roman"/>
                      <w:b/>
                      <w:szCs w:val="21"/>
                      <w:lang w:bidi="ar"/>
                    </w:rPr>
                    <w:t>最大管电流（mA）</w:t>
                  </w:r>
                </w:p>
              </w:tc>
              <w:tc>
                <w:tcPr>
                  <w:tcW w:w="389" w:type="pct"/>
                  <w:shd w:val="clear" w:color="auto" w:fill="auto"/>
                  <w:vAlign w:val="center"/>
                </w:tcPr>
                <w:p w14:paraId="700FCAC7">
                  <w:pPr>
                    <w:adjustRightInd w:val="0"/>
                    <w:snapToGrid w:val="0"/>
                    <w:jc w:val="center"/>
                    <w:rPr>
                      <w:rFonts w:ascii="Times New Roman" w:hAnsi="Times New Roman"/>
                      <w:b/>
                      <w:szCs w:val="21"/>
                    </w:rPr>
                  </w:pPr>
                  <w:r>
                    <w:rPr>
                      <w:rFonts w:ascii="Times New Roman" w:hAnsi="Times New Roman"/>
                      <w:b/>
                      <w:szCs w:val="21"/>
                      <w:lang w:bidi="ar"/>
                    </w:rPr>
                    <w:t>类别</w:t>
                  </w:r>
                </w:p>
              </w:tc>
              <w:tc>
                <w:tcPr>
                  <w:tcW w:w="356" w:type="pct"/>
                  <w:vAlign w:val="center"/>
                </w:tcPr>
                <w:p w14:paraId="28E31FBE">
                  <w:pPr>
                    <w:adjustRightInd w:val="0"/>
                    <w:snapToGrid w:val="0"/>
                    <w:jc w:val="center"/>
                    <w:rPr>
                      <w:rFonts w:ascii="Times New Roman" w:hAnsi="Times New Roman"/>
                      <w:b/>
                      <w:szCs w:val="21"/>
                      <w:lang w:bidi="ar"/>
                    </w:rPr>
                  </w:pPr>
                  <w:r>
                    <w:rPr>
                      <w:rFonts w:ascii="Times New Roman" w:hAnsi="Times New Roman"/>
                      <w:b/>
                      <w:szCs w:val="21"/>
                      <w:lang w:bidi="ar"/>
                    </w:rPr>
                    <w:t>光束类型</w:t>
                  </w:r>
                </w:p>
              </w:tc>
              <w:tc>
                <w:tcPr>
                  <w:tcW w:w="518" w:type="pct"/>
                  <w:vAlign w:val="center"/>
                </w:tcPr>
                <w:p w14:paraId="311E0A19">
                  <w:pPr>
                    <w:adjustRightInd w:val="0"/>
                    <w:snapToGrid w:val="0"/>
                    <w:jc w:val="center"/>
                    <w:rPr>
                      <w:rFonts w:ascii="Times New Roman" w:hAnsi="Times New Roman"/>
                      <w:b/>
                      <w:szCs w:val="21"/>
                      <w:lang w:bidi="ar"/>
                    </w:rPr>
                  </w:pPr>
                  <w:r>
                    <w:rPr>
                      <w:rFonts w:ascii="Times New Roman" w:hAnsi="Times New Roman"/>
                      <w:b/>
                      <w:szCs w:val="21"/>
                      <w:lang w:bidi="ar"/>
                    </w:rPr>
                    <w:t>辐射</w:t>
                  </w:r>
                </w:p>
                <w:p w14:paraId="3558903A">
                  <w:pPr>
                    <w:adjustRightInd w:val="0"/>
                    <w:snapToGrid w:val="0"/>
                    <w:jc w:val="center"/>
                    <w:rPr>
                      <w:rFonts w:ascii="Times New Roman" w:hAnsi="Times New Roman"/>
                      <w:b/>
                      <w:szCs w:val="21"/>
                      <w:lang w:bidi="ar"/>
                    </w:rPr>
                  </w:pPr>
                  <w:r>
                    <w:rPr>
                      <w:rFonts w:ascii="Times New Roman" w:hAnsi="Times New Roman"/>
                      <w:b/>
                      <w:szCs w:val="21"/>
                      <w:lang w:bidi="ar"/>
                    </w:rPr>
                    <w:t>角度</w:t>
                  </w:r>
                </w:p>
              </w:tc>
              <w:tc>
                <w:tcPr>
                  <w:tcW w:w="538" w:type="pct"/>
                  <w:vAlign w:val="center"/>
                </w:tcPr>
                <w:p w14:paraId="21A1D8AA">
                  <w:pPr>
                    <w:adjustRightInd w:val="0"/>
                    <w:snapToGrid w:val="0"/>
                    <w:jc w:val="center"/>
                    <w:rPr>
                      <w:rFonts w:ascii="Times New Roman" w:hAnsi="Times New Roman"/>
                      <w:b/>
                      <w:szCs w:val="21"/>
                      <w:lang w:bidi="ar"/>
                    </w:rPr>
                  </w:pPr>
                  <w:r>
                    <w:rPr>
                      <w:rFonts w:ascii="Times New Roman" w:hAnsi="Times New Roman"/>
                      <w:b/>
                      <w:bCs/>
                      <w:szCs w:val="21"/>
                    </w:rPr>
                    <w:t>最大穿透钢板厚度（</w:t>
                  </w:r>
                  <w:r>
                    <w:rPr>
                      <w:rFonts w:ascii="Times New Roman" w:hAnsi="Times New Roman"/>
                      <w:szCs w:val="21"/>
                    </w:rPr>
                    <w:t>mm</w:t>
                  </w:r>
                  <w:r>
                    <w:rPr>
                      <w:rFonts w:ascii="Times New Roman" w:hAnsi="Times New Roman"/>
                      <w:b/>
                      <w:bCs/>
                      <w:szCs w:val="21"/>
                    </w:rPr>
                    <w:t>）</w:t>
                  </w:r>
                </w:p>
              </w:tc>
              <w:tc>
                <w:tcPr>
                  <w:tcW w:w="485" w:type="pct"/>
                  <w:vAlign w:val="center"/>
                </w:tcPr>
                <w:p w14:paraId="06E981ED">
                  <w:pPr>
                    <w:adjustRightInd w:val="0"/>
                    <w:snapToGrid w:val="0"/>
                    <w:jc w:val="center"/>
                    <w:rPr>
                      <w:rFonts w:ascii="Times New Roman" w:hAnsi="Times New Roman"/>
                      <w:b/>
                      <w:szCs w:val="21"/>
                      <w:lang w:bidi="ar"/>
                    </w:rPr>
                  </w:pPr>
                  <w:r>
                    <w:rPr>
                      <w:rFonts w:ascii="Times New Roman" w:hAnsi="Times New Roman"/>
                      <w:b/>
                      <w:szCs w:val="21"/>
                      <w:lang w:bidi="ar"/>
                    </w:rPr>
                    <w:t>焦点mm</w:t>
                  </w:r>
                  <w:r>
                    <w:rPr>
                      <w:rFonts w:ascii="Times New Roman" w:hAnsi="Times New Roman"/>
                      <w:b/>
                      <w:szCs w:val="21"/>
                      <w:vertAlign w:val="superscript"/>
                      <w:lang w:bidi="ar"/>
                    </w:rPr>
                    <w:t>2</w:t>
                  </w:r>
                </w:p>
              </w:tc>
              <w:tc>
                <w:tcPr>
                  <w:tcW w:w="542" w:type="pct"/>
                  <w:vAlign w:val="center"/>
                </w:tcPr>
                <w:p w14:paraId="4BFFC1B9">
                  <w:pPr>
                    <w:adjustRightInd w:val="0"/>
                    <w:snapToGrid w:val="0"/>
                    <w:jc w:val="center"/>
                    <w:rPr>
                      <w:rFonts w:ascii="Times New Roman" w:hAnsi="Times New Roman"/>
                      <w:b/>
                      <w:szCs w:val="21"/>
                      <w:lang w:bidi="ar"/>
                    </w:rPr>
                  </w:pPr>
                  <w:r>
                    <w:rPr>
                      <w:rFonts w:ascii="Times New Roman" w:hAnsi="Times New Roman"/>
                      <w:b/>
                      <w:szCs w:val="21"/>
                      <w:lang w:bidi="ar"/>
                    </w:rPr>
                    <w:t>单次出束时间（min）</w:t>
                  </w:r>
                </w:p>
              </w:tc>
              <w:tc>
                <w:tcPr>
                  <w:tcW w:w="452" w:type="pct"/>
                  <w:shd w:val="clear" w:color="auto" w:fill="auto"/>
                  <w:vAlign w:val="center"/>
                </w:tcPr>
                <w:p w14:paraId="2C4581C9">
                  <w:pPr>
                    <w:adjustRightInd w:val="0"/>
                    <w:snapToGrid w:val="0"/>
                    <w:jc w:val="center"/>
                    <w:rPr>
                      <w:rFonts w:ascii="Times New Roman" w:hAnsi="Times New Roman"/>
                      <w:b/>
                      <w:szCs w:val="21"/>
                    </w:rPr>
                  </w:pPr>
                  <w:r>
                    <w:rPr>
                      <w:rFonts w:ascii="Times New Roman" w:hAnsi="Times New Roman"/>
                      <w:b/>
                      <w:szCs w:val="21"/>
                      <w:lang w:bidi="ar"/>
                    </w:rPr>
                    <w:t>工作场所</w:t>
                  </w:r>
                </w:p>
              </w:tc>
            </w:tr>
            <w:tr w14:paraId="386FF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vAlign w:val="center"/>
                </w:tcPr>
                <w:p w14:paraId="7DE0DA93">
                  <w:pPr>
                    <w:jc w:val="center"/>
                    <w:rPr>
                      <w:rFonts w:ascii="Times New Roman" w:hAnsi="Times New Roman"/>
                      <w:szCs w:val="21"/>
                    </w:rPr>
                  </w:pPr>
                  <w:r>
                    <w:rPr>
                      <w:rFonts w:ascii="Times New Roman" w:hAnsi="Times New Roman"/>
                      <w:szCs w:val="21"/>
                    </w:rPr>
                    <w:t>XT1605D</w:t>
                  </w:r>
                </w:p>
              </w:tc>
              <w:tc>
                <w:tcPr>
                  <w:tcW w:w="343" w:type="pct"/>
                  <w:shd w:val="clear" w:color="auto" w:fill="auto"/>
                  <w:vAlign w:val="center"/>
                </w:tcPr>
                <w:p w14:paraId="362E27BC">
                  <w:pPr>
                    <w:adjustRightInd w:val="0"/>
                    <w:snapToGrid w:val="0"/>
                    <w:jc w:val="center"/>
                    <w:rPr>
                      <w:rFonts w:ascii="Times New Roman" w:hAnsi="Times New Roman"/>
                      <w:szCs w:val="21"/>
                      <w:lang w:bidi="ar"/>
                    </w:rPr>
                  </w:pPr>
                  <w:r>
                    <w:rPr>
                      <w:rFonts w:ascii="Times New Roman" w:hAnsi="Times New Roman"/>
                      <w:szCs w:val="21"/>
                    </w:rPr>
                    <w:t>1台</w:t>
                  </w:r>
                </w:p>
              </w:tc>
              <w:tc>
                <w:tcPr>
                  <w:tcW w:w="700" w:type="pct"/>
                  <w:shd w:val="clear" w:color="auto" w:fill="auto"/>
                  <w:vAlign w:val="center"/>
                </w:tcPr>
                <w:p w14:paraId="23B72FF0">
                  <w:pPr>
                    <w:adjustRightInd w:val="0"/>
                    <w:snapToGrid w:val="0"/>
                    <w:jc w:val="center"/>
                    <w:rPr>
                      <w:rFonts w:ascii="Times New Roman" w:hAnsi="Times New Roman"/>
                      <w:szCs w:val="21"/>
                      <w:lang w:bidi="ar"/>
                    </w:rPr>
                  </w:pPr>
                  <w:r>
                    <w:rPr>
                      <w:rFonts w:ascii="Times New Roman" w:hAnsi="Times New Roman"/>
                      <w:szCs w:val="21"/>
                      <w:lang w:bidi="ar"/>
                    </w:rPr>
                    <w:t>160kV</w:t>
                  </w:r>
                </w:p>
                <w:p w14:paraId="45B6DF75">
                  <w:pPr>
                    <w:adjustRightInd w:val="0"/>
                    <w:snapToGrid w:val="0"/>
                    <w:jc w:val="center"/>
                    <w:rPr>
                      <w:rFonts w:ascii="Times New Roman" w:hAnsi="Times New Roman"/>
                      <w:szCs w:val="21"/>
                      <w:lang w:bidi="ar"/>
                    </w:rPr>
                  </w:pPr>
                  <w:r>
                    <w:rPr>
                      <w:rFonts w:ascii="Times New Roman" w:hAnsi="Times New Roman"/>
                      <w:szCs w:val="21"/>
                      <w:lang w:bidi="ar"/>
                    </w:rPr>
                    <w:t>5mA</w:t>
                  </w:r>
                </w:p>
              </w:tc>
              <w:tc>
                <w:tcPr>
                  <w:tcW w:w="389" w:type="pct"/>
                  <w:shd w:val="clear" w:color="auto" w:fill="auto"/>
                  <w:vAlign w:val="center"/>
                </w:tcPr>
                <w:p w14:paraId="13A75A1B">
                  <w:pPr>
                    <w:adjustRightInd w:val="0"/>
                    <w:snapToGrid w:val="0"/>
                    <w:jc w:val="center"/>
                    <w:rPr>
                      <w:rFonts w:ascii="Times New Roman" w:hAnsi="Times New Roman"/>
                      <w:szCs w:val="21"/>
                      <w:lang w:bidi="ar"/>
                    </w:rPr>
                  </w:pPr>
                  <w:r>
                    <w:rPr>
                      <w:rFonts w:ascii="Times New Roman" w:hAnsi="Times New Roman"/>
                      <w:szCs w:val="21"/>
                      <w:lang w:bidi="ar"/>
                    </w:rPr>
                    <w:t>II类</w:t>
                  </w:r>
                </w:p>
              </w:tc>
              <w:tc>
                <w:tcPr>
                  <w:tcW w:w="356" w:type="pct"/>
                  <w:vAlign w:val="center"/>
                </w:tcPr>
                <w:p w14:paraId="1638860B">
                  <w:pPr>
                    <w:jc w:val="center"/>
                    <w:rPr>
                      <w:rFonts w:ascii="Times New Roman" w:hAnsi="Times New Roman"/>
                      <w:szCs w:val="21"/>
                    </w:rPr>
                  </w:pPr>
                  <w:r>
                    <w:rPr>
                      <w:rFonts w:ascii="Times New Roman" w:hAnsi="Times New Roman"/>
                      <w:szCs w:val="21"/>
                    </w:rPr>
                    <w:t>定向</w:t>
                  </w:r>
                </w:p>
              </w:tc>
              <w:tc>
                <w:tcPr>
                  <w:tcW w:w="518" w:type="pct"/>
                  <w:vAlign w:val="center"/>
                </w:tcPr>
                <w:p w14:paraId="18158FDC">
                  <w:pPr>
                    <w:adjustRightInd w:val="0"/>
                    <w:snapToGrid w:val="0"/>
                    <w:jc w:val="center"/>
                    <w:rPr>
                      <w:rFonts w:ascii="Times New Roman" w:hAnsi="Times New Roman"/>
                      <w:szCs w:val="21"/>
                    </w:rPr>
                  </w:pPr>
                  <w:r>
                    <w:rPr>
                      <w:rFonts w:ascii="Times New Roman" w:hAnsi="Times New Roman"/>
                      <w:szCs w:val="21"/>
                    </w:rPr>
                    <w:t>40+5°</w:t>
                  </w:r>
                </w:p>
              </w:tc>
              <w:tc>
                <w:tcPr>
                  <w:tcW w:w="538" w:type="pct"/>
                  <w:vAlign w:val="center"/>
                </w:tcPr>
                <w:p w14:paraId="0E3CA046">
                  <w:pPr>
                    <w:adjustRightInd w:val="0"/>
                    <w:snapToGrid w:val="0"/>
                    <w:jc w:val="center"/>
                    <w:rPr>
                      <w:rFonts w:ascii="Times New Roman" w:hAnsi="Times New Roman"/>
                      <w:szCs w:val="21"/>
                    </w:rPr>
                  </w:pPr>
                  <w:r>
                    <w:rPr>
                      <w:rFonts w:ascii="Times New Roman" w:hAnsi="Times New Roman"/>
                      <w:szCs w:val="21"/>
                    </w:rPr>
                    <w:t>20</w:t>
                  </w:r>
                </w:p>
              </w:tc>
              <w:tc>
                <w:tcPr>
                  <w:tcW w:w="485" w:type="pct"/>
                  <w:vAlign w:val="center"/>
                </w:tcPr>
                <w:p w14:paraId="3219B775">
                  <w:pPr>
                    <w:adjustRightInd w:val="0"/>
                    <w:snapToGrid w:val="0"/>
                    <w:jc w:val="center"/>
                    <w:rPr>
                      <w:rFonts w:ascii="Times New Roman" w:hAnsi="Times New Roman"/>
                      <w:szCs w:val="21"/>
                    </w:rPr>
                  </w:pPr>
                  <w:r>
                    <w:rPr>
                      <w:rFonts w:ascii="Times New Roman" w:hAnsi="Times New Roman"/>
                      <w:szCs w:val="21"/>
                    </w:rPr>
                    <w:t>1.0</w:t>
                  </w:r>
                  <w:r>
                    <w:rPr>
                      <w:rFonts w:ascii="Times New Roman" w:hAnsi="Times New Roman"/>
                      <w:szCs w:val="21"/>
                      <w:lang w:bidi="ar"/>
                    </w:rPr>
                    <w:t>×1.0</w:t>
                  </w:r>
                </w:p>
              </w:tc>
              <w:tc>
                <w:tcPr>
                  <w:tcW w:w="542" w:type="pct"/>
                  <w:vAlign w:val="center"/>
                </w:tcPr>
                <w:p w14:paraId="7D9B6EFD">
                  <w:pPr>
                    <w:adjustRightInd w:val="0"/>
                    <w:snapToGrid w:val="0"/>
                    <w:jc w:val="center"/>
                    <w:rPr>
                      <w:rFonts w:ascii="Times New Roman" w:hAnsi="Times New Roman"/>
                      <w:szCs w:val="21"/>
                    </w:rPr>
                  </w:pPr>
                  <w:r>
                    <w:rPr>
                      <w:rFonts w:ascii="Times New Roman" w:hAnsi="Times New Roman"/>
                      <w:szCs w:val="21"/>
                    </w:rPr>
                    <w:t>5</w:t>
                  </w:r>
                </w:p>
              </w:tc>
              <w:tc>
                <w:tcPr>
                  <w:tcW w:w="452" w:type="pct"/>
                  <w:vMerge w:val="restart"/>
                  <w:shd w:val="clear" w:color="auto" w:fill="auto"/>
                  <w:vAlign w:val="center"/>
                </w:tcPr>
                <w:p w14:paraId="117B0B5F">
                  <w:pPr>
                    <w:adjustRightInd w:val="0"/>
                    <w:snapToGrid w:val="0"/>
                    <w:rPr>
                      <w:rFonts w:ascii="Times New Roman" w:hAnsi="Times New Roman"/>
                      <w:szCs w:val="21"/>
                    </w:rPr>
                  </w:pPr>
                  <w:r>
                    <w:rPr>
                      <w:rFonts w:ascii="Times New Roman" w:hAnsi="Times New Roman"/>
                      <w:szCs w:val="21"/>
                    </w:rPr>
                    <w:t>室外探伤，工作地点不固定</w:t>
                  </w:r>
                </w:p>
              </w:tc>
            </w:tr>
            <w:tr w14:paraId="35774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vAlign w:val="center"/>
                </w:tcPr>
                <w:p w14:paraId="4BA63382">
                  <w:pPr>
                    <w:jc w:val="center"/>
                    <w:rPr>
                      <w:rFonts w:ascii="Times New Roman" w:hAnsi="Times New Roman"/>
                      <w:szCs w:val="21"/>
                    </w:rPr>
                  </w:pPr>
                  <w:r>
                    <w:rPr>
                      <w:rFonts w:ascii="Times New Roman" w:hAnsi="Times New Roman"/>
                      <w:bCs/>
                      <w:szCs w:val="21"/>
                    </w:rPr>
                    <w:t>XXH</w:t>
                  </w:r>
                  <w:r>
                    <w:rPr>
                      <w:rFonts w:ascii="Times New Roman" w:hAnsi="Times New Roman"/>
                      <w:szCs w:val="21"/>
                    </w:rPr>
                    <w:t>2005C</w:t>
                  </w:r>
                </w:p>
              </w:tc>
              <w:tc>
                <w:tcPr>
                  <w:tcW w:w="343" w:type="pct"/>
                  <w:shd w:val="clear" w:color="auto" w:fill="auto"/>
                  <w:vAlign w:val="center"/>
                </w:tcPr>
                <w:p w14:paraId="4212D6AC">
                  <w:pPr>
                    <w:adjustRightInd w:val="0"/>
                    <w:snapToGrid w:val="0"/>
                    <w:jc w:val="center"/>
                    <w:rPr>
                      <w:rFonts w:ascii="Times New Roman" w:hAnsi="Times New Roman"/>
                      <w:szCs w:val="21"/>
                      <w:lang w:bidi="ar"/>
                    </w:rPr>
                  </w:pPr>
                  <w:r>
                    <w:rPr>
                      <w:rFonts w:ascii="Times New Roman" w:hAnsi="Times New Roman"/>
                      <w:szCs w:val="21"/>
                    </w:rPr>
                    <w:t>1台</w:t>
                  </w:r>
                </w:p>
              </w:tc>
              <w:tc>
                <w:tcPr>
                  <w:tcW w:w="700" w:type="pct"/>
                  <w:shd w:val="clear" w:color="auto" w:fill="auto"/>
                  <w:vAlign w:val="center"/>
                </w:tcPr>
                <w:p w14:paraId="67C25328">
                  <w:pPr>
                    <w:adjustRightInd w:val="0"/>
                    <w:snapToGrid w:val="0"/>
                    <w:jc w:val="center"/>
                    <w:rPr>
                      <w:rFonts w:ascii="Times New Roman" w:hAnsi="Times New Roman"/>
                      <w:szCs w:val="21"/>
                      <w:lang w:bidi="ar"/>
                    </w:rPr>
                  </w:pPr>
                  <w:r>
                    <w:rPr>
                      <w:rFonts w:ascii="Times New Roman" w:hAnsi="Times New Roman"/>
                      <w:szCs w:val="21"/>
                      <w:lang w:bidi="ar"/>
                    </w:rPr>
                    <w:t>200kV</w:t>
                  </w:r>
                </w:p>
                <w:p w14:paraId="24FD1B19">
                  <w:pPr>
                    <w:adjustRightInd w:val="0"/>
                    <w:snapToGrid w:val="0"/>
                    <w:jc w:val="center"/>
                    <w:rPr>
                      <w:rFonts w:ascii="Times New Roman" w:hAnsi="Times New Roman"/>
                      <w:szCs w:val="21"/>
                      <w:lang w:bidi="ar"/>
                    </w:rPr>
                  </w:pPr>
                  <w:r>
                    <w:rPr>
                      <w:rFonts w:ascii="Times New Roman" w:hAnsi="Times New Roman"/>
                      <w:szCs w:val="21"/>
                      <w:lang w:bidi="ar"/>
                    </w:rPr>
                    <w:t>5mA</w:t>
                  </w:r>
                </w:p>
              </w:tc>
              <w:tc>
                <w:tcPr>
                  <w:tcW w:w="389" w:type="pct"/>
                  <w:shd w:val="clear" w:color="auto" w:fill="auto"/>
                  <w:vAlign w:val="center"/>
                </w:tcPr>
                <w:p w14:paraId="1D054156">
                  <w:pPr>
                    <w:adjustRightInd w:val="0"/>
                    <w:snapToGrid w:val="0"/>
                    <w:jc w:val="center"/>
                    <w:rPr>
                      <w:rFonts w:ascii="Times New Roman" w:hAnsi="Times New Roman"/>
                      <w:szCs w:val="21"/>
                      <w:lang w:bidi="ar"/>
                    </w:rPr>
                  </w:pPr>
                  <w:r>
                    <w:rPr>
                      <w:rFonts w:ascii="Times New Roman" w:hAnsi="Times New Roman"/>
                      <w:szCs w:val="21"/>
                      <w:lang w:bidi="ar"/>
                    </w:rPr>
                    <w:t>II类</w:t>
                  </w:r>
                </w:p>
              </w:tc>
              <w:tc>
                <w:tcPr>
                  <w:tcW w:w="356" w:type="pct"/>
                  <w:vAlign w:val="center"/>
                </w:tcPr>
                <w:p w14:paraId="6DA83D02">
                  <w:pPr>
                    <w:jc w:val="center"/>
                    <w:rPr>
                      <w:rFonts w:ascii="Times New Roman" w:hAnsi="Times New Roman"/>
                      <w:szCs w:val="21"/>
                    </w:rPr>
                  </w:pPr>
                  <w:r>
                    <w:rPr>
                      <w:rFonts w:ascii="Times New Roman" w:hAnsi="Times New Roman"/>
                      <w:szCs w:val="21"/>
                    </w:rPr>
                    <w:t>周向</w:t>
                  </w:r>
                </w:p>
              </w:tc>
              <w:tc>
                <w:tcPr>
                  <w:tcW w:w="518" w:type="pct"/>
                  <w:vAlign w:val="center"/>
                </w:tcPr>
                <w:p w14:paraId="2F2F986C">
                  <w:pPr>
                    <w:adjustRightInd w:val="0"/>
                    <w:snapToGrid w:val="0"/>
                    <w:jc w:val="center"/>
                    <w:rPr>
                      <w:rFonts w:ascii="Times New Roman" w:hAnsi="Times New Roman"/>
                      <w:szCs w:val="21"/>
                    </w:rPr>
                  </w:pPr>
                  <w:r>
                    <w:rPr>
                      <w:rFonts w:ascii="Times New Roman" w:hAnsi="Times New Roman"/>
                      <w:szCs w:val="21"/>
                    </w:rPr>
                    <w:t>360</w:t>
                  </w:r>
                  <w:r>
                    <w:rPr>
                      <w:rFonts w:ascii="Times New Roman" w:hAnsi="Times New Roman"/>
                      <w:szCs w:val="21"/>
                      <w:lang w:bidi="ar"/>
                    </w:rPr>
                    <w:t>×30°</w:t>
                  </w:r>
                </w:p>
              </w:tc>
              <w:tc>
                <w:tcPr>
                  <w:tcW w:w="538" w:type="pct"/>
                  <w:vAlign w:val="center"/>
                </w:tcPr>
                <w:p w14:paraId="4FF743C5">
                  <w:pPr>
                    <w:adjustRightInd w:val="0"/>
                    <w:snapToGrid w:val="0"/>
                    <w:jc w:val="center"/>
                    <w:rPr>
                      <w:rFonts w:ascii="Times New Roman" w:hAnsi="Times New Roman"/>
                      <w:szCs w:val="21"/>
                    </w:rPr>
                  </w:pPr>
                  <w:r>
                    <w:rPr>
                      <w:rFonts w:ascii="Times New Roman" w:hAnsi="Times New Roman"/>
                      <w:szCs w:val="21"/>
                    </w:rPr>
                    <w:t>24</w:t>
                  </w:r>
                </w:p>
              </w:tc>
              <w:tc>
                <w:tcPr>
                  <w:tcW w:w="485" w:type="pct"/>
                  <w:vAlign w:val="center"/>
                </w:tcPr>
                <w:p w14:paraId="526B911B">
                  <w:pPr>
                    <w:adjustRightInd w:val="0"/>
                    <w:snapToGrid w:val="0"/>
                    <w:jc w:val="center"/>
                    <w:rPr>
                      <w:rFonts w:ascii="Times New Roman" w:hAnsi="Times New Roman"/>
                      <w:szCs w:val="21"/>
                    </w:rPr>
                  </w:pPr>
                  <w:r>
                    <w:rPr>
                      <w:rFonts w:ascii="Times New Roman" w:hAnsi="Times New Roman"/>
                      <w:szCs w:val="21"/>
                    </w:rPr>
                    <w:t>1.0</w:t>
                  </w:r>
                  <w:r>
                    <w:rPr>
                      <w:rFonts w:ascii="Times New Roman" w:hAnsi="Times New Roman"/>
                      <w:szCs w:val="21"/>
                      <w:lang w:bidi="ar"/>
                    </w:rPr>
                    <w:t>×3.5</w:t>
                  </w:r>
                </w:p>
              </w:tc>
              <w:tc>
                <w:tcPr>
                  <w:tcW w:w="542" w:type="pct"/>
                  <w:vAlign w:val="center"/>
                </w:tcPr>
                <w:p w14:paraId="7DBC3C92">
                  <w:pPr>
                    <w:adjustRightInd w:val="0"/>
                    <w:snapToGrid w:val="0"/>
                    <w:jc w:val="center"/>
                    <w:rPr>
                      <w:rFonts w:ascii="Times New Roman" w:hAnsi="Times New Roman"/>
                      <w:szCs w:val="21"/>
                    </w:rPr>
                  </w:pPr>
                  <w:r>
                    <w:rPr>
                      <w:rFonts w:ascii="Times New Roman" w:hAnsi="Times New Roman"/>
                      <w:szCs w:val="21"/>
                    </w:rPr>
                    <w:t>5</w:t>
                  </w:r>
                </w:p>
              </w:tc>
              <w:tc>
                <w:tcPr>
                  <w:tcW w:w="452" w:type="pct"/>
                  <w:vMerge w:val="continue"/>
                  <w:shd w:val="clear" w:color="auto" w:fill="auto"/>
                  <w:vAlign w:val="center"/>
                </w:tcPr>
                <w:p w14:paraId="6A395B7A">
                  <w:pPr>
                    <w:adjustRightInd w:val="0"/>
                    <w:snapToGrid w:val="0"/>
                    <w:jc w:val="center"/>
                    <w:rPr>
                      <w:rFonts w:ascii="Times New Roman" w:hAnsi="Times New Roman"/>
                      <w:szCs w:val="21"/>
                    </w:rPr>
                  </w:pPr>
                </w:p>
              </w:tc>
            </w:tr>
            <w:tr w14:paraId="5C173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vAlign w:val="center"/>
                </w:tcPr>
                <w:p w14:paraId="78EAB573">
                  <w:pPr>
                    <w:jc w:val="center"/>
                    <w:rPr>
                      <w:rFonts w:ascii="Times New Roman" w:hAnsi="Times New Roman"/>
                      <w:szCs w:val="21"/>
                    </w:rPr>
                  </w:pPr>
                  <w:r>
                    <w:rPr>
                      <w:rFonts w:ascii="Times New Roman" w:hAnsi="Times New Roman"/>
                      <w:szCs w:val="21"/>
                    </w:rPr>
                    <w:t>XT</w:t>
                  </w:r>
                  <w:r>
                    <w:rPr>
                      <w:rFonts w:ascii="Times New Roman" w:hAnsi="Times New Roman"/>
                      <w:bCs/>
                      <w:szCs w:val="21"/>
                    </w:rPr>
                    <w:t>2505C</w:t>
                  </w:r>
                </w:p>
              </w:tc>
              <w:tc>
                <w:tcPr>
                  <w:tcW w:w="343" w:type="pct"/>
                  <w:shd w:val="clear" w:color="auto" w:fill="auto"/>
                  <w:vAlign w:val="center"/>
                </w:tcPr>
                <w:p w14:paraId="5F3FFF27">
                  <w:pPr>
                    <w:adjustRightInd w:val="0"/>
                    <w:snapToGrid w:val="0"/>
                    <w:jc w:val="center"/>
                    <w:rPr>
                      <w:rFonts w:ascii="Times New Roman" w:hAnsi="Times New Roman"/>
                      <w:szCs w:val="21"/>
                      <w:lang w:bidi="ar"/>
                    </w:rPr>
                  </w:pPr>
                  <w:r>
                    <w:rPr>
                      <w:rFonts w:ascii="Times New Roman" w:hAnsi="Times New Roman"/>
                      <w:szCs w:val="21"/>
                    </w:rPr>
                    <w:t>1台</w:t>
                  </w:r>
                </w:p>
              </w:tc>
              <w:tc>
                <w:tcPr>
                  <w:tcW w:w="700" w:type="pct"/>
                  <w:shd w:val="clear" w:color="auto" w:fill="auto"/>
                  <w:vAlign w:val="center"/>
                </w:tcPr>
                <w:p w14:paraId="352C571B">
                  <w:pPr>
                    <w:adjustRightInd w:val="0"/>
                    <w:snapToGrid w:val="0"/>
                    <w:jc w:val="center"/>
                    <w:rPr>
                      <w:rFonts w:ascii="Times New Roman" w:hAnsi="Times New Roman"/>
                      <w:szCs w:val="21"/>
                      <w:lang w:bidi="ar"/>
                    </w:rPr>
                  </w:pPr>
                  <w:r>
                    <w:rPr>
                      <w:rFonts w:ascii="Times New Roman" w:hAnsi="Times New Roman"/>
                      <w:szCs w:val="21"/>
                      <w:lang w:bidi="ar"/>
                    </w:rPr>
                    <w:t>250kV</w:t>
                  </w:r>
                </w:p>
                <w:p w14:paraId="01167BC8">
                  <w:pPr>
                    <w:adjustRightInd w:val="0"/>
                    <w:snapToGrid w:val="0"/>
                    <w:jc w:val="center"/>
                    <w:rPr>
                      <w:rFonts w:ascii="Times New Roman" w:hAnsi="Times New Roman"/>
                      <w:szCs w:val="21"/>
                      <w:lang w:bidi="ar"/>
                    </w:rPr>
                  </w:pPr>
                  <w:r>
                    <w:rPr>
                      <w:rFonts w:ascii="Times New Roman" w:hAnsi="Times New Roman"/>
                      <w:szCs w:val="21"/>
                      <w:lang w:bidi="ar"/>
                    </w:rPr>
                    <w:t>5mA</w:t>
                  </w:r>
                </w:p>
              </w:tc>
              <w:tc>
                <w:tcPr>
                  <w:tcW w:w="389" w:type="pct"/>
                  <w:shd w:val="clear" w:color="auto" w:fill="auto"/>
                  <w:vAlign w:val="center"/>
                </w:tcPr>
                <w:p w14:paraId="56975A62">
                  <w:pPr>
                    <w:adjustRightInd w:val="0"/>
                    <w:snapToGrid w:val="0"/>
                    <w:jc w:val="center"/>
                    <w:rPr>
                      <w:rFonts w:ascii="Times New Roman" w:hAnsi="Times New Roman"/>
                      <w:szCs w:val="21"/>
                      <w:lang w:bidi="ar"/>
                    </w:rPr>
                  </w:pPr>
                  <w:r>
                    <w:rPr>
                      <w:rFonts w:ascii="Times New Roman" w:hAnsi="Times New Roman"/>
                      <w:szCs w:val="21"/>
                      <w:lang w:bidi="ar"/>
                    </w:rPr>
                    <w:t>II类</w:t>
                  </w:r>
                </w:p>
              </w:tc>
              <w:tc>
                <w:tcPr>
                  <w:tcW w:w="356" w:type="pct"/>
                  <w:vAlign w:val="center"/>
                </w:tcPr>
                <w:p w14:paraId="07733A52">
                  <w:pPr>
                    <w:jc w:val="center"/>
                    <w:rPr>
                      <w:rFonts w:ascii="Times New Roman" w:hAnsi="Times New Roman"/>
                      <w:szCs w:val="21"/>
                    </w:rPr>
                  </w:pPr>
                  <w:r>
                    <w:rPr>
                      <w:rFonts w:ascii="Times New Roman" w:hAnsi="Times New Roman"/>
                      <w:szCs w:val="21"/>
                    </w:rPr>
                    <w:t>周向</w:t>
                  </w:r>
                </w:p>
              </w:tc>
              <w:tc>
                <w:tcPr>
                  <w:tcW w:w="518" w:type="pct"/>
                  <w:vAlign w:val="center"/>
                </w:tcPr>
                <w:p w14:paraId="4FA3E243">
                  <w:pPr>
                    <w:adjustRightInd w:val="0"/>
                    <w:snapToGrid w:val="0"/>
                    <w:jc w:val="center"/>
                    <w:rPr>
                      <w:rFonts w:ascii="Times New Roman" w:hAnsi="Times New Roman"/>
                      <w:szCs w:val="21"/>
                    </w:rPr>
                  </w:pPr>
                  <w:r>
                    <w:rPr>
                      <w:rFonts w:ascii="Times New Roman" w:hAnsi="Times New Roman"/>
                      <w:szCs w:val="21"/>
                    </w:rPr>
                    <w:t>360</w:t>
                  </w:r>
                  <w:r>
                    <w:rPr>
                      <w:rFonts w:ascii="Times New Roman" w:hAnsi="Times New Roman"/>
                      <w:szCs w:val="21"/>
                      <w:lang w:bidi="ar"/>
                    </w:rPr>
                    <w:t>×30°</w:t>
                  </w:r>
                </w:p>
              </w:tc>
              <w:tc>
                <w:tcPr>
                  <w:tcW w:w="538" w:type="pct"/>
                  <w:vAlign w:val="center"/>
                </w:tcPr>
                <w:p w14:paraId="5D2C1063">
                  <w:pPr>
                    <w:adjustRightInd w:val="0"/>
                    <w:snapToGrid w:val="0"/>
                    <w:jc w:val="center"/>
                    <w:rPr>
                      <w:rFonts w:ascii="Times New Roman" w:hAnsi="Times New Roman"/>
                      <w:szCs w:val="21"/>
                    </w:rPr>
                  </w:pPr>
                  <w:r>
                    <w:rPr>
                      <w:rFonts w:ascii="Times New Roman" w:hAnsi="Times New Roman"/>
                      <w:szCs w:val="21"/>
                    </w:rPr>
                    <w:t>34</w:t>
                  </w:r>
                </w:p>
              </w:tc>
              <w:tc>
                <w:tcPr>
                  <w:tcW w:w="485" w:type="pct"/>
                  <w:vAlign w:val="center"/>
                </w:tcPr>
                <w:p w14:paraId="43D9A42E">
                  <w:pPr>
                    <w:adjustRightInd w:val="0"/>
                    <w:snapToGrid w:val="0"/>
                    <w:jc w:val="center"/>
                    <w:rPr>
                      <w:rFonts w:ascii="Times New Roman" w:hAnsi="Times New Roman"/>
                      <w:szCs w:val="21"/>
                    </w:rPr>
                  </w:pPr>
                  <w:r>
                    <w:rPr>
                      <w:rFonts w:ascii="Times New Roman" w:hAnsi="Times New Roman"/>
                      <w:szCs w:val="21"/>
                    </w:rPr>
                    <w:t>1.0</w:t>
                  </w:r>
                  <w:r>
                    <w:rPr>
                      <w:rFonts w:ascii="Times New Roman" w:hAnsi="Times New Roman"/>
                      <w:szCs w:val="21"/>
                      <w:lang w:bidi="ar"/>
                    </w:rPr>
                    <w:t>×2.5</w:t>
                  </w:r>
                </w:p>
              </w:tc>
              <w:tc>
                <w:tcPr>
                  <w:tcW w:w="542" w:type="pct"/>
                  <w:vAlign w:val="center"/>
                </w:tcPr>
                <w:p w14:paraId="17FFE38E">
                  <w:pPr>
                    <w:adjustRightInd w:val="0"/>
                    <w:snapToGrid w:val="0"/>
                    <w:jc w:val="center"/>
                    <w:rPr>
                      <w:rFonts w:ascii="Times New Roman" w:hAnsi="Times New Roman"/>
                      <w:szCs w:val="21"/>
                    </w:rPr>
                  </w:pPr>
                  <w:r>
                    <w:rPr>
                      <w:rFonts w:ascii="Times New Roman" w:hAnsi="Times New Roman"/>
                      <w:szCs w:val="21"/>
                    </w:rPr>
                    <w:t>5</w:t>
                  </w:r>
                </w:p>
              </w:tc>
              <w:tc>
                <w:tcPr>
                  <w:tcW w:w="452" w:type="pct"/>
                  <w:vMerge w:val="continue"/>
                  <w:shd w:val="clear" w:color="auto" w:fill="auto"/>
                  <w:vAlign w:val="center"/>
                </w:tcPr>
                <w:p w14:paraId="6A911D20">
                  <w:pPr>
                    <w:adjustRightInd w:val="0"/>
                    <w:snapToGrid w:val="0"/>
                    <w:jc w:val="center"/>
                    <w:rPr>
                      <w:rFonts w:ascii="Times New Roman" w:hAnsi="Times New Roman"/>
                      <w:szCs w:val="21"/>
                    </w:rPr>
                  </w:pPr>
                </w:p>
              </w:tc>
            </w:tr>
            <w:tr w14:paraId="4764C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vAlign w:val="center"/>
                </w:tcPr>
                <w:p w14:paraId="66219D70">
                  <w:pPr>
                    <w:jc w:val="center"/>
                    <w:rPr>
                      <w:rFonts w:ascii="Times New Roman" w:hAnsi="Times New Roman"/>
                      <w:szCs w:val="21"/>
                    </w:rPr>
                  </w:pPr>
                  <w:r>
                    <w:rPr>
                      <w:rFonts w:ascii="Times New Roman" w:hAnsi="Times New Roman"/>
                      <w:szCs w:val="21"/>
                    </w:rPr>
                    <w:t>XT2505D</w:t>
                  </w:r>
                </w:p>
              </w:tc>
              <w:tc>
                <w:tcPr>
                  <w:tcW w:w="343" w:type="pct"/>
                  <w:shd w:val="clear" w:color="auto" w:fill="auto"/>
                  <w:vAlign w:val="center"/>
                </w:tcPr>
                <w:p w14:paraId="32A1C47B">
                  <w:pPr>
                    <w:adjustRightInd w:val="0"/>
                    <w:snapToGrid w:val="0"/>
                    <w:jc w:val="center"/>
                    <w:rPr>
                      <w:rFonts w:ascii="Times New Roman" w:hAnsi="Times New Roman"/>
                      <w:szCs w:val="21"/>
                      <w:lang w:bidi="ar"/>
                    </w:rPr>
                  </w:pPr>
                  <w:r>
                    <w:rPr>
                      <w:rFonts w:ascii="Times New Roman" w:hAnsi="Times New Roman"/>
                      <w:szCs w:val="21"/>
                    </w:rPr>
                    <w:t>1台</w:t>
                  </w:r>
                </w:p>
              </w:tc>
              <w:tc>
                <w:tcPr>
                  <w:tcW w:w="700" w:type="pct"/>
                  <w:shd w:val="clear" w:color="auto" w:fill="auto"/>
                  <w:vAlign w:val="center"/>
                </w:tcPr>
                <w:p w14:paraId="02FB77A8">
                  <w:pPr>
                    <w:adjustRightInd w:val="0"/>
                    <w:snapToGrid w:val="0"/>
                    <w:jc w:val="center"/>
                    <w:rPr>
                      <w:rFonts w:ascii="Times New Roman" w:hAnsi="Times New Roman"/>
                      <w:szCs w:val="21"/>
                      <w:lang w:bidi="ar"/>
                    </w:rPr>
                  </w:pPr>
                  <w:r>
                    <w:rPr>
                      <w:rFonts w:ascii="Times New Roman" w:hAnsi="Times New Roman"/>
                      <w:szCs w:val="21"/>
                      <w:lang w:bidi="ar"/>
                    </w:rPr>
                    <w:t>250kV</w:t>
                  </w:r>
                </w:p>
                <w:p w14:paraId="042A1AC3">
                  <w:pPr>
                    <w:adjustRightInd w:val="0"/>
                    <w:snapToGrid w:val="0"/>
                    <w:jc w:val="center"/>
                    <w:rPr>
                      <w:rFonts w:ascii="Times New Roman" w:hAnsi="Times New Roman"/>
                      <w:szCs w:val="21"/>
                      <w:lang w:bidi="ar"/>
                    </w:rPr>
                  </w:pPr>
                  <w:r>
                    <w:rPr>
                      <w:rFonts w:ascii="Times New Roman" w:hAnsi="Times New Roman"/>
                      <w:szCs w:val="21"/>
                      <w:lang w:bidi="ar"/>
                    </w:rPr>
                    <w:t>5mA</w:t>
                  </w:r>
                </w:p>
              </w:tc>
              <w:tc>
                <w:tcPr>
                  <w:tcW w:w="389" w:type="pct"/>
                  <w:shd w:val="clear" w:color="auto" w:fill="auto"/>
                  <w:vAlign w:val="center"/>
                </w:tcPr>
                <w:p w14:paraId="5E515D31">
                  <w:pPr>
                    <w:adjustRightInd w:val="0"/>
                    <w:snapToGrid w:val="0"/>
                    <w:jc w:val="center"/>
                    <w:rPr>
                      <w:rFonts w:ascii="Times New Roman" w:hAnsi="Times New Roman"/>
                      <w:szCs w:val="21"/>
                      <w:lang w:bidi="ar"/>
                    </w:rPr>
                  </w:pPr>
                  <w:r>
                    <w:rPr>
                      <w:rFonts w:ascii="Times New Roman" w:hAnsi="Times New Roman"/>
                      <w:szCs w:val="21"/>
                      <w:lang w:bidi="ar"/>
                    </w:rPr>
                    <w:t>II类</w:t>
                  </w:r>
                </w:p>
              </w:tc>
              <w:tc>
                <w:tcPr>
                  <w:tcW w:w="356" w:type="pct"/>
                  <w:vAlign w:val="center"/>
                </w:tcPr>
                <w:p w14:paraId="72711407">
                  <w:pPr>
                    <w:jc w:val="center"/>
                    <w:rPr>
                      <w:rFonts w:ascii="Times New Roman" w:hAnsi="Times New Roman"/>
                      <w:szCs w:val="21"/>
                    </w:rPr>
                  </w:pPr>
                  <w:r>
                    <w:rPr>
                      <w:rFonts w:ascii="Times New Roman" w:hAnsi="Times New Roman"/>
                      <w:szCs w:val="21"/>
                    </w:rPr>
                    <w:t>定向</w:t>
                  </w:r>
                </w:p>
              </w:tc>
              <w:tc>
                <w:tcPr>
                  <w:tcW w:w="518" w:type="pct"/>
                  <w:vAlign w:val="center"/>
                </w:tcPr>
                <w:p w14:paraId="27DDC6FF">
                  <w:pPr>
                    <w:adjustRightInd w:val="0"/>
                    <w:snapToGrid w:val="0"/>
                    <w:jc w:val="center"/>
                    <w:rPr>
                      <w:rFonts w:ascii="Times New Roman" w:hAnsi="Times New Roman"/>
                      <w:szCs w:val="21"/>
                    </w:rPr>
                  </w:pPr>
                  <w:r>
                    <w:rPr>
                      <w:rFonts w:ascii="Times New Roman" w:hAnsi="Times New Roman"/>
                      <w:szCs w:val="21"/>
                    </w:rPr>
                    <w:t>40+5°</w:t>
                  </w:r>
                </w:p>
              </w:tc>
              <w:tc>
                <w:tcPr>
                  <w:tcW w:w="538" w:type="pct"/>
                  <w:vAlign w:val="center"/>
                </w:tcPr>
                <w:p w14:paraId="0227E8D3">
                  <w:pPr>
                    <w:adjustRightInd w:val="0"/>
                    <w:snapToGrid w:val="0"/>
                    <w:jc w:val="center"/>
                    <w:rPr>
                      <w:rFonts w:ascii="Times New Roman" w:hAnsi="Times New Roman"/>
                      <w:szCs w:val="21"/>
                    </w:rPr>
                  </w:pPr>
                  <w:r>
                    <w:rPr>
                      <w:rFonts w:ascii="Times New Roman" w:hAnsi="Times New Roman"/>
                      <w:szCs w:val="21"/>
                    </w:rPr>
                    <w:t>40</w:t>
                  </w:r>
                </w:p>
              </w:tc>
              <w:tc>
                <w:tcPr>
                  <w:tcW w:w="485" w:type="pct"/>
                  <w:vAlign w:val="center"/>
                </w:tcPr>
                <w:p w14:paraId="30BF6E27">
                  <w:pPr>
                    <w:adjustRightInd w:val="0"/>
                    <w:snapToGrid w:val="0"/>
                    <w:jc w:val="center"/>
                    <w:rPr>
                      <w:rFonts w:ascii="Times New Roman" w:hAnsi="Times New Roman"/>
                      <w:szCs w:val="21"/>
                    </w:rPr>
                  </w:pPr>
                  <w:r>
                    <w:rPr>
                      <w:rFonts w:ascii="Times New Roman" w:hAnsi="Times New Roman"/>
                      <w:szCs w:val="21"/>
                    </w:rPr>
                    <w:t>2.0</w:t>
                  </w:r>
                  <w:r>
                    <w:rPr>
                      <w:rFonts w:ascii="Times New Roman" w:hAnsi="Times New Roman"/>
                      <w:szCs w:val="21"/>
                      <w:lang w:bidi="ar"/>
                    </w:rPr>
                    <w:t>×2.0</w:t>
                  </w:r>
                </w:p>
              </w:tc>
              <w:tc>
                <w:tcPr>
                  <w:tcW w:w="542" w:type="pct"/>
                  <w:vAlign w:val="center"/>
                </w:tcPr>
                <w:p w14:paraId="20A8474E">
                  <w:pPr>
                    <w:adjustRightInd w:val="0"/>
                    <w:snapToGrid w:val="0"/>
                    <w:jc w:val="center"/>
                    <w:rPr>
                      <w:rFonts w:ascii="Times New Roman" w:hAnsi="Times New Roman"/>
                      <w:szCs w:val="21"/>
                    </w:rPr>
                  </w:pPr>
                  <w:r>
                    <w:rPr>
                      <w:rFonts w:ascii="Times New Roman" w:hAnsi="Times New Roman"/>
                      <w:szCs w:val="21"/>
                    </w:rPr>
                    <w:t>5</w:t>
                  </w:r>
                </w:p>
              </w:tc>
              <w:tc>
                <w:tcPr>
                  <w:tcW w:w="452" w:type="pct"/>
                  <w:vMerge w:val="continue"/>
                  <w:shd w:val="clear" w:color="auto" w:fill="auto"/>
                  <w:vAlign w:val="center"/>
                </w:tcPr>
                <w:p w14:paraId="771A4F65">
                  <w:pPr>
                    <w:adjustRightInd w:val="0"/>
                    <w:snapToGrid w:val="0"/>
                    <w:jc w:val="center"/>
                    <w:rPr>
                      <w:rFonts w:ascii="Times New Roman" w:hAnsi="Times New Roman"/>
                      <w:szCs w:val="21"/>
                    </w:rPr>
                  </w:pPr>
                </w:p>
              </w:tc>
            </w:tr>
            <w:tr w14:paraId="5CC4D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vAlign w:val="center"/>
                </w:tcPr>
                <w:p w14:paraId="6D1EAD71">
                  <w:pPr>
                    <w:jc w:val="center"/>
                    <w:rPr>
                      <w:rFonts w:ascii="Times New Roman" w:hAnsi="Times New Roman"/>
                      <w:szCs w:val="21"/>
                    </w:rPr>
                  </w:pPr>
                  <w:r>
                    <w:rPr>
                      <w:rFonts w:ascii="Times New Roman" w:hAnsi="Times New Roman"/>
                      <w:szCs w:val="21"/>
                    </w:rPr>
                    <w:t>XT3005D</w:t>
                  </w:r>
                </w:p>
              </w:tc>
              <w:tc>
                <w:tcPr>
                  <w:tcW w:w="343" w:type="pct"/>
                  <w:shd w:val="clear" w:color="auto" w:fill="auto"/>
                  <w:vAlign w:val="center"/>
                </w:tcPr>
                <w:p w14:paraId="4CF0A915">
                  <w:pPr>
                    <w:adjustRightInd w:val="0"/>
                    <w:snapToGrid w:val="0"/>
                    <w:jc w:val="center"/>
                    <w:rPr>
                      <w:rFonts w:ascii="Times New Roman" w:hAnsi="Times New Roman"/>
                      <w:szCs w:val="21"/>
                      <w:lang w:bidi="ar"/>
                    </w:rPr>
                  </w:pPr>
                  <w:r>
                    <w:rPr>
                      <w:rFonts w:ascii="Times New Roman" w:hAnsi="Times New Roman"/>
                      <w:szCs w:val="21"/>
                    </w:rPr>
                    <w:t>1台</w:t>
                  </w:r>
                </w:p>
              </w:tc>
              <w:tc>
                <w:tcPr>
                  <w:tcW w:w="700" w:type="pct"/>
                  <w:shd w:val="clear" w:color="auto" w:fill="auto"/>
                  <w:vAlign w:val="center"/>
                </w:tcPr>
                <w:p w14:paraId="47936D29">
                  <w:pPr>
                    <w:adjustRightInd w:val="0"/>
                    <w:snapToGrid w:val="0"/>
                    <w:jc w:val="center"/>
                    <w:rPr>
                      <w:rFonts w:ascii="Times New Roman" w:hAnsi="Times New Roman"/>
                      <w:szCs w:val="21"/>
                      <w:lang w:bidi="ar"/>
                    </w:rPr>
                  </w:pPr>
                  <w:r>
                    <w:rPr>
                      <w:rFonts w:ascii="Times New Roman" w:hAnsi="Times New Roman"/>
                      <w:szCs w:val="21"/>
                      <w:lang w:bidi="ar"/>
                    </w:rPr>
                    <w:t>300kV</w:t>
                  </w:r>
                </w:p>
                <w:p w14:paraId="7DCF9243">
                  <w:pPr>
                    <w:adjustRightInd w:val="0"/>
                    <w:snapToGrid w:val="0"/>
                    <w:jc w:val="center"/>
                    <w:rPr>
                      <w:rFonts w:ascii="Times New Roman" w:hAnsi="Times New Roman"/>
                      <w:szCs w:val="21"/>
                      <w:lang w:bidi="ar"/>
                    </w:rPr>
                  </w:pPr>
                  <w:r>
                    <w:rPr>
                      <w:rFonts w:ascii="Times New Roman" w:hAnsi="Times New Roman"/>
                      <w:szCs w:val="21"/>
                      <w:lang w:bidi="ar"/>
                    </w:rPr>
                    <w:t>5mA</w:t>
                  </w:r>
                </w:p>
              </w:tc>
              <w:tc>
                <w:tcPr>
                  <w:tcW w:w="389" w:type="pct"/>
                  <w:shd w:val="clear" w:color="auto" w:fill="auto"/>
                  <w:vAlign w:val="center"/>
                </w:tcPr>
                <w:p w14:paraId="1F2B0269">
                  <w:pPr>
                    <w:adjustRightInd w:val="0"/>
                    <w:snapToGrid w:val="0"/>
                    <w:jc w:val="center"/>
                    <w:rPr>
                      <w:rFonts w:ascii="Times New Roman" w:hAnsi="Times New Roman"/>
                      <w:szCs w:val="21"/>
                      <w:lang w:bidi="ar"/>
                    </w:rPr>
                  </w:pPr>
                  <w:r>
                    <w:rPr>
                      <w:rFonts w:ascii="Times New Roman" w:hAnsi="Times New Roman"/>
                      <w:szCs w:val="21"/>
                      <w:lang w:bidi="ar"/>
                    </w:rPr>
                    <w:t>II类</w:t>
                  </w:r>
                </w:p>
              </w:tc>
              <w:tc>
                <w:tcPr>
                  <w:tcW w:w="356" w:type="pct"/>
                  <w:vAlign w:val="center"/>
                </w:tcPr>
                <w:p w14:paraId="5008498A">
                  <w:pPr>
                    <w:jc w:val="center"/>
                    <w:rPr>
                      <w:rFonts w:ascii="Times New Roman" w:hAnsi="Times New Roman"/>
                      <w:szCs w:val="21"/>
                    </w:rPr>
                  </w:pPr>
                  <w:r>
                    <w:rPr>
                      <w:rFonts w:ascii="Times New Roman" w:hAnsi="Times New Roman"/>
                      <w:szCs w:val="21"/>
                    </w:rPr>
                    <w:t>定向</w:t>
                  </w:r>
                </w:p>
              </w:tc>
              <w:tc>
                <w:tcPr>
                  <w:tcW w:w="518" w:type="pct"/>
                  <w:vAlign w:val="center"/>
                </w:tcPr>
                <w:p w14:paraId="16CAFA8F">
                  <w:pPr>
                    <w:adjustRightInd w:val="0"/>
                    <w:snapToGrid w:val="0"/>
                    <w:jc w:val="center"/>
                    <w:rPr>
                      <w:rFonts w:ascii="Times New Roman" w:hAnsi="Times New Roman"/>
                      <w:szCs w:val="21"/>
                    </w:rPr>
                  </w:pPr>
                  <w:r>
                    <w:rPr>
                      <w:rFonts w:ascii="Times New Roman" w:hAnsi="Times New Roman"/>
                      <w:szCs w:val="21"/>
                    </w:rPr>
                    <w:t>40+5°</w:t>
                  </w:r>
                </w:p>
              </w:tc>
              <w:tc>
                <w:tcPr>
                  <w:tcW w:w="538" w:type="pct"/>
                  <w:vAlign w:val="center"/>
                </w:tcPr>
                <w:p w14:paraId="03FB00C4">
                  <w:pPr>
                    <w:adjustRightInd w:val="0"/>
                    <w:snapToGrid w:val="0"/>
                    <w:jc w:val="center"/>
                    <w:rPr>
                      <w:rFonts w:ascii="Times New Roman" w:hAnsi="Times New Roman"/>
                      <w:szCs w:val="21"/>
                    </w:rPr>
                  </w:pPr>
                  <w:r>
                    <w:rPr>
                      <w:rFonts w:ascii="Times New Roman" w:hAnsi="Times New Roman"/>
                      <w:szCs w:val="21"/>
                    </w:rPr>
                    <w:t>50</w:t>
                  </w:r>
                </w:p>
              </w:tc>
              <w:tc>
                <w:tcPr>
                  <w:tcW w:w="485" w:type="pct"/>
                  <w:vAlign w:val="center"/>
                </w:tcPr>
                <w:p w14:paraId="624BB778">
                  <w:pPr>
                    <w:adjustRightInd w:val="0"/>
                    <w:snapToGrid w:val="0"/>
                    <w:jc w:val="center"/>
                    <w:rPr>
                      <w:rFonts w:ascii="Times New Roman" w:hAnsi="Times New Roman"/>
                      <w:szCs w:val="21"/>
                    </w:rPr>
                  </w:pPr>
                  <w:r>
                    <w:rPr>
                      <w:rFonts w:ascii="Times New Roman" w:hAnsi="Times New Roman"/>
                      <w:szCs w:val="21"/>
                    </w:rPr>
                    <w:t>2.5</w:t>
                  </w:r>
                  <w:r>
                    <w:rPr>
                      <w:rFonts w:ascii="Times New Roman" w:hAnsi="Times New Roman"/>
                      <w:szCs w:val="21"/>
                      <w:lang w:bidi="ar"/>
                    </w:rPr>
                    <w:t>×2.5</w:t>
                  </w:r>
                </w:p>
              </w:tc>
              <w:tc>
                <w:tcPr>
                  <w:tcW w:w="542" w:type="pct"/>
                  <w:vAlign w:val="center"/>
                </w:tcPr>
                <w:p w14:paraId="6FFEDCC9">
                  <w:pPr>
                    <w:adjustRightInd w:val="0"/>
                    <w:snapToGrid w:val="0"/>
                    <w:jc w:val="center"/>
                    <w:rPr>
                      <w:rFonts w:ascii="Times New Roman" w:hAnsi="Times New Roman"/>
                      <w:szCs w:val="21"/>
                    </w:rPr>
                  </w:pPr>
                  <w:r>
                    <w:rPr>
                      <w:rFonts w:ascii="Times New Roman" w:hAnsi="Times New Roman"/>
                      <w:szCs w:val="21"/>
                    </w:rPr>
                    <w:t>5</w:t>
                  </w:r>
                </w:p>
              </w:tc>
              <w:tc>
                <w:tcPr>
                  <w:tcW w:w="452" w:type="pct"/>
                  <w:vMerge w:val="continue"/>
                  <w:shd w:val="clear" w:color="auto" w:fill="auto"/>
                  <w:vAlign w:val="center"/>
                </w:tcPr>
                <w:p w14:paraId="68FA1357">
                  <w:pPr>
                    <w:adjustRightInd w:val="0"/>
                    <w:snapToGrid w:val="0"/>
                    <w:jc w:val="center"/>
                    <w:rPr>
                      <w:rFonts w:ascii="Times New Roman" w:hAnsi="Times New Roman"/>
                      <w:szCs w:val="21"/>
                    </w:rPr>
                  </w:pPr>
                </w:p>
              </w:tc>
            </w:tr>
          </w:tbl>
          <w:p w14:paraId="05E4BA17">
            <w:pPr>
              <w:adjustRightInd w:val="0"/>
              <w:snapToGrid w:val="0"/>
              <w:jc w:val="center"/>
              <w:rPr>
                <w:rFonts w:ascii="Times New Roman" w:hAnsi="Times New Roman"/>
                <w:b/>
                <w:szCs w:val="21"/>
                <w:lang w:bidi="ar"/>
              </w:rPr>
            </w:pPr>
            <w:r>
              <w:rPr>
                <w:rFonts w:ascii="Times New Roman" w:hAnsi="Times New Roman"/>
                <w:b/>
                <w:szCs w:val="21"/>
                <w:lang w:bidi="ar"/>
              </w:rPr>
              <w:t>表1-4 本项目新增配套或辅助设备参数一览表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277"/>
              <w:gridCol w:w="707"/>
              <w:gridCol w:w="3968"/>
              <w:gridCol w:w="1301"/>
            </w:tblGrid>
            <w:tr w14:paraId="2EA85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9" w:type="pct"/>
                  <w:shd w:val="clear" w:color="auto" w:fill="auto"/>
                  <w:vAlign w:val="center"/>
                </w:tcPr>
                <w:p w14:paraId="32C3A5B3">
                  <w:pPr>
                    <w:adjustRightInd w:val="0"/>
                    <w:snapToGrid w:val="0"/>
                    <w:jc w:val="center"/>
                    <w:rPr>
                      <w:rFonts w:ascii="Times New Roman" w:hAnsi="Times New Roman"/>
                      <w:b/>
                      <w:szCs w:val="21"/>
                    </w:rPr>
                  </w:pPr>
                  <w:r>
                    <w:rPr>
                      <w:rFonts w:ascii="Times New Roman" w:hAnsi="Times New Roman"/>
                      <w:b/>
                      <w:szCs w:val="21"/>
                      <w:lang w:bidi="ar"/>
                    </w:rPr>
                    <w:t>装置名称</w:t>
                  </w:r>
                </w:p>
              </w:tc>
              <w:tc>
                <w:tcPr>
                  <w:tcW w:w="701" w:type="pct"/>
                  <w:vAlign w:val="center"/>
                </w:tcPr>
                <w:p w14:paraId="16B8975A">
                  <w:pPr>
                    <w:adjustRightInd w:val="0"/>
                    <w:snapToGrid w:val="0"/>
                    <w:jc w:val="center"/>
                    <w:rPr>
                      <w:rFonts w:ascii="Times New Roman" w:hAnsi="Times New Roman"/>
                      <w:b/>
                      <w:szCs w:val="21"/>
                      <w:lang w:bidi="ar"/>
                    </w:rPr>
                  </w:pPr>
                  <w:r>
                    <w:rPr>
                      <w:rFonts w:ascii="Times New Roman" w:hAnsi="Times New Roman"/>
                      <w:b/>
                      <w:szCs w:val="21"/>
                    </w:rPr>
                    <w:t>设备型号</w:t>
                  </w:r>
                </w:p>
              </w:tc>
              <w:tc>
                <w:tcPr>
                  <w:tcW w:w="388" w:type="pct"/>
                  <w:shd w:val="clear" w:color="auto" w:fill="auto"/>
                  <w:vAlign w:val="center"/>
                </w:tcPr>
                <w:p w14:paraId="42930A92">
                  <w:pPr>
                    <w:adjustRightInd w:val="0"/>
                    <w:snapToGrid w:val="0"/>
                    <w:jc w:val="center"/>
                    <w:rPr>
                      <w:rFonts w:ascii="Times New Roman" w:hAnsi="Times New Roman"/>
                      <w:b/>
                      <w:szCs w:val="21"/>
                    </w:rPr>
                  </w:pPr>
                  <w:r>
                    <w:rPr>
                      <w:rFonts w:ascii="Times New Roman" w:hAnsi="Times New Roman"/>
                      <w:b/>
                      <w:szCs w:val="21"/>
                      <w:lang w:bidi="ar"/>
                    </w:rPr>
                    <w:t>数量</w:t>
                  </w:r>
                </w:p>
              </w:tc>
              <w:tc>
                <w:tcPr>
                  <w:tcW w:w="2178" w:type="pct"/>
                  <w:shd w:val="clear" w:color="auto" w:fill="auto"/>
                  <w:vAlign w:val="center"/>
                </w:tcPr>
                <w:p w14:paraId="1E0969B1">
                  <w:pPr>
                    <w:adjustRightInd w:val="0"/>
                    <w:snapToGrid w:val="0"/>
                    <w:jc w:val="center"/>
                    <w:rPr>
                      <w:rFonts w:ascii="Times New Roman" w:hAnsi="Times New Roman"/>
                      <w:b/>
                      <w:szCs w:val="21"/>
                    </w:rPr>
                  </w:pPr>
                  <w:r>
                    <w:rPr>
                      <w:rFonts w:ascii="Times New Roman" w:hAnsi="Times New Roman"/>
                      <w:b/>
                      <w:szCs w:val="21"/>
                      <w:lang w:bidi="ar"/>
                    </w:rPr>
                    <w:t>主要参数</w:t>
                  </w:r>
                </w:p>
              </w:tc>
              <w:tc>
                <w:tcPr>
                  <w:tcW w:w="714" w:type="pct"/>
                  <w:shd w:val="clear" w:color="auto" w:fill="auto"/>
                  <w:vAlign w:val="center"/>
                </w:tcPr>
                <w:p w14:paraId="6A287F4B">
                  <w:pPr>
                    <w:adjustRightInd w:val="0"/>
                    <w:snapToGrid w:val="0"/>
                    <w:jc w:val="center"/>
                    <w:rPr>
                      <w:rFonts w:ascii="Times New Roman" w:hAnsi="Times New Roman"/>
                      <w:b/>
                      <w:szCs w:val="21"/>
                    </w:rPr>
                  </w:pPr>
                  <w:r>
                    <w:rPr>
                      <w:rFonts w:ascii="Times New Roman" w:hAnsi="Times New Roman"/>
                      <w:b/>
                      <w:szCs w:val="21"/>
                      <w:lang w:bidi="ar"/>
                    </w:rPr>
                    <w:t>工作场所</w:t>
                  </w:r>
                </w:p>
              </w:tc>
            </w:tr>
            <w:tr w14:paraId="75D8E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9" w:type="pct"/>
                  <w:shd w:val="clear" w:color="auto" w:fill="auto"/>
                  <w:vAlign w:val="center"/>
                </w:tcPr>
                <w:p w14:paraId="0A5866AC">
                  <w:pPr>
                    <w:adjustRightInd w:val="0"/>
                    <w:snapToGrid w:val="0"/>
                    <w:ind w:left="-105" w:leftChars="-50" w:right="-105" w:rightChars="-50"/>
                    <w:jc w:val="center"/>
                    <w:rPr>
                      <w:rFonts w:ascii="Times New Roman" w:hAnsi="Times New Roman"/>
                      <w:bCs/>
                      <w:szCs w:val="21"/>
                      <w:lang w:bidi="ar"/>
                    </w:rPr>
                  </w:pPr>
                  <w:r>
                    <w:rPr>
                      <w:rFonts w:ascii="Times New Roman" w:hAnsi="Times New Roman"/>
                      <w:bCs/>
                      <w:szCs w:val="21"/>
                      <w:lang w:bidi="ar"/>
                    </w:rPr>
                    <w:t>洗片机</w:t>
                  </w:r>
                </w:p>
              </w:tc>
              <w:tc>
                <w:tcPr>
                  <w:tcW w:w="701" w:type="pct"/>
                  <w:vAlign w:val="center"/>
                </w:tcPr>
                <w:p w14:paraId="7C67857C">
                  <w:pPr>
                    <w:jc w:val="center"/>
                    <w:rPr>
                      <w:rFonts w:ascii="Times New Roman" w:hAnsi="Times New Roman"/>
                      <w:szCs w:val="21"/>
                    </w:rPr>
                  </w:pPr>
                  <w:r>
                    <w:rPr>
                      <w:rFonts w:ascii="Times New Roman" w:hAnsi="Times New Roman"/>
                      <w:szCs w:val="21"/>
                    </w:rPr>
                    <w:t>P14-A</w:t>
                  </w:r>
                </w:p>
              </w:tc>
              <w:tc>
                <w:tcPr>
                  <w:tcW w:w="388" w:type="pct"/>
                  <w:shd w:val="clear" w:color="auto" w:fill="auto"/>
                  <w:vAlign w:val="center"/>
                </w:tcPr>
                <w:p w14:paraId="2A78DE4F">
                  <w:pPr>
                    <w:adjustRightInd w:val="0"/>
                    <w:snapToGrid w:val="0"/>
                    <w:jc w:val="center"/>
                    <w:rPr>
                      <w:rFonts w:ascii="Times New Roman" w:hAnsi="Times New Roman"/>
                      <w:szCs w:val="21"/>
                      <w:lang w:bidi="ar"/>
                    </w:rPr>
                  </w:pPr>
                  <w:r>
                    <w:rPr>
                      <w:rFonts w:ascii="Times New Roman" w:hAnsi="Times New Roman"/>
                      <w:szCs w:val="21"/>
                    </w:rPr>
                    <w:t>1台</w:t>
                  </w:r>
                </w:p>
              </w:tc>
              <w:tc>
                <w:tcPr>
                  <w:tcW w:w="2178" w:type="pct"/>
                  <w:shd w:val="clear" w:color="auto" w:fill="auto"/>
                  <w:vAlign w:val="center"/>
                </w:tcPr>
                <w:p w14:paraId="79F544B4">
                  <w:pPr>
                    <w:adjustRightInd w:val="0"/>
                    <w:snapToGrid w:val="0"/>
                    <w:jc w:val="center"/>
                    <w:rPr>
                      <w:rFonts w:ascii="Times New Roman" w:hAnsi="Times New Roman"/>
                      <w:szCs w:val="21"/>
                      <w:lang w:bidi="ar"/>
                    </w:rPr>
                  </w:pPr>
                  <w:r>
                    <w:rPr>
                      <w:rFonts w:ascii="Times New Roman" w:hAnsi="Times New Roman"/>
                      <w:szCs w:val="21"/>
                      <w:lang w:bidi="ar"/>
                    </w:rPr>
                    <w:t>胶片尺寸：80×150mm至80mm×300mm</w:t>
                  </w:r>
                </w:p>
              </w:tc>
              <w:tc>
                <w:tcPr>
                  <w:tcW w:w="714" w:type="pct"/>
                  <w:vMerge w:val="restart"/>
                  <w:shd w:val="clear" w:color="auto" w:fill="auto"/>
                  <w:vAlign w:val="center"/>
                </w:tcPr>
                <w:p w14:paraId="51599C95">
                  <w:pPr>
                    <w:adjustRightInd w:val="0"/>
                    <w:snapToGrid w:val="0"/>
                    <w:jc w:val="center"/>
                    <w:rPr>
                      <w:rFonts w:ascii="Times New Roman" w:hAnsi="Times New Roman"/>
                      <w:szCs w:val="21"/>
                    </w:rPr>
                  </w:pPr>
                  <w:r>
                    <w:rPr>
                      <w:rFonts w:ascii="Times New Roman" w:hAnsi="Times New Roman"/>
                      <w:szCs w:val="21"/>
                    </w:rPr>
                    <w:t>暗室</w:t>
                  </w:r>
                </w:p>
              </w:tc>
            </w:tr>
            <w:tr w14:paraId="553B8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9" w:type="pct"/>
                  <w:shd w:val="clear" w:color="auto" w:fill="auto"/>
                  <w:vAlign w:val="center"/>
                </w:tcPr>
                <w:p w14:paraId="1E5F2C0A">
                  <w:pPr>
                    <w:adjustRightInd w:val="0"/>
                    <w:snapToGrid w:val="0"/>
                    <w:ind w:left="-105" w:leftChars="-50" w:right="-105" w:rightChars="-50"/>
                    <w:jc w:val="center"/>
                    <w:rPr>
                      <w:rFonts w:ascii="Times New Roman" w:hAnsi="Times New Roman"/>
                      <w:bCs/>
                      <w:szCs w:val="21"/>
                      <w:lang w:bidi="ar"/>
                    </w:rPr>
                  </w:pPr>
                  <w:r>
                    <w:rPr>
                      <w:rFonts w:ascii="Times New Roman" w:hAnsi="Times New Roman"/>
                      <w:bCs/>
                      <w:szCs w:val="21"/>
                      <w:lang w:bidi="ar"/>
                    </w:rPr>
                    <w:t>电热鼓风干燥箱</w:t>
                  </w:r>
                </w:p>
              </w:tc>
              <w:tc>
                <w:tcPr>
                  <w:tcW w:w="701" w:type="pct"/>
                  <w:vAlign w:val="center"/>
                </w:tcPr>
                <w:p w14:paraId="442941B1">
                  <w:pPr>
                    <w:jc w:val="center"/>
                    <w:rPr>
                      <w:rFonts w:ascii="Times New Roman" w:hAnsi="Times New Roman"/>
                      <w:szCs w:val="21"/>
                    </w:rPr>
                  </w:pPr>
                  <w:r>
                    <w:rPr>
                      <w:rFonts w:ascii="Times New Roman" w:hAnsi="Times New Roman"/>
                      <w:szCs w:val="21"/>
                    </w:rPr>
                    <w:t>ZC-1</w:t>
                  </w:r>
                </w:p>
              </w:tc>
              <w:tc>
                <w:tcPr>
                  <w:tcW w:w="388" w:type="pct"/>
                  <w:shd w:val="clear" w:color="auto" w:fill="auto"/>
                  <w:vAlign w:val="center"/>
                </w:tcPr>
                <w:p w14:paraId="7DC9F6C4">
                  <w:pPr>
                    <w:adjustRightInd w:val="0"/>
                    <w:snapToGrid w:val="0"/>
                    <w:jc w:val="center"/>
                    <w:rPr>
                      <w:rFonts w:ascii="Times New Roman" w:hAnsi="Times New Roman"/>
                      <w:szCs w:val="21"/>
                      <w:lang w:bidi="ar"/>
                    </w:rPr>
                  </w:pPr>
                  <w:r>
                    <w:rPr>
                      <w:rFonts w:ascii="Times New Roman" w:hAnsi="Times New Roman"/>
                      <w:szCs w:val="21"/>
                    </w:rPr>
                    <w:t>1台</w:t>
                  </w:r>
                </w:p>
              </w:tc>
              <w:tc>
                <w:tcPr>
                  <w:tcW w:w="2178" w:type="pct"/>
                  <w:shd w:val="clear" w:color="auto" w:fill="auto"/>
                  <w:vAlign w:val="center"/>
                </w:tcPr>
                <w:p w14:paraId="480CCABE">
                  <w:pPr>
                    <w:adjustRightInd w:val="0"/>
                    <w:snapToGrid w:val="0"/>
                    <w:jc w:val="center"/>
                    <w:rPr>
                      <w:rFonts w:ascii="Times New Roman" w:hAnsi="Times New Roman"/>
                      <w:szCs w:val="21"/>
                      <w:lang w:bidi="ar"/>
                    </w:rPr>
                  </w:pPr>
                  <w:r>
                    <w:rPr>
                      <w:rFonts w:ascii="Times New Roman" w:hAnsi="Times New Roman"/>
                      <w:szCs w:val="21"/>
                      <w:lang w:bidi="ar"/>
                    </w:rPr>
                    <w:t>（室温+10~300）℃</w:t>
                  </w:r>
                </w:p>
              </w:tc>
              <w:tc>
                <w:tcPr>
                  <w:tcW w:w="714" w:type="pct"/>
                  <w:vMerge w:val="continue"/>
                  <w:shd w:val="clear" w:color="auto" w:fill="auto"/>
                  <w:vAlign w:val="center"/>
                </w:tcPr>
                <w:p w14:paraId="2DCAB982">
                  <w:pPr>
                    <w:adjustRightInd w:val="0"/>
                    <w:snapToGrid w:val="0"/>
                    <w:jc w:val="center"/>
                    <w:rPr>
                      <w:rFonts w:ascii="Times New Roman" w:hAnsi="Times New Roman"/>
                      <w:szCs w:val="21"/>
                    </w:rPr>
                  </w:pPr>
                </w:p>
              </w:tc>
            </w:tr>
          </w:tbl>
          <w:p w14:paraId="221E61C2">
            <w:pPr>
              <w:adjustRightInd w:val="0"/>
              <w:snapToGrid w:val="0"/>
              <w:spacing w:before="156" w:beforeLines="50" w:line="360" w:lineRule="auto"/>
              <w:ind w:firstLine="482" w:firstLineChars="200"/>
              <w:rPr>
                <w:rFonts w:ascii="Times New Roman" w:hAnsi="Times New Roman"/>
                <w:sz w:val="28"/>
                <w:szCs w:val="28"/>
              </w:rPr>
            </w:pPr>
            <w:r>
              <w:rPr>
                <w:rFonts w:ascii="Times New Roman" w:hAnsi="Times New Roman"/>
                <w:b/>
                <w:sz w:val="24"/>
              </w:rPr>
              <w:t>5、劳动定员及工作时间</w:t>
            </w:r>
          </w:p>
          <w:p w14:paraId="02990F52">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拟安排辐射工作人员8人，由公司原有工作人员调剂，分为两组，实行轮换制度，每天工作8小时，则保守估计X射线探伤每天出束时间为3h，探伤室全年工作时间为250天，X射线探伤全年的曝光最大时间为750h。</w:t>
            </w:r>
          </w:p>
          <w:p w14:paraId="248C5FB0">
            <w:pPr>
              <w:adjustRightInd w:val="0"/>
              <w:snapToGrid w:val="0"/>
              <w:spacing w:line="360" w:lineRule="auto"/>
              <w:ind w:firstLine="482" w:firstLineChars="200"/>
              <w:rPr>
                <w:rFonts w:ascii="Times New Roman" w:hAnsi="Times New Roman"/>
                <w:b/>
                <w:sz w:val="24"/>
              </w:rPr>
            </w:pPr>
            <w:r>
              <w:rPr>
                <w:rFonts w:ascii="Times New Roman" w:hAnsi="Times New Roman"/>
                <w:b/>
                <w:sz w:val="24"/>
              </w:rPr>
              <w:t>6、项目周边关系及环境保护目标</w:t>
            </w:r>
          </w:p>
          <w:p w14:paraId="70FDCC9B">
            <w:pPr>
              <w:pStyle w:val="2"/>
              <w:spacing w:after="0" w:line="360" w:lineRule="auto"/>
              <w:ind w:left="0" w:leftChars="0" w:firstLine="480"/>
              <w:rPr>
                <w:bCs/>
                <w:sz w:val="24"/>
              </w:rPr>
            </w:pPr>
            <w:r>
              <w:rPr>
                <w:bCs/>
                <w:sz w:val="24"/>
              </w:rPr>
              <w:t>公司位于</w:t>
            </w:r>
            <w:r>
              <w:rPr>
                <w:rFonts w:hint="eastAsia"/>
                <w:bCs/>
                <w:sz w:val="24"/>
              </w:rPr>
              <w:t>河北省承德市双滦区双塔山镇大三岔口村地质四队东侧（承德中天建设工程检测试验有限公司办公楼），</w:t>
            </w:r>
            <w:r>
              <w:rPr>
                <w:bCs/>
                <w:sz w:val="24"/>
              </w:rPr>
              <w:t>地理位置中心坐标为</w:t>
            </w:r>
            <w:r>
              <w:rPr>
                <w:rFonts w:hint="eastAsia"/>
                <w:bCs/>
                <w:sz w:val="24"/>
              </w:rPr>
              <w:t>北纬</w:t>
            </w:r>
            <w:r>
              <w:rPr>
                <w:bCs/>
                <w:sz w:val="24"/>
              </w:rPr>
              <w:t>40°59′38.456″，东经117°49′37.445″。公司西邻</w:t>
            </w:r>
            <w:r>
              <w:rPr>
                <w:rFonts w:hint="eastAsia"/>
                <w:bCs/>
                <w:sz w:val="24"/>
              </w:rPr>
              <w:t>国</w:t>
            </w:r>
            <w:r>
              <w:rPr>
                <w:bCs/>
                <w:sz w:val="24"/>
              </w:rPr>
              <w:t>道</w:t>
            </w:r>
            <w:r>
              <w:rPr>
                <w:rFonts w:hint="eastAsia"/>
                <w:bCs/>
                <w:sz w:val="24"/>
              </w:rPr>
              <w:t>G</w:t>
            </w:r>
            <w:r>
              <w:rPr>
                <w:bCs/>
                <w:sz w:val="24"/>
              </w:rPr>
              <w:t>233（通宝路），隔牤牛河与省道</w:t>
            </w:r>
            <w:r>
              <w:rPr>
                <w:rFonts w:hint="eastAsia"/>
                <w:bCs/>
                <w:sz w:val="24"/>
              </w:rPr>
              <w:t>S</w:t>
            </w:r>
            <w:r>
              <w:rPr>
                <w:bCs/>
                <w:sz w:val="24"/>
              </w:rPr>
              <w:t>256（通宝路）相邻，交通便利，</w:t>
            </w:r>
            <w:r>
              <w:rPr>
                <w:rFonts w:hint="eastAsia"/>
                <w:bCs/>
                <w:sz w:val="24"/>
              </w:rPr>
              <w:t>西北</w:t>
            </w:r>
            <w:r>
              <w:rPr>
                <w:bCs/>
                <w:sz w:val="24"/>
              </w:rPr>
              <w:t>为承德兴厦水泥公司，西南为兰欧国际酒店，南侧为小人沟，东侧为山区，北侧为上白庙，详见附图。</w:t>
            </w:r>
          </w:p>
          <w:p w14:paraId="6EC4443A">
            <w:pPr>
              <w:pStyle w:val="2"/>
              <w:spacing w:after="0" w:line="360" w:lineRule="auto"/>
              <w:ind w:left="0" w:leftChars="0" w:firstLine="480"/>
              <w:rPr>
                <w:bCs/>
                <w:sz w:val="24"/>
              </w:rPr>
            </w:pPr>
            <w:r>
              <w:rPr>
                <w:kern w:val="0"/>
                <w:sz w:val="24"/>
              </w:rPr>
              <w:t>本项目野外（室外）探伤地点为野外、管道线路或其他企业的厂区内（具体使用地点不固定）。在野外、其他企业的厂区内，周围人口密度较小；在暖气管道或燃气管道等位于室外但距离居民住宅区较近的区域，人口密度较大。</w:t>
            </w:r>
            <w:r>
              <w:rPr>
                <w:rFonts w:hint="eastAsia"/>
                <w:kern w:val="0"/>
                <w:sz w:val="24"/>
              </w:rPr>
              <w:t>本项目环境保护目标为现场探伤时评价范围内活动的工作人员以及探伤机周边的非放射性工作人员和公众。主要考虑工业</w:t>
            </w:r>
            <w:r>
              <w:rPr>
                <w:kern w:val="0"/>
                <w:sz w:val="24"/>
              </w:rPr>
              <w:t>X</w:t>
            </w:r>
            <w:r>
              <w:rPr>
                <w:rFonts w:hint="eastAsia"/>
                <w:kern w:val="0"/>
                <w:sz w:val="24"/>
              </w:rPr>
              <w:t>射线探伤机运行过程中泄漏的</w:t>
            </w:r>
            <w:r>
              <w:rPr>
                <w:kern w:val="0"/>
                <w:sz w:val="24"/>
              </w:rPr>
              <w:t>X</w:t>
            </w:r>
            <w:r>
              <w:rPr>
                <w:rFonts w:hint="eastAsia"/>
                <w:kern w:val="0"/>
                <w:sz w:val="24"/>
              </w:rPr>
              <w:t>射线对工作人员、周围公众及周围环境的影响，确保项目运行时，工作人员及周围公众受照剂量尽可能低。</w:t>
            </w:r>
            <w:r>
              <w:rPr>
                <w:kern w:val="0"/>
                <w:sz w:val="24"/>
              </w:rPr>
              <w:t>因此控制区外监督区内的辐射工作人员，监督区外评价范围的公众均为环境保护目标。</w:t>
            </w:r>
          </w:p>
          <w:p w14:paraId="59256A3E">
            <w:pPr>
              <w:pStyle w:val="2"/>
              <w:spacing w:after="0" w:line="360" w:lineRule="auto"/>
              <w:ind w:left="0" w:leftChars="0" w:firstLine="482"/>
              <w:rPr>
                <w:b/>
                <w:bCs/>
                <w:sz w:val="24"/>
              </w:rPr>
            </w:pPr>
            <w:r>
              <w:rPr>
                <w:b/>
                <w:bCs/>
                <w:sz w:val="24"/>
              </w:rPr>
              <w:t>7、平面布置</w:t>
            </w:r>
          </w:p>
          <w:p w14:paraId="330A2F62">
            <w:pPr>
              <w:pStyle w:val="2"/>
              <w:spacing w:after="0" w:line="360" w:lineRule="auto"/>
              <w:ind w:left="0" w:leftChars="0" w:firstLine="480"/>
              <w:rPr>
                <w:sz w:val="24"/>
              </w:rPr>
            </w:pPr>
            <w:r>
              <w:rPr>
                <w:rFonts w:hint="eastAsia"/>
                <w:sz w:val="24"/>
              </w:rPr>
              <w:t>本项目X射线探伤机储存于公司办公楼一层设备室内，暗室位于公司办公楼负一层，危废间位于厂区东北角。本项目</w:t>
            </w:r>
            <w:r>
              <w:rPr>
                <w:sz w:val="24"/>
              </w:rPr>
              <w:t>X</w:t>
            </w:r>
            <w:r>
              <w:rPr>
                <w:rFonts w:hint="eastAsia"/>
                <w:sz w:val="24"/>
              </w:rPr>
              <w:t>射线探伤机无检测任务时均存放于公司一层设备室内，占地面积约1</w:t>
            </w:r>
            <w:r>
              <w:rPr>
                <w:sz w:val="24"/>
              </w:rPr>
              <w:t>46m</w:t>
            </w:r>
            <w:r>
              <w:rPr>
                <w:sz w:val="24"/>
                <w:vertAlign w:val="superscript"/>
              </w:rPr>
              <w:t>2</w:t>
            </w:r>
            <w:r>
              <w:rPr>
                <w:rFonts w:hint="eastAsia"/>
                <w:sz w:val="24"/>
              </w:rPr>
              <w:t>详见附图。</w:t>
            </w:r>
          </w:p>
          <w:p w14:paraId="44ED66F9">
            <w:pPr>
              <w:adjustRightInd w:val="0"/>
              <w:snapToGrid w:val="0"/>
              <w:spacing w:line="360" w:lineRule="auto"/>
              <w:ind w:firstLine="482" w:firstLineChars="200"/>
              <w:rPr>
                <w:rFonts w:ascii="Times New Roman" w:hAnsi="Times New Roman"/>
                <w:b/>
                <w:sz w:val="28"/>
                <w:szCs w:val="28"/>
                <w:highlight w:val="yellow"/>
              </w:rPr>
            </w:pPr>
            <w:r>
              <w:rPr>
                <w:rFonts w:ascii="Times New Roman" w:hAnsi="Times New Roman"/>
                <w:b/>
                <w:sz w:val="24"/>
              </w:rPr>
              <w:t>8、产业政策的符合性</w:t>
            </w:r>
          </w:p>
          <w:p w14:paraId="03176542">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系核与辐射技术用于工业检测领域，属高新技术。根据中华人民共和国国家发展和改革委员会制定的《产业结构调整指导目录（2024年本）》（中华人民共和国国家发展和改革委员会第7号令，2024年2月1日起施行）规定，本项目属鼓励类第三十一项“科技服务”中第1条“质量认证和检验检测服务”，符合国家现行产业发展政策；本项目不在《</w:t>
            </w:r>
            <w:bookmarkStart w:id="17" w:name="OLE_LINK5"/>
            <w:bookmarkStart w:id="18" w:name="OLE_LINK4"/>
            <w:r>
              <w:rPr>
                <w:rFonts w:ascii="Times New Roman" w:hAnsi="Times New Roman"/>
                <w:sz w:val="24"/>
              </w:rPr>
              <w:t>市场准入负面清单</w:t>
            </w:r>
            <w:bookmarkEnd w:id="17"/>
            <w:bookmarkEnd w:id="18"/>
            <w:r>
              <w:rPr>
                <w:rFonts w:ascii="Times New Roman" w:hAnsi="Times New Roman"/>
                <w:sz w:val="24"/>
              </w:rPr>
              <w:t>》(2022年)之列。</w:t>
            </w:r>
          </w:p>
          <w:p w14:paraId="283A59AC">
            <w:pPr>
              <w:adjustRightInd w:val="0"/>
              <w:snapToGrid w:val="0"/>
              <w:spacing w:line="360" w:lineRule="auto"/>
              <w:ind w:firstLine="480" w:firstLineChars="200"/>
              <w:rPr>
                <w:rFonts w:ascii="Times New Roman" w:hAnsi="Times New Roman"/>
                <w:b/>
                <w:sz w:val="24"/>
              </w:rPr>
            </w:pPr>
            <w:r>
              <w:rPr>
                <w:rFonts w:hint="eastAsia" w:ascii="Times New Roman" w:hAnsi="Times New Roman"/>
                <w:sz w:val="24"/>
              </w:rPr>
              <w:t>综上所述，本项目符合国家及地方相关产业政策。</w:t>
            </w:r>
          </w:p>
          <w:p w14:paraId="510D2C15">
            <w:pPr>
              <w:adjustRightInd w:val="0"/>
              <w:snapToGrid w:val="0"/>
              <w:spacing w:line="360" w:lineRule="auto"/>
              <w:ind w:firstLine="482" w:firstLineChars="200"/>
              <w:rPr>
                <w:rFonts w:ascii="Times New Roman" w:hAnsi="Times New Roman"/>
                <w:b/>
                <w:sz w:val="28"/>
                <w:szCs w:val="28"/>
                <w:highlight w:val="yellow"/>
              </w:rPr>
            </w:pPr>
            <w:r>
              <w:rPr>
                <w:rFonts w:ascii="Times New Roman" w:hAnsi="Times New Roman"/>
                <w:b/>
                <w:sz w:val="24"/>
              </w:rPr>
              <w:t>9、实践正当性</w:t>
            </w:r>
          </w:p>
          <w:p w14:paraId="0160FCF8">
            <w:pPr>
              <w:adjustRightInd w:val="0"/>
              <w:snapToGrid w:val="0"/>
              <w:spacing w:line="360" w:lineRule="auto"/>
              <w:ind w:firstLine="480" w:firstLineChars="200"/>
              <w:rPr>
                <w:rFonts w:ascii="Times New Roman" w:hAnsi="Times New Roman"/>
                <w:sz w:val="24"/>
              </w:rPr>
            </w:pPr>
            <w:r>
              <w:rPr>
                <w:rFonts w:ascii="Times New Roman" w:hAnsi="Times New Roman"/>
                <w:sz w:val="24"/>
              </w:rPr>
              <w:t>按照《电离辐射防护与辐射源安全基本标准》（GB 18871-2002）中关于辐射防护“实践的正当性”要求，对于一项实践，只有在考虑了社会、经济和其他有关因素之后，其对受照个人或社会所带来的利益足以弥补可能引起的辐射危害时，该实践才是正当的。</w:t>
            </w:r>
          </w:p>
          <w:p w14:paraId="00D579AF">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为野外（室外）探伤，不涉及室内探伤。由于探伤作业委托单位的不同，探伤作业地点不固定，均为野外施工现场或其他企业的厂区内，探伤工件已固定安装或在用，不具备移动至曝光室内检测的条件。同时，X射线探伤作为五大常规无损检测方法之一，可以探测各型金属内部可能产生的缺陷，如气孔、针孔、夹杂、疏松、裂纹、偏析、未焊透和熔合不足等，且能较直观地显示工件内部缺陷的大小和形状，对保障产品质量起了十分重要的作用。本项目核技术应用项目的开展，可达到一般非放射性探伤方法所不能及的诊断效果，是其它探伤项目无法替代的，由于X射线探伤的方法效果显著，因此，该项目的实践是必要的。但是，由于在探伤过程中射线装置的应用可能会给周围环境和辐射工作人员造成一定的辐射影响，同时射线装置的使用及管理的失误会造成辐射安全事故。建设单位在开展X射线探伤过程中，对射线装置的使用将严格按照国家相关的辐射防护要求采取相应的防护措施，对射线装置的安全管理将建立相应的规章制度。因此，在正确使用和管理射线装置的情况下，可以将该项辐射产生的影响降至尽可能小。本项目产生的辐射给职业人员、公众及社会带来的利益足以弥补其可能引起的辐射危害，该核技术应用的实践具有正当性。</w:t>
            </w:r>
          </w:p>
          <w:p w14:paraId="18A9DBE9">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本项目拟开展X射线野外探伤工作，具有良好的社会效益和经济效益。本项目采用的辐射防护措施能够保证屏蔽体外剂量率和人员受照水平控制在标准范围内，符合《电离辐射防护与辐射源安全基本标准》（GB 18871-2002）中辐射防护“实践正当性”的要求。</w:t>
            </w:r>
          </w:p>
          <w:p w14:paraId="47663480">
            <w:pPr>
              <w:adjustRightInd w:val="0"/>
              <w:snapToGrid w:val="0"/>
              <w:spacing w:line="360" w:lineRule="auto"/>
              <w:ind w:firstLine="482" w:firstLineChars="200"/>
              <w:rPr>
                <w:rFonts w:ascii="Times New Roman" w:hAnsi="Times New Roman"/>
                <w:b/>
                <w:sz w:val="24"/>
              </w:rPr>
            </w:pPr>
            <w:r>
              <w:rPr>
                <w:rFonts w:ascii="Times New Roman" w:hAnsi="Times New Roman"/>
                <w:b/>
                <w:sz w:val="24"/>
              </w:rPr>
              <w:t>10、选址合理性分析</w:t>
            </w:r>
          </w:p>
          <w:p w14:paraId="75AB6501">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建设地点位于公司已有厂区内，探伤机储存于公司一层设备室内，野外（室外）探伤地点为全国各地，探伤场地均为野外或其他企业的厂区内，探伤地点不固定。探伤完成后，所拍胶片带回公司，在暗室进行显影、定影等处理，最终出具探伤检测报告。</w:t>
            </w:r>
          </w:p>
          <w:p w14:paraId="363EB2C6">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X射线探伤机在野外（室外）作业时，将采取有效屏蔽，配备如铅屏风等防护设备，且将因地制宜地充分利用探伤具体地点地形特征及周围设施防护，如墙体、拐角、坑体等有利地形。建设单位将通过清场、张贴公告、拉警戒线、调整探伤作业时间（在人流较多的现场探伤时，尽量选取下班时间或者夜间人流量较少的时段）等安全管理措施，按照划定的控制区和监督区严格管理，禁止其他人员出入。采取以上措施后，对周围环境的辐射影响是可以接受的。本项目探伤机无探伤任务时存放于公司一层设备室内，该设备室拟采取一系列的防盗防破坏措施以保证设备安全，包括：</w:t>
            </w:r>
            <w:r>
              <w:rPr>
                <w:rFonts w:hint="eastAsia" w:ascii="宋体" w:hAnsi="宋体" w:cs="宋体"/>
                <w:sz w:val="24"/>
              </w:rPr>
              <w:t>①</w:t>
            </w:r>
            <w:r>
              <w:rPr>
                <w:rFonts w:ascii="Times New Roman" w:hAnsi="Times New Roman"/>
                <w:sz w:val="24"/>
              </w:rPr>
              <w:t>设备室内安装监控摄像头，实施24小时监控，能够实时看到设备室内部情况；</w:t>
            </w:r>
            <w:r>
              <w:rPr>
                <w:rFonts w:hint="eastAsia" w:ascii="宋体" w:hAnsi="宋体" w:cs="宋体"/>
                <w:sz w:val="24"/>
              </w:rPr>
              <w:t>②</w:t>
            </w:r>
            <w:r>
              <w:rPr>
                <w:rFonts w:ascii="Times New Roman" w:hAnsi="Times New Roman"/>
                <w:sz w:val="24"/>
              </w:rPr>
              <w:t>设备室安装防盗门，将设备室纳入检验所重点巡视范围；</w:t>
            </w:r>
            <w:r>
              <w:rPr>
                <w:rFonts w:hint="eastAsia" w:ascii="宋体" w:hAnsi="宋体" w:cs="宋体"/>
                <w:sz w:val="24"/>
              </w:rPr>
              <w:t>③</w:t>
            </w:r>
            <w:r>
              <w:rPr>
                <w:rFonts w:ascii="Times New Roman" w:hAnsi="Times New Roman"/>
                <w:sz w:val="24"/>
              </w:rPr>
              <w:t>设备室内设置专门区域用于存放X射线探伤机，实行“双人双锁”管理；</w:t>
            </w:r>
            <w:r>
              <w:rPr>
                <w:rFonts w:hint="eastAsia" w:ascii="宋体" w:hAnsi="宋体" w:cs="宋体"/>
                <w:sz w:val="24"/>
              </w:rPr>
              <w:t>④</w:t>
            </w:r>
            <w:r>
              <w:rPr>
                <w:rFonts w:ascii="Times New Roman" w:hAnsi="Times New Roman"/>
                <w:sz w:val="24"/>
              </w:rPr>
              <w:t>建设单位安排专人维护管理和维护，并做好射线装置台账工作；</w:t>
            </w:r>
            <w:r>
              <w:rPr>
                <w:rFonts w:hint="eastAsia" w:ascii="宋体" w:hAnsi="宋体" w:cs="宋体"/>
                <w:sz w:val="24"/>
              </w:rPr>
              <w:t>⑤</w:t>
            </w:r>
            <w:r>
              <w:rPr>
                <w:rFonts w:ascii="Times New Roman" w:hAnsi="Times New Roman"/>
                <w:sz w:val="24"/>
              </w:rPr>
              <w:t>射线装置、线缆分开存放。此外，本项目X射线探伤机不会在设备室进行调试和使用，该设备室只用作仓储，X射线探伤机暂存不会对周围环境产生不良影响，周围环境对该设备室无制约因素，因此探伤机无探伤任务时存放于该设备室是合理的。</w:t>
            </w:r>
          </w:p>
          <w:p w14:paraId="675EA458">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本项目产生的危险废物依托建设单位已有危废间暂存，经承德双然环保科技有限公司收集后交由有危废处理资质的</w:t>
            </w:r>
            <w:r>
              <w:rPr>
                <w:rFonts w:hint="eastAsia" w:ascii="Times New Roman" w:hAnsi="Times New Roman"/>
                <w:sz w:val="24"/>
              </w:rPr>
              <w:t>万德斯(唐山曹妃甸)环保科技有限公司处置</w:t>
            </w:r>
            <w:r>
              <w:rPr>
                <w:rFonts w:ascii="Times New Roman" w:hAnsi="Times New Roman"/>
                <w:sz w:val="24"/>
              </w:rPr>
              <w:t>。</w:t>
            </w:r>
          </w:p>
          <w:p w14:paraId="26C20B8E">
            <w:pPr>
              <w:adjustRightInd w:val="0"/>
              <w:snapToGrid w:val="0"/>
              <w:spacing w:line="360" w:lineRule="auto"/>
              <w:ind w:firstLine="480" w:firstLineChars="200"/>
              <w:rPr>
                <w:rFonts w:ascii="Times New Roman" w:hAnsi="Times New Roman"/>
                <w:sz w:val="24"/>
              </w:rPr>
            </w:pPr>
            <w:r>
              <w:rPr>
                <w:rFonts w:hint="eastAsia"/>
                <w:sz w:val="24"/>
              </w:rPr>
              <w:t>由以上分析可知，项目选址合理可行。</w:t>
            </w:r>
          </w:p>
          <w:p w14:paraId="038218A9">
            <w:pPr>
              <w:adjustRightInd w:val="0"/>
              <w:snapToGrid w:val="0"/>
              <w:spacing w:line="360" w:lineRule="auto"/>
              <w:ind w:firstLine="482" w:firstLineChars="200"/>
              <w:rPr>
                <w:rFonts w:ascii="Times New Roman" w:hAnsi="Times New Roman"/>
                <w:sz w:val="24"/>
              </w:rPr>
            </w:pPr>
            <w:r>
              <w:rPr>
                <w:rFonts w:ascii="Times New Roman" w:hAnsi="Times New Roman"/>
                <w:b/>
                <w:sz w:val="24"/>
              </w:rPr>
              <w:t>11、辐射安全管理情况</w:t>
            </w:r>
          </w:p>
          <w:p w14:paraId="30F8CEC2">
            <w:pPr>
              <w:adjustRightInd w:val="0"/>
              <w:snapToGrid w:val="0"/>
              <w:spacing w:line="360" w:lineRule="auto"/>
              <w:ind w:firstLine="480" w:firstLineChars="200"/>
              <w:rPr>
                <w:rFonts w:ascii="Times New Roman" w:hAnsi="Times New Roman"/>
                <w:b/>
                <w:bCs/>
                <w:sz w:val="24"/>
              </w:rPr>
            </w:pPr>
            <w:r>
              <w:rPr>
                <w:rFonts w:ascii="Times New Roman" w:hAnsi="Times New Roman"/>
                <w:sz w:val="24"/>
              </w:rPr>
              <w:t>（1）辐射安全管理工作</w:t>
            </w:r>
          </w:p>
          <w:p w14:paraId="5420A744">
            <w:pPr>
              <w:adjustRightInd w:val="0"/>
              <w:snapToGrid w:val="0"/>
              <w:spacing w:line="360" w:lineRule="auto"/>
              <w:ind w:firstLine="480" w:firstLineChars="200"/>
              <w:rPr>
                <w:rFonts w:ascii="Times New Roman" w:hAnsi="Times New Roman"/>
                <w:sz w:val="24"/>
              </w:rPr>
            </w:pPr>
            <w:r>
              <w:rPr>
                <w:rFonts w:ascii="Times New Roman" w:hAnsi="Times New Roman"/>
                <w:sz w:val="24"/>
              </w:rPr>
              <w:t>为了加强辐射安全和防护管理，做好射线装置的使用管理工作，保证设备正常使用，避免发生各类事故，保障人员的健康，公司成立了辐射安全与环境保护管理机构小组。</w:t>
            </w:r>
          </w:p>
          <w:p w14:paraId="03BDBDCA">
            <w:pPr>
              <w:adjustRightInd w:val="0"/>
              <w:snapToGrid w:val="0"/>
              <w:spacing w:line="360" w:lineRule="auto"/>
              <w:ind w:firstLine="480" w:firstLineChars="200"/>
              <w:rPr>
                <w:rFonts w:ascii="Times New Roman" w:hAnsi="Times New Roman"/>
                <w:b/>
                <w:bCs/>
                <w:sz w:val="24"/>
              </w:rPr>
            </w:pPr>
            <w:r>
              <w:rPr>
                <w:rFonts w:ascii="Times New Roman" w:hAnsi="Times New Roman"/>
                <w:sz w:val="24"/>
              </w:rPr>
              <w:t>（2）辐射安全管理制度</w:t>
            </w:r>
          </w:p>
          <w:p w14:paraId="212698F2">
            <w:pPr>
              <w:adjustRightInd w:val="0"/>
              <w:snapToGrid w:val="0"/>
              <w:spacing w:line="360" w:lineRule="auto"/>
              <w:ind w:firstLine="480" w:firstLineChars="200"/>
              <w:rPr>
                <w:rFonts w:ascii="Times New Roman" w:hAnsi="Times New Roman"/>
                <w:sz w:val="24"/>
                <w:highlight w:val="yellow"/>
              </w:rPr>
            </w:pPr>
            <w:r>
              <w:rPr>
                <w:rFonts w:ascii="Times New Roman" w:hAnsi="Times New Roman"/>
                <w:sz w:val="24"/>
              </w:rPr>
              <w:t>公司制定了辐射安全管理制度：《辐射安全与环境保护管理机构制度》、《X射线探伤机操作规程》、《辐射工作人员岗位职责》、《辐射安全与防护保卫制度》、《设备检修与维护制度》、《</w:t>
            </w:r>
            <w:r>
              <w:rPr>
                <w:rFonts w:ascii="Times New Roman" w:hAnsi="Times New Roman"/>
                <w:bCs/>
                <w:sz w:val="24"/>
              </w:rPr>
              <w:t>X射线机使用登记制度</w:t>
            </w:r>
            <w:r>
              <w:rPr>
                <w:rFonts w:ascii="Times New Roman" w:hAnsi="Times New Roman"/>
                <w:sz w:val="24"/>
              </w:rPr>
              <w:t>》、《监测仪表使用与校验管理制度》、《辐射工作人员培训管理制度》、《个人剂量监测制度》、《辐射监测方案》、《</w:t>
            </w:r>
            <w:r>
              <w:rPr>
                <w:rFonts w:ascii="Times New Roman" w:hAnsi="Times New Roman"/>
                <w:bCs/>
                <w:sz w:val="24"/>
              </w:rPr>
              <w:t>辐射工作安全责任制度</w:t>
            </w:r>
            <w:r>
              <w:rPr>
                <w:rFonts w:ascii="Times New Roman" w:hAnsi="Times New Roman"/>
                <w:sz w:val="24"/>
              </w:rPr>
              <w:t>》和《辐射事故应急预案》等规章制度，并得到有效落实。</w:t>
            </w:r>
          </w:p>
          <w:p w14:paraId="60C635FB">
            <w:pPr>
              <w:adjustRightInd w:val="0"/>
              <w:snapToGrid w:val="0"/>
              <w:spacing w:line="360" w:lineRule="auto"/>
              <w:ind w:firstLine="480" w:firstLineChars="200"/>
              <w:rPr>
                <w:rFonts w:ascii="Times New Roman" w:hAnsi="Times New Roman"/>
                <w:b/>
                <w:bCs/>
                <w:sz w:val="24"/>
              </w:rPr>
            </w:pPr>
            <w:r>
              <w:rPr>
                <w:rFonts w:ascii="Times New Roman" w:hAnsi="Times New Roman"/>
                <w:sz w:val="24"/>
              </w:rPr>
              <w:t>（3）辐射监测情况</w:t>
            </w:r>
          </w:p>
          <w:p w14:paraId="155FE99E">
            <w:pPr>
              <w:adjustRightInd w:val="0"/>
              <w:snapToGrid w:val="0"/>
              <w:spacing w:line="360" w:lineRule="auto"/>
              <w:ind w:firstLine="480" w:firstLineChars="200"/>
              <w:rPr>
                <w:rFonts w:ascii="Times New Roman" w:hAnsi="Times New Roman"/>
                <w:kern w:val="0"/>
                <w:sz w:val="24"/>
              </w:rPr>
            </w:pPr>
            <w:r>
              <w:rPr>
                <w:rFonts w:ascii="Times New Roman" w:hAnsi="Times New Roman"/>
                <w:sz w:val="24"/>
              </w:rPr>
              <w:t>公司所有辐射工作人员均佩戴个人剂量计，每季度监测一次，个人剂量监测档案齐全。因探伤工作地点不固定，每年委托有资质的监测单位跟随现场对辐射工作场所进行日常监测，并对监测报告记录存档</w:t>
            </w:r>
            <w:r>
              <w:rPr>
                <w:rFonts w:ascii="Times New Roman" w:hAnsi="Times New Roman"/>
                <w:kern w:val="0"/>
                <w:sz w:val="24"/>
              </w:rPr>
              <w:t>。</w:t>
            </w:r>
          </w:p>
          <w:p w14:paraId="6B041B06">
            <w:pPr>
              <w:pStyle w:val="2"/>
            </w:pPr>
          </w:p>
          <w:p w14:paraId="178D9B76">
            <w:pPr>
              <w:pStyle w:val="2"/>
            </w:pPr>
          </w:p>
          <w:p w14:paraId="2E91AF19">
            <w:pPr>
              <w:pStyle w:val="2"/>
            </w:pPr>
          </w:p>
          <w:p w14:paraId="25F71286">
            <w:pPr>
              <w:pStyle w:val="2"/>
            </w:pPr>
          </w:p>
          <w:p w14:paraId="128E5A40">
            <w:pPr>
              <w:pStyle w:val="2"/>
            </w:pPr>
          </w:p>
          <w:p w14:paraId="7A290C3C">
            <w:pPr>
              <w:pStyle w:val="2"/>
            </w:pPr>
          </w:p>
          <w:p w14:paraId="13C7427A">
            <w:pPr>
              <w:pStyle w:val="2"/>
            </w:pPr>
          </w:p>
          <w:p w14:paraId="5E4DEC5B">
            <w:pPr>
              <w:pStyle w:val="2"/>
              <w:ind w:left="0" w:leftChars="0" w:firstLine="0" w:firstLineChars="0"/>
            </w:pPr>
          </w:p>
          <w:p w14:paraId="1B92104B">
            <w:pPr>
              <w:pStyle w:val="2"/>
            </w:pPr>
          </w:p>
          <w:p w14:paraId="4D87C212">
            <w:pPr>
              <w:pStyle w:val="2"/>
            </w:pPr>
          </w:p>
          <w:p w14:paraId="6C2D088C">
            <w:pPr>
              <w:pStyle w:val="2"/>
            </w:pPr>
          </w:p>
          <w:p w14:paraId="16ADE52A">
            <w:pPr>
              <w:pStyle w:val="2"/>
            </w:pPr>
          </w:p>
          <w:p w14:paraId="283D2AF1">
            <w:pPr>
              <w:pStyle w:val="2"/>
            </w:pPr>
          </w:p>
          <w:p w14:paraId="4DA5193F">
            <w:pPr>
              <w:pStyle w:val="2"/>
            </w:pPr>
          </w:p>
          <w:p w14:paraId="51C65A7B">
            <w:pPr>
              <w:pStyle w:val="2"/>
            </w:pPr>
          </w:p>
          <w:p w14:paraId="4189FD4C">
            <w:pPr>
              <w:pStyle w:val="2"/>
            </w:pPr>
          </w:p>
          <w:p w14:paraId="65C71391">
            <w:pPr>
              <w:pStyle w:val="2"/>
            </w:pPr>
          </w:p>
          <w:p w14:paraId="21467C0B">
            <w:pPr>
              <w:pStyle w:val="2"/>
            </w:pPr>
          </w:p>
          <w:p w14:paraId="281167B9">
            <w:pPr>
              <w:pStyle w:val="2"/>
            </w:pPr>
          </w:p>
          <w:p w14:paraId="3EC4E0C0">
            <w:pPr>
              <w:pStyle w:val="2"/>
            </w:pPr>
          </w:p>
          <w:p w14:paraId="21EEF69A">
            <w:pPr>
              <w:pStyle w:val="2"/>
            </w:pPr>
          </w:p>
          <w:p w14:paraId="6777250B">
            <w:pPr>
              <w:pStyle w:val="2"/>
            </w:pPr>
          </w:p>
          <w:p w14:paraId="60D5128D">
            <w:pPr>
              <w:pStyle w:val="2"/>
            </w:pPr>
          </w:p>
          <w:p w14:paraId="69359937">
            <w:pPr>
              <w:pStyle w:val="2"/>
            </w:pPr>
          </w:p>
          <w:p w14:paraId="4843C5B2">
            <w:pPr>
              <w:pStyle w:val="2"/>
            </w:pPr>
          </w:p>
          <w:p w14:paraId="14EE22C8">
            <w:pPr>
              <w:pStyle w:val="2"/>
            </w:pPr>
          </w:p>
        </w:tc>
      </w:tr>
    </w:tbl>
    <w:p w14:paraId="2FC41F24">
      <w:pPr>
        <w:pStyle w:val="14"/>
        <w:jc w:val="left"/>
        <w:outlineLvl w:val="0"/>
        <w:rPr>
          <w:rFonts w:ascii="Times New Roman" w:hAnsi="Times New Roman"/>
          <w:b/>
          <w:bCs/>
          <w:sz w:val="30"/>
          <w:szCs w:val="30"/>
        </w:rPr>
        <w:sectPr>
          <w:footerReference r:id="rId4" w:type="default"/>
          <w:pgSz w:w="11906" w:h="16838"/>
          <w:pgMar w:top="1134" w:right="1134" w:bottom="1134" w:left="1701" w:header="851" w:footer="851" w:gutter="0"/>
          <w:pgNumType w:start="1"/>
          <w:cols w:space="720" w:num="1"/>
          <w:docGrid w:type="lines" w:linePitch="312" w:charSpace="0"/>
        </w:sectPr>
      </w:pPr>
      <w:bookmarkStart w:id="19" w:name="_Toc436229743"/>
    </w:p>
    <w:p w14:paraId="00635A6A">
      <w:pPr>
        <w:pStyle w:val="14"/>
        <w:jc w:val="left"/>
        <w:outlineLvl w:val="0"/>
        <w:rPr>
          <w:rFonts w:ascii="Times New Roman" w:hAnsi="Times New Roman"/>
          <w:b/>
          <w:bCs/>
          <w:szCs w:val="28"/>
        </w:rPr>
      </w:pPr>
      <w:bookmarkStart w:id="20" w:name="_Toc188277739"/>
      <w:r>
        <w:rPr>
          <w:rFonts w:ascii="Times New Roman" w:hAnsi="Times New Roman"/>
          <w:b/>
          <w:bCs/>
          <w:szCs w:val="28"/>
        </w:rPr>
        <w:t>表2</w:t>
      </w:r>
      <w:bookmarkEnd w:id="19"/>
      <w:r>
        <w:rPr>
          <w:rFonts w:ascii="Times New Roman" w:hAnsi="Times New Roman"/>
          <w:b/>
          <w:bCs/>
          <w:szCs w:val="28"/>
        </w:rPr>
        <w:t xml:space="preserve"> 放射源</w:t>
      </w:r>
      <w:bookmarkEnd w:id="20"/>
    </w:p>
    <w:tbl>
      <w:tblPr>
        <w:tblStyle w:val="36"/>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04"/>
        <w:gridCol w:w="2410"/>
        <w:gridCol w:w="992"/>
        <w:gridCol w:w="1418"/>
        <w:gridCol w:w="2253"/>
        <w:gridCol w:w="1290"/>
        <w:gridCol w:w="1701"/>
        <w:gridCol w:w="1749"/>
      </w:tblGrid>
      <w:tr w14:paraId="462E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7E903433">
            <w:pPr>
              <w:jc w:val="center"/>
              <w:rPr>
                <w:rFonts w:ascii="Times New Roman" w:hAnsi="Times New Roman"/>
                <w:szCs w:val="21"/>
              </w:rPr>
            </w:pPr>
            <w:r>
              <w:rPr>
                <w:rFonts w:ascii="Times New Roman" w:hAnsi="Times New Roman"/>
                <w:szCs w:val="21"/>
              </w:rPr>
              <w:t>序号</w:t>
            </w:r>
          </w:p>
        </w:tc>
        <w:tc>
          <w:tcPr>
            <w:tcW w:w="1304" w:type="dxa"/>
            <w:vAlign w:val="center"/>
          </w:tcPr>
          <w:p w14:paraId="7D2F825C">
            <w:pPr>
              <w:jc w:val="center"/>
              <w:rPr>
                <w:rFonts w:ascii="Times New Roman" w:hAnsi="Times New Roman"/>
                <w:szCs w:val="21"/>
              </w:rPr>
            </w:pPr>
            <w:r>
              <w:rPr>
                <w:rFonts w:ascii="Times New Roman" w:hAnsi="Times New Roman"/>
                <w:szCs w:val="21"/>
              </w:rPr>
              <w:t>核素名称</w:t>
            </w:r>
          </w:p>
        </w:tc>
        <w:tc>
          <w:tcPr>
            <w:tcW w:w="2410" w:type="dxa"/>
            <w:vAlign w:val="center"/>
          </w:tcPr>
          <w:p w14:paraId="22A8F8FD">
            <w:pPr>
              <w:jc w:val="center"/>
              <w:rPr>
                <w:rFonts w:ascii="Times New Roman" w:hAnsi="Times New Roman"/>
                <w:szCs w:val="21"/>
              </w:rPr>
            </w:pPr>
            <w:r>
              <w:rPr>
                <w:rFonts w:ascii="Times New Roman" w:hAnsi="Times New Roman"/>
                <w:szCs w:val="21"/>
              </w:rPr>
              <w:t>总活度（Bq）/</w:t>
            </w:r>
          </w:p>
          <w:p w14:paraId="4764B53C">
            <w:pPr>
              <w:jc w:val="center"/>
              <w:rPr>
                <w:rFonts w:ascii="Times New Roman" w:hAnsi="Times New Roman"/>
                <w:szCs w:val="21"/>
              </w:rPr>
            </w:pPr>
            <w:r>
              <w:rPr>
                <w:rFonts w:ascii="Times New Roman" w:hAnsi="Times New Roman"/>
                <w:szCs w:val="21"/>
              </w:rPr>
              <w:t>活度（Bq）×枚数</w:t>
            </w:r>
          </w:p>
        </w:tc>
        <w:tc>
          <w:tcPr>
            <w:tcW w:w="992" w:type="dxa"/>
            <w:vAlign w:val="center"/>
          </w:tcPr>
          <w:p w14:paraId="7D89A8E4">
            <w:pPr>
              <w:jc w:val="center"/>
              <w:rPr>
                <w:rFonts w:ascii="Times New Roman" w:hAnsi="Times New Roman"/>
                <w:szCs w:val="21"/>
              </w:rPr>
            </w:pPr>
            <w:r>
              <w:rPr>
                <w:rFonts w:ascii="Times New Roman" w:hAnsi="Times New Roman"/>
                <w:szCs w:val="21"/>
              </w:rPr>
              <w:t>类别</w:t>
            </w:r>
          </w:p>
        </w:tc>
        <w:tc>
          <w:tcPr>
            <w:tcW w:w="1418" w:type="dxa"/>
            <w:vAlign w:val="center"/>
          </w:tcPr>
          <w:p w14:paraId="25213AD3">
            <w:pPr>
              <w:jc w:val="center"/>
              <w:rPr>
                <w:rFonts w:ascii="Times New Roman" w:hAnsi="Times New Roman"/>
                <w:szCs w:val="21"/>
              </w:rPr>
            </w:pPr>
            <w:r>
              <w:rPr>
                <w:rFonts w:ascii="Times New Roman" w:hAnsi="Times New Roman"/>
                <w:szCs w:val="21"/>
              </w:rPr>
              <w:t>活动种类</w:t>
            </w:r>
          </w:p>
        </w:tc>
        <w:tc>
          <w:tcPr>
            <w:tcW w:w="2253" w:type="dxa"/>
            <w:vAlign w:val="center"/>
          </w:tcPr>
          <w:p w14:paraId="06DA7E35">
            <w:pPr>
              <w:jc w:val="center"/>
              <w:rPr>
                <w:rFonts w:ascii="Times New Roman" w:hAnsi="Times New Roman"/>
                <w:szCs w:val="21"/>
              </w:rPr>
            </w:pPr>
            <w:r>
              <w:rPr>
                <w:rFonts w:ascii="Times New Roman" w:hAnsi="Times New Roman"/>
                <w:szCs w:val="21"/>
              </w:rPr>
              <w:t>用途</w:t>
            </w:r>
          </w:p>
        </w:tc>
        <w:tc>
          <w:tcPr>
            <w:tcW w:w="1290" w:type="dxa"/>
            <w:vAlign w:val="center"/>
          </w:tcPr>
          <w:p w14:paraId="07286AA9">
            <w:pPr>
              <w:jc w:val="center"/>
              <w:rPr>
                <w:rFonts w:ascii="Times New Roman" w:hAnsi="Times New Roman"/>
                <w:szCs w:val="21"/>
              </w:rPr>
            </w:pPr>
            <w:r>
              <w:rPr>
                <w:rFonts w:ascii="Times New Roman" w:hAnsi="Times New Roman"/>
                <w:szCs w:val="21"/>
              </w:rPr>
              <w:t>使用场所</w:t>
            </w:r>
          </w:p>
        </w:tc>
        <w:tc>
          <w:tcPr>
            <w:tcW w:w="1701" w:type="dxa"/>
            <w:vAlign w:val="center"/>
          </w:tcPr>
          <w:p w14:paraId="349079BC">
            <w:pPr>
              <w:jc w:val="center"/>
              <w:rPr>
                <w:rFonts w:ascii="Times New Roman" w:hAnsi="Times New Roman"/>
                <w:szCs w:val="21"/>
              </w:rPr>
            </w:pPr>
            <w:r>
              <w:rPr>
                <w:rFonts w:ascii="Times New Roman" w:hAnsi="Times New Roman"/>
                <w:szCs w:val="21"/>
              </w:rPr>
              <w:t>贮存方式与地点</w:t>
            </w:r>
          </w:p>
        </w:tc>
        <w:tc>
          <w:tcPr>
            <w:tcW w:w="1749" w:type="dxa"/>
            <w:vAlign w:val="center"/>
          </w:tcPr>
          <w:p w14:paraId="259AFECF">
            <w:pPr>
              <w:jc w:val="center"/>
              <w:rPr>
                <w:rFonts w:ascii="Times New Roman" w:hAnsi="Times New Roman"/>
                <w:szCs w:val="21"/>
              </w:rPr>
            </w:pPr>
            <w:r>
              <w:rPr>
                <w:rFonts w:ascii="Times New Roman" w:hAnsi="Times New Roman"/>
                <w:szCs w:val="21"/>
              </w:rPr>
              <w:t>备注</w:t>
            </w:r>
          </w:p>
        </w:tc>
      </w:tr>
      <w:tr w14:paraId="6841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01" w:type="dxa"/>
            <w:vAlign w:val="center"/>
          </w:tcPr>
          <w:p w14:paraId="7183D6FE">
            <w:pPr>
              <w:jc w:val="center"/>
              <w:rPr>
                <w:rFonts w:ascii="Times New Roman" w:hAnsi="Times New Roman"/>
                <w:szCs w:val="21"/>
              </w:rPr>
            </w:pPr>
            <w:r>
              <w:rPr>
                <w:rFonts w:ascii="Times New Roman" w:hAnsi="Times New Roman"/>
                <w:szCs w:val="21"/>
              </w:rPr>
              <w:t>/</w:t>
            </w:r>
          </w:p>
        </w:tc>
        <w:tc>
          <w:tcPr>
            <w:tcW w:w="1304" w:type="dxa"/>
            <w:vAlign w:val="center"/>
          </w:tcPr>
          <w:p w14:paraId="69DBD538">
            <w:pPr>
              <w:jc w:val="center"/>
              <w:rPr>
                <w:rFonts w:ascii="Times New Roman" w:hAnsi="Times New Roman"/>
                <w:szCs w:val="21"/>
              </w:rPr>
            </w:pPr>
            <w:r>
              <w:rPr>
                <w:rFonts w:ascii="Times New Roman" w:hAnsi="Times New Roman"/>
                <w:szCs w:val="21"/>
              </w:rPr>
              <w:t>/</w:t>
            </w:r>
          </w:p>
        </w:tc>
        <w:tc>
          <w:tcPr>
            <w:tcW w:w="2410" w:type="dxa"/>
            <w:vAlign w:val="center"/>
          </w:tcPr>
          <w:p w14:paraId="318FA46E">
            <w:pPr>
              <w:jc w:val="center"/>
              <w:rPr>
                <w:rFonts w:ascii="Times New Roman" w:hAnsi="Times New Roman"/>
                <w:szCs w:val="21"/>
              </w:rPr>
            </w:pPr>
            <w:r>
              <w:rPr>
                <w:rFonts w:ascii="Times New Roman" w:hAnsi="Times New Roman"/>
                <w:szCs w:val="21"/>
              </w:rPr>
              <w:t>/</w:t>
            </w:r>
          </w:p>
        </w:tc>
        <w:tc>
          <w:tcPr>
            <w:tcW w:w="992" w:type="dxa"/>
            <w:vAlign w:val="center"/>
          </w:tcPr>
          <w:p w14:paraId="6EA3D6B1">
            <w:pPr>
              <w:jc w:val="center"/>
              <w:rPr>
                <w:rFonts w:ascii="Times New Roman" w:hAnsi="Times New Roman"/>
                <w:szCs w:val="21"/>
              </w:rPr>
            </w:pPr>
            <w:r>
              <w:rPr>
                <w:rFonts w:ascii="Times New Roman" w:hAnsi="Times New Roman"/>
                <w:szCs w:val="21"/>
              </w:rPr>
              <w:t>/</w:t>
            </w:r>
          </w:p>
        </w:tc>
        <w:tc>
          <w:tcPr>
            <w:tcW w:w="1418" w:type="dxa"/>
            <w:vAlign w:val="center"/>
          </w:tcPr>
          <w:p w14:paraId="1E703020">
            <w:pPr>
              <w:jc w:val="center"/>
              <w:rPr>
                <w:rFonts w:ascii="Times New Roman" w:hAnsi="Times New Roman"/>
                <w:szCs w:val="21"/>
              </w:rPr>
            </w:pPr>
            <w:r>
              <w:rPr>
                <w:rFonts w:ascii="Times New Roman" w:hAnsi="Times New Roman"/>
                <w:szCs w:val="21"/>
              </w:rPr>
              <w:t>/</w:t>
            </w:r>
          </w:p>
        </w:tc>
        <w:tc>
          <w:tcPr>
            <w:tcW w:w="2253" w:type="dxa"/>
            <w:vAlign w:val="center"/>
          </w:tcPr>
          <w:p w14:paraId="50F2FDC9">
            <w:pPr>
              <w:jc w:val="center"/>
              <w:rPr>
                <w:rFonts w:ascii="Times New Roman" w:hAnsi="Times New Roman"/>
                <w:szCs w:val="21"/>
              </w:rPr>
            </w:pPr>
            <w:r>
              <w:rPr>
                <w:rFonts w:ascii="Times New Roman" w:hAnsi="Times New Roman"/>
                <w:szCs w:val="21"/>
              </w:rPr>
              <w:t>/</w:t>
            </w:r>
          </w:p>
        </w:tc>
        <w:tc>
          <w:tcPr>
            <w:tcW w:w="1290" w:type="dxa"/>
            <w:vAlign w:val="center"/>
          </w:tcPr>
          <w:p w14:paraId="14FEF0C6">
            <w:pPr>
              <w:jc w:val="center"/>
              <w:rPr>
                <w:rFonts w:ascii="Times New Roman" w:hAnsi="Times New Roman"/>
                <w:szCs w:val="21"/>
              </w:rPr>
            </w:pPr>
            <w:r>
              <w:rPr>
                <w:rFonts w:ascii="Times New Roman" w:hAnsi="Times New Roman"/>
                <w:szCs w:val="21"/>
              </w:rPr>
              <w:t>/</w:t>
            </w:r>
          </w:p>
        </w:tc>
        <w:tc>
          <w:tcPr>
            <w:tcW w:w="1701" w:type="dxa"/>
            <w:vAlign w:val="center"/>
          </w:tcPr>
          <w:p w14:paraId="13678CDC">
            <w:pPr>
              <w:jc w:val="center"/>
              <w:rPr>
                <w:rFonts w:ascii="Times New Roman" w:hAnsi="Times New Roman"/>
                <w:szCs w:val="21"/>
              </w:rPr>
            </w:pPr>
            <w:r>
              <w:rPr>
                <w:rFonts w:ascii="Times New Roman" w:hAnsi="Times New Roman"/>
                <w:szCs w:val="21"/>
              </w:rPr>
              <w:t>/</w:t>
            </w:r>
          </w:p>
        </w:tc>
        <w:tc>
          <w:tcPr>
            <w:tcW w:w="1749" w:type="dxa"/>
            <w:vAlign w:val="center"/>
          </w:tcPr>
          <w:p w14:paraId="06939EDB">
            <w:pPr>
              <w:jc w:val="center"/>
              <w:rPr>
                <w:rFonts w:ascii="Times New Roman" w:hAnsi="Times New Roman"/>
                <w:szCs w:val="21"/>
              </w:rPr>
            </w:pPr>
            <w:r>
              <w:rPr>
                <w:rFonts w:ascii="Times New Roman" w:hAnsi="Times New Roman"/>
                <w:szCs w:val="21"/>
              </w:rPr>
              <w:t>/</w:t>
            </w:r>
          </w:p>
        </w:tc>
      </w:tr>
      <w:tr w14:paraId="0136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01" w:type="dxa"/>
            <w:vAlign w:val="center"/>
          </w:tcPr>
          <w:p w14:paraId="41D1A1BD">
            <w:pPr>
              <w:jc w:val="center"/>
              <w:rPr>
                <w:rFonts w:ascii="Times New Roman" w:hAnsi="Times New Roman"/>
                <w:szCs w:val="21"/>
              </w:rPr>
            </w:pPr>
          </w:p>
        </w:tc>
        <w:tc>
          <w:tcPr>
            <w:tcW w:w="1304" w:type="dxa"/>
            <w:vAlign w:val="center"/>
          </w:tcPr>
          <w:p w14:paraId="2236A00F">
            <w:pPr>
              <w:jc w:val="center"/>
              <w:rPr>
                <w:rFonts w:ascii="Times New Roman" w:hAnsi="Times New Roman"/>
                <w:szCs w:val="21"/>
              </w:rPr>
            </w:pPr>
          </w:p>
        </w:tc>
        <w:tc>
          <w:tcPr>
            <w:tcW w:w="2410" w:type="dxa"/>
            <w:vAlign w:val="center"/>
          </w:tcPr>
          <w:p w14:paraId="24A73578">
            <w:pPr>
              <w:spacing w:line="400" w:lineRule="exact"/>
              <w:jc w:val="center"/>
              <w:rPr>
                <w:rFonts w:ascii="Times New Roman" w:hAnsi="Times New Roman"/>
                <w:szCs w:val="21"/>
              </w:rPr>
            </w:pPr>
          </w:p>
        </w:tc>
        <w:tc>
          <w:tcPr>
            <w:tcW w:w="992" w:type="dxa"/>
            <w:vAlign w:val="center"/>
          </w:tcPr>
          <w:p w14:paraId="3DBB0427">
            <w:pPr>
              <w:jc w:val="center"/>
              <w:rPr>
                <w:rFonts w:ascii="Times New Roman" w:hAnsi="Times New Roman"/>
                <w:szCs w:val="21"/>
              </w:rPr>
            </w:pPr>
          </w:p>
        </w:tc>
        <w:tc>
          <w:tcPr>
            <w:tcW w:w="1418" w:type="dxa"/>
            <w:vAlign w:val="center"/>
          </w:tcPr>
          <w:p w14:paraId="4A9B118D">
            <w:pPr>
              <w:jc w:val="center"/>
              <w:rPr>
                <w:rFonts w:ascii="Times New Roman" w:hAnsi="Times New Roman"/>
                <w:szCs w:val="21"/>
              </w:rPr>
            </w:pPr>
          </w:p>
        </w:tc>
        <w:tc>
          <w:tcPr>
            <w:tcW w:w="2253" w:type="dxa"/>
            <w:vAlign w:val="center"/>
          </w:tcPr>
          <w:p w14:paraId="39FD2FB4">
            <w:pPr>
              <w:jc w:val="center"/>
              <w:rPr>
                <w:rFonts w:ascii="Times New Roman" w:hAnsi="Times New Roman"/>
                <w:szCs w:val="21"/>
              </w:rPr>
            </w:pPr>
          </w:p>
        </w:tc>
        <w:tc>
          <w:tcPr>
            <w:tcW w:w="1290" w:type="dxa"/>
            <w:vAlign w:val="center"/>
          </w:tcPr>
          <w:p w14:paraId="411BF24B">
            <w:pPr>
              <w:jc w:val="center"/>
              <w:rPr>
                <w:rFonts w:ascii="Times New Roman" w:hAnsi="Times New Roman"/>
                <w:szCs w:val="21"/>
              </w:rPr>
            </w:pPr>
          </w:p>
        </w:tc>
        <w:tc>
          <w:tcPr>
            <w:tcW w:w="1701" w:type="dxa"/>
            <w:vAlign w:val="center"/>
          </w:tcPr>
          <w:p w14:paraId="682B0248">
            <w:pPr>
              <w:jc w:val="center"/>
              <w:rPr>
                <w:rFonts w:ascii="Times New Roman" w:hAnsi="Times New Roman"/>
                <w:szCs w:val="21"/>
              </w:rPr>
            </w:pPr>
          </w:p>
        </w:tc>
        <w:tc>
          <w:tcPr>
            <w:tcW w:w="1749" w:type="dxa"/>
            <w:vAlign w:val="center"/>
          </w:tcPr>
          <w:p w14:paraId="55037898">
            <w:pPr>
              <w:jc w:val="center"/>
              <w:rPr>
                <w:rFonts w:ascii="Times New Roman" w:hAnsi="Times New Roman"/>
                <w:szCs w:val="21"/>
              </w:rPr>
            </w:pPr>
          </w:p>
        </w:tc>
      </w:tr>
      <w:tr w14:paraId="75B9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01" w:type="dxa"/>
            <w:vAlign w:val="center"/>
          </w:tcPr>
          <w:p w14:paraId="19C47447">
            <w:pPr>
              <w:jc w:val="center"/>
              <w:rPr>
                <w:rFonts w:ascii="Times New Roman" w:hAnsi="Times New Roman"/>
                <w:szCs w:val="21"/>
              </w:rPr>
            </w:pPr>
          </w:p>
        </w:tc>
        <w:tc>
          <w:tcPr>
            <w:tcW w:w="1304" w:type="dxa"/>
            <w:vAlign w:val="center"/>
          </w:tcPr>
          <w:p w14:paraId="20AD8191">
            <w:pPr>
              <w:jc w:val="center"/>
              <w:rPr>
                <w:rFonts w:ascii="Times New Roman" w:hAnsi="Times New Roman"/>
                <w:szCs w:val="21"/>
              </w:rPr>
            </w:pPr>
          </w:p>
        </w:tc>
        <w:tc>
          <w:tcPr>
            <w:tcW w:w="2410" w:type="dxa"/>
            <w:vAlign w:val="center"/>
          </w:tcPr>
          <w:p w14:paraId="3B505861">
            <w:pPr>
              <w:jc w:val="center"/>
              <w:rPr>
                <w:rFonts w:ascii="Times New Roman" w:hAnsi="Times New Roman"/>
                <w:szCs w:val="21"/>
              </w:rPr>
            </w:pPr>
          </w:p>
        </w:tc>
        <w:tc>
          <w:tcPr>
            <w:tcW w:w="992" w:type="dxa"/>
            <w:vAlign w:val="center"/>
          </w:tcPr>
          <w:p w14:paraId="145B4204">
            <w:pPr>
              <w:jc w:val="center"/>
              <w:rPr>
                <w:rFonts w:ascii="Times New Roman" w:hAnsi="Times New Roman"/>
                <w:szCs w:val="21"/>
              </w:rPr>
            </w:pPr>
          </w:p>
        </w:tc>
        <w:tc>
          <w:tcPr>
            <w:tcW w:w="1418" w:type="dxa"/>
            <w:vAlign w:val="center"/>
          </w:tcPr>
          <w:p w14:paraId="0C005B3D">
            <w:pPr>
              <w:jc w:val="center"/>
              <w:rPr>
                <w:rFonts w:ascii="Times New Roman" w:hAnsi="Times New Roman"/>
                <w:szCs w:val="21"/>
              </w:rPr>
            </w:pPr>
          </w:p>
        </w:tc>
        <w:tc>
          <w:tcPr>
            <w:tcW w:w="2253" w:type="dxa"/>
            <w:vAlign w:val="center"/>
          </w:tcPr>
          <w:p w14:paraId="04B8E717">
            <w:pPr>
              <w:jc w:val="center"/>
              <w:rPr>
                <w:rFonts w:ascii="Times New Roman" w:hAnsi="Times New Roman"/>
                <w:szCs w:val="21"/>
              </w:rPr>
            </w:pPr>
          </w:p>
        </w:tc>
        <w:tc>
          <w:tcPr>
            <w:tcW w:w="1290" w:type="dxa"/>
            <w:vAlign w:val="center"/>
          </w:tcPr>
          <w:p w14:paraId="44860C1C">
            <w:pPr>
              <w:jc w:val="center"/>
              <w:rPr>
                <w:rFonts w:ascii="Times New Roman" w:hAnsi="Times New Roman"/>
                <w:szCs w:val="21"/>
              </w:rPr>
            </w:pPr>
          </w:p>
        </w:tc>
        <w:tc>
          <w:tcPr>
            <w:tcW w:w="1701" w:type="dxa"/>
            <w:vAlign w:val="center"/>
          </w:tcPr>
          <w:p w14:paraId="658B7532">
            <w:pPr>
              <w:jc w:val="center"/>
              <w:rPr>
                <w:rFonts w:ascii="Times New Roman" w:hAnsi="Times New Roman"/>
                <w:szCs w:val="21"/>
              </w:rPr>
            </w:pPr>
          </w:p>
        </w:tc>
        <w:tc>
          <w:tcPr>
            <w:tcW w:w="1749" w:type="dxa"/>
            <w:vAlign w:val="center"/>
          </w:tcPr>
          <w:p w14:paraId="321BF600">
            <w:pPr>
              <w:jc w:val="center"/>
              <w:rPr>
                <w:rFonts w:ascii="Times New Roman" w:hAnsi="Times New Roman"/>
                <w:szCs w:val="21"/>
              </w:rPr>
            </w:pPr>
          </w:p>
        </w:tc>
      </w:tr>
    </w:tbl>
    <w:p w14:paraId="5E18BF58">
      <w:pPr>
        <w:rPr>
          <w:rFonts w:ascii="Times New Roman" w:hAnsi="Times New Roman"/>
        </w:rPr>
      </w:pPr>
      <w:r>
        <w:rPr>
          <w:rFonts w:ascii="Times New Roman" w:hAnsi="Times New Roman"/>
        </w:rPr>
        <w:t>注：放射源包括放射性中子源，对其要说明是何种核素以及产生的中子流强度（n/s）</w:t>
      </w:r>
    </w:p>
    <w:p w14:paraId="76717F16">
      <w:pPr>
        <w:rPr>
          <w:rFonts w:ascii="Times New Roman" w:hAnsi="Times New Roman"/>
        </w:rPr>
      </w:pPr>
    </w:p>
    <w:p w14:paraId="7B257350">
      <w:pPr>
        <w:pStyle w:val="14"/>
        <w:jc w:val="left"/>
        <w:outlineLvl w:val="0"/>
        <w:rPr>
          <w:rFonts w:ascii="Times New Roman" w:hAnsi="Times New Roman"/>
          <w:b/>
          <w:bCs/>
          <w:szCs w:val="28"/>
        </w:rPr>
      </w:pPr>
      <w:bookmarkStart w:id="21" w:name="_Toc188277740"/>
      <w:r>
        <w:rPr>
          <w:rFonts w:ascii="Times New Roman" w:hAnsi="Times New Roman"/>
          <w:b/>
          <w:bCs/>
          <w:szCs w:val="28"/>
        </w:rPr>
        <w:t>表3 非密封放射性物质</w:t>
      </w:r>
      <w:bookmarkEnd w:id="21"/>
    </w:p>
    <w:tbl>
      <w:tblPr>
        <w:tblStyle w:val="36"/>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2"/>
        <w:gridCol w:w="992"/>
        <w:gridCol w:w="1134"/>
        <w:gridCol w:w="1418"/>
        <w:gridCol w:w="1417"/>
        <w:gridCol w:w="1418"/>
        <w:gridCol w:w="1559"/>
        <w:gridCol w:w="1559"/>
        <w:gridCol w:w="1701"/>
        <w:gridCol w:w="1494"/>
      </w:tblGrid>
      <w:tr w14:paraId="5C34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2" w:space="0"/>
              <w:bottom w:val="single" w:color="auto" w:sz="2" w:space="0"/>
            </w:tcBorders>
            <w:vAlign w:val="center"/>
          </w:tcPr>
          <w:p w14:paraId="66C5BBDF">
            <w:pPr>
              <w:jc w:val="center"/>
              <w:rPr>
                <w:rFonts w:ascii="Times New Roman" w:hAnsi="Times New Roman"/>
                <w:szCs w:val="21"/>
              </w:rPr>
            </w:pPr>
            <w:r>
              <w:rPr>
                <w:rFonts w:ascii="Times New Roman" w:hAnsi="Times New Roman"/>
                <w:szCs w:val="21"/>
              </w:rPr>
              <w:t>序</w:t>
            </w:r>
          </w:p>
          <w:p w14:paraId="4AC544EF">
            <w:pPr>
              <w:jc w:val="center"/>
              <w:rPr>
                <w:rFonts w:ascii="Times New Roman" w:hAnsi="Times New Roman"/>
                <w:szCs w:val="21"/>
              </w:rPr>
            </w:pPr>
            <w:r>
              <w:rPr>
                <w:rFonts w:ascii="Times New Roman" w:hAnsi="Times New Roman"/>
                <w:szCs w:val="21"/>
              </w:rPr>
              <w:t>号</w:t>
            </w:r>
          </w:p>
        </w:tc>
        <w:tc>
          <w:tcPr>
            <w:tcW w:w="992" w:type="dxa"/>
            <w:tcBorders>
              <w:top w:val="single" w:color="auto" w:sz="2" w:space="0"/>
              <w:bottom w:val="single" w:color="auto" w:sz="2" w:space="0"/>
            </w:tcBorders>
            <w:vAlign w:val="center"/>
          </w:tcPr>
          <w:p w14:paraId="0CF26662">
            <w:pPr>
              <w:jc w:val="center"/>
              <w:rPr>
                <w:rFonts w:ascii="Times New Roman" w:hAnsi="Times New Roman"/>
                <w:szCs w:val="21"/>
              </w:rPr>
            </w:pPr>
            <w:r>
              <w:rPr>
                <w:rFonts w:ascii="Times New Roman" w:hAnsi="Times New Roman"/>
                <w:szCs w:val="21"/>
              </w:rPr>
              <w:t>核素</w:t>
            </w:r>
          </w:p>
          <w:p w14:paraId="4A4E841C">
            <w:pPr>
              <w:jc w:val="center"/>
              <w:rPr>
                <w:rFonts w:ascii="Times New Roman" w:hAnsi="Times New Roman"/>
                <w:szCs w:val="21"/>
              </w:rPr>
            </w:pPr>
            <w:r>
              <w:rPr>
                <w:rFonts w:ascii="Times New Roman" w:hAnsi="Times New Roman"/>
                <w:szCs w:val="21"/>
              </w:rPr>
              <w:t>名称</w:t>
            </w:r>
          </w:p>
        </w:tc>
        <w:tc>
          <w:tcPr>
            <w:tcW w:w="992" w:type="dxa"/>
            <w:tcBorders>
              <w:top w:val="single" w:color="auto" w:sz="2" w:space="0"/>
              <w:bottom w:val="single" w:color="auto" w:sz="2" w:space="0"/>
            </w:tcBorders>
            <w:vAlign w:val="center"/>
          </w:tcPr>
          <w:p w14:paraId="412EFD17">
            <w:pPr>
              <w:jc w:val="center"/>
              <w:rPr>
                <w:rFonts w:ascii="Times New Roman" w:hAnsi="Times New Roman"/>
                <w:szCs w:val="21"/>
              </w:rPr>
            </w:pPr>
            <w:r>
              <w:rPr>
                <w:rFonts w:ascii="Times New Roman" w:hAnsi="Times New Roman"/>
                <w:szCs w:val="21"/>
              </w:rPr>
              <w:t>理化</w:t>
            </w:r>
          </w:p>
          <w:p w14:paraId="42B029CE">
            <w:pPr>
              <w:jc w:val="center"/>
              <w:rPr>
                <w:rFonts w:ascii="Times New Roman" w:hAnsi="Times New Roman"/>
                <w:szCs w:val="21"/>
              </w:rPr>
            </w:pPr>
            <w:r>
              <w:rPr>
                <w:rFonts w:ascii="Times New Roman" w:hAnsi="Times New Roman"/>
                <w:szCs w:val="21"/>
              </w:rPr>
              <w:t>性质</w:t>
            </w:r>
          </w:p>
        </w:tc>
        <w:tc>
          <w:tcPr>
            <w:tcW w:w="1134" w:type="dxa"/>
            <w:tcBorders>
              <w:top w:val="single" w:color="auto" w:sz="2" w:space="0"/>
            </w:tcBorders>
            <w:vAlign w:val="center"/>
          </w:tcPr>
          <w:p w14:paraId="7B40A47D">
            <w:pPr>
              <w:jc w:val="center"/>
              <w:rPr>
                <w:rFonts w:ascii="Times New Roman" w:hAnsi="Times New Roman"/>
                <w:szCs w:val="21"/>
              </w:rPr>
            </w:pPr>
            <w:r>
              <w:rPr>
                <w:rFonts w:ascii="Times New Roman" w:hAnsi="Times New Roman"/>
                <w:szCs w:val="21"/>
              </w:rPr>
              <w:t>活动</w:t>
            </w:r>
          </w:p>
          <w:p w14:paraId="79F35BBF">
            <w:pPr>
              <w:jc w:val="center"/>
              <w:rPr>
                <w:rFonts w:ascii="Times New Roman" w:hAnsi="Times New Roman"/>
                <w:szCs w:val="21"/>
              </w:rPr>
            </w:pPr>
            <w:r>
              <w:rPr>
                <w:rFonts w:ascii="Times New Roman" w:hAnsi="Times New Roman"/>
                <w:szCs w:val="21"/>
              </w:rPr>
              <w:t>种类</w:t>
            </w:r>
          </w:p>
        </w:tc>
        <w:tc>
          <w:tcPr>
            <w:tcW w:w="1418" w:type="dxa"/>
            <w:tcBorders>
              <w:top w:val="single" w:color="auto" w:sz="2" w:space="0"/>
            </w:tcBorders>
            <w:vAlign w:val="center"/>
          </w:tcPr>
          <w:p w14:paraId="0813B6D6">
            <w:pPr>
              <w:jc w:val="center"/>
              <w:rPr>
                <w:rFonts w:ascii="Times New Roman" w:hAnsi="Times New Roman"/>
                <w:szCs w:val="21"/>
              </w:rPr>
            </w:pPr>
            <w:r>
              <w:rPr>
                <w:rFonts w:ascii="Times New Roman" w:hAnsi="Times New Roman"/>
                <w:szCs w:val="21"/>
              </w:rPr>
              <w:t>实际日最大操作量（Bq）</w:t>
            </w:r>
          </w:p>
        </w:tc>
        <w:tc>
          <w:tcPr>
            <w:tcW w:w="1417" w:type="dxa"/>
            <w:tcBorders>
              <w:top w:val="single" w:color="auto" w:sz="2" w:space="0"/>
              <w:bottom w:val="single" w:color="auto" w:sz="2" w:space="0"/>
            </w:tcBorders>
            <w:vAlign w:val="center"/>
          </w:tcPr>
          <w:p w14:paraId="7759DA60">
            <w:pPr>
              <w:jc w:val="center"/>
              <w:rPr>
                <w:rFonts w:ascii="Times New Roman" w:hAnsi="Times New Roman"/>
                <w:szCs w:val="21"/>
              </w:rPr>
            </w:pPr>
            <w:r>
              <w:rPr>
                <w:rFonts w:ascii="Times New Roman" w:hAnsi="Times New Roman"/>
                <w:szCs w:val="21"/>
              </w:rPr>
              <w:t>日等效最大操作量（Bq）</w:t>
            </w:r>
          </w:p>
        </w:tc>
        <w:tc>
          <w:tcPr>
            <w:tcW w:w="1418" w:type="dxa"/>
            <w:tcBorders>
              <w:top w:val="single" w:color="auto" w:sz="2" w:space="0"/>
              <w:bottom w:val="single" w:color="auto" w:sz="2" w:space="0"/>
            </w:tcBorders>
            <w:vAlign w:val="center"/>
          </w:tcPr>
          <w:p w14:paraId="4D1B7C47">
            <w:pPr>
              <w:jc w:val="center"/>
              <w:rPr>
                <w:rFonts w:ascii="Times New Roman" w:hAnsi="Times New Roman"/>
                <w:szCs w:val="21"/>
              </w:rPr>
            </w:pPr>
            <w:r>
              <w:rPr>
                <w:rFonts w:ascii="Times New Roman" w:hAnsi="Times New Roman"/>
                <w:szCs w:val="21"/>
              </w:rPr>
              <w:t>年最大用量</w:t>
            </w:r>
          </w:p>
          <w:p w14:paraId="327B7CBF">
            <w:pPr>
              <w:jc w:val="center"/>
              <w:rPr>
                <w:rFonts w:ascii="Times New Roman" w:hAnsi="Times New Roman"/>
                <w:szCs w:val="21"/>
              </w:rPr>
            </w:pPr>
            <w:r>
              <w:rPr>
                <w:rFonts w:ascii="Times New Roman" w:hAnsi="Times New Roman"/>
                <w:szCs w:val="21"/>
              </w:rPr>
              <w:t>（Bq）</w:t>
            </w:r>
          </w:p>
        </w:tc>
        <w:tc>
          <w:tcPr>
            <w:tcW w:w="1559" w:type="dxa"/>
            <w:tcBorders>
              <w:top w:val="single" w:color="auto" w:sz="2" w:space="0"/>
            </w:tcBorders>
            <w:vAlign w:val="center"/>
          </w:tcPr>
          <w:p w14:paraId="466D73C4">
            <w:pPr>
              <w:jc w:val="center"/>
              <w:rPr>
                <w:rFonts w:ascii="Times New Roman" w:hAnsi="Times New Roman"/>
                <w:szCs w:val="21"/>
              </w:rPr>
            </w:pPr>
            <w:r>
              <w:rPr>
                <w:rFonts w:ascii="Times New Roman" w:hAnsi="Times New Roman"/>
                <w:szCs w:val="21"/>
              </w:rPr>
              <w:t>用途</w:t>
            </w:r>
          </w:p>
        </w:tc>
        <w:tc>
          <w:tcPr>
            <w:tcW w:w="1559" w:type="dxa"/>
            <w:tcBorders>
              <w:top w:val="single" w:color="auto" w:sz="2" w:space="0"/>
            </w:tcBorders>
            <w:vAlign w:val="center"/>
          </w:tcPr>
          <w:p w14:paraId="6FFF11DF">
            <w:pPr>
              <w:jc w:val="center"/>
              <w:rPr>
                <w:rFonts w:ascii="Times New Roman" w:hAnsi="Times New Roman"/>
                <w:szCs w:val="21"/>
              </w:rPr>
            </w:pPr>
            <w:r>
              <w:rPr>
                <w:rFonts w:ascii="Times New Roman" w:hAnsi="Times New Roman"/>
                <w:szCs w:val="21"/>
              </w:rPr>
              <w:t>操作方式</w:t>
            </w:r>
          </w:p>
        </w:tc>
        <w:tc>
          <w:tcPr>
            <w:tcW w:w="1701" w:type="dxa"/>
            <w:tcBorders>
              <w:top w:val="single" w:color="auto" w:sz="2" w:space="0"/>
            </w:tcBorders>
            <w:vAlign w:val="center"/>
          </w:tcPr>
          <w:p w14:paraId="275D98E4">
            <w:pPr>
              <w:jc w:val="center"/>
              <w:rPr>
                <w:rFonts w:ascii="Times New Roman" w:hAnsi="Times New Roman"/>
                <w:szCs w:val="21"/>
              </w:rPr>
            </w:pPr>
            <w:r>
              <w:rPr>
                <w:rFonts w:ascii="Times New Roman" w:hAnsi="Times New Roman"/>
                <w:szCs w:val="21"/>
              </w:rPr>
              <w:t>使用场所</w:t>
            </w:r>
          </w:p>
        </w:tc>
        <w:tc>
          <w:tcPr>
            <w:tcW w:w="1494" w:type="dxa"/>
            <w:tcBorders>
              <w:top w:val="single" w:color="auto" w:sz="2" w:space="0"/>
            </w:tcBorders>
            <w:vAlign w:val="center"/>
          </w:tcPr>
          <w:p w14:paraId="4CBF267D">
            <w:pPr>
              <w:jc w:val="center"/>
              <w:rPr>
                <w:rFonts w:ascii="Times New Roman" w:hAnsi="Times New Roman"/>
                <w:szCs w:val="21"/>
              </w:rPr>
            </w:pPr>
            <w:r>
              <w:rPr>
                <w:rFonts w:ascii="Times New Roman" w:hAnsi="Times New Roman"/>
                <w:szCs w:val="21"/>
              </w:rPr>
              <w:t>贮存方式及地点</w:t>
            </w:r>
          </w:p>
        </w:tc>
      </w:tr>
      <w:tr w14:paraId="0166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60EFFE7F">
            <w:pPr>
              <w:jc w:val="center"/>
              <w:rPr>
                <w:rFonts w:ascii="Times New Roman" w:hAnsi="Times New Roman"/>
                <w:szCs w:val="21"/>
              </w:rPr>
            </w:pPr>
            <w:r>
              <w:rPr>
                <w:rFonts w:ascii="Times New Roman" w:hAnsi="Times New Roman"/>
                <w:szCs w:val="21"/>
              </w:rPr>
              <w:t>/</w:t>
            </w:r>
          </w:p>
        </w:tc>
        <w:tc>
          <w:tcPr>
            <w:tcW w:w="992" w:type="dxa"/>
            <w:tcBorders>
              <w:bottom w:val="single" w:color="auto" w:sz="4" w:space="0"/>
            </w:tcBorders>
            <w:vAlign w:val="center"/>
          </w:tcPr>
          <w:p w14:paraId="720346EB">
            <w:pPr>
              <w:spacing w:line="240" w:lineRule="atLeast"/>
              <w:jc w:val="center"/>
              <w:rPr>
                <w:rFonts w:ascii="Times New Roman" w:hAnsi="Times New Roman"/>
                <w:szCs w:val="21"/>
              </w:rPr>
            </w:pPr>
            <w:r>
              <w:rPr>
                <w:rFonts w:ascii="Times New Roman" w:hAnsi="Times New Roman"/>
                <w:szCs w:val="21"/>
              </w:rPr>
              <w:t>/</w:t>
            </w:r>
          </w:p>
        </w:tc>
        <w:tc>
          <w:tcPr>
            <w:tcW w:w="992" w:type="dxa"/>
            <w:vAlign w:val="center"/>
          </w:tcPr>
          <w:p w14:paraId="02C49E16">
            <w:pPr>
              <w:jc w:val="center"/>
              <w:rPr>
                <w:rFonts w:ascii="Times New Roman" w:hAnsi="Times New Roman"/>
                <w:szCs w:val="21"/>
              </w:rPr>
            </w:pPr>
            <w:r>
              <w:rPr>
                <w:rFonts w:ascii="Times New Roman" w:hAnsi="Times New Roman"/>
                <w:szCs w:val="21"/>
              </w:rPr>
              <w:t>/</w:t>
            </w:r>
          </w:p>
        </w:tc>
        <w:tc>
          <w:tcPr>
            <w:tcW w:w="1134" w:type="dxa"/>
            <w:vAlign w:val="center"/>
          </w:tcPr>
          <w:p w14:paraId="4BF15715">
            <w:pPr>
              <w:jc w:val="center"/>
              <w:rPr>
                <w:rFonts w:ascii="Times New Roman" w:hAnsi="Times New Roman"/>
                <w:szCs w:val="21"/>
              </w:rPr>
            </w:pPr>
            <w:r>
              <w:rPr>
                <w:rFonts w:ascii="Times New Roman" w:hAnsi="Times New Roman"/>
                <w:szCs w:val="21"/>
              </w:rPr>
              <w:t>/</w:t>
            </w:r>
          </w:p>
        </w:tc>
        <w:tc>
          <w:tcPr>
            <w:tcW w:w="1418" w:type="dxa"/>
            <w:vAlign w:val="center"/>
          </w:tcPr>
          <w:p w14:paraId="04A6971A">
            <w:pPr>
              <w:jc w:val="center"/>
              <w:rPr>
                <w:rFonts w:ascii="Times New Roman" w:hAnsi="Times New Roman"/>
                <w:szCs w:val="21"/>
              </w:rPr>
            </w:pPr>
            <w:r>
              <w:rPr>
                <w:rFonts w:ascii="Times New Roman" w:hAnsi="Times New Roman"/>
                <w:szCs w:val="21"/>
              </w:rPr>
              <w:t>/</w:t>
            </w:r>
          </w:p>
        </w:tc>
        <w:tc>
          <w:tcPr>
            <w:tcW w:w="1417" w:type="dxa"/>
            <w:vAlign w:val="center"/>
          </w:tcPr>
          <w:p w14:paraId="05FF7C18">
            <w:pPr>
              <w:spacing w:line="240" w:lineRule="atLeast"/>
              <w:jc w:val="center"/>
              <w:rPr>
                <w:rFonts w:ascii="Times New Roman" w:hAnsi="Times New Roman"/>
                <w:szCs w:val="21"/>
              </w:rPr>
            </w:pPr>
            <w:r>
              <w:rPr>
                <w:rFonts w:ascii="Times New Roman" w:hAnsi="Times New Roman"/>
                <w:szCs w:val="21"/>
              </w:rPr>
              <w:t>/</w:t>
            </w:r>
          </w:p>
        </w:tc>
        <w:tc>
          <w:tcPr>
            <w:tcW w:w="1418" w:type="dxa"/>
            <w:tcBorders>
              <w:top w:val="single" w:color="auto" w:sz="2" w:space="0"/>
              <w:bottom w:val="single" w:color="auto" w:sz="2" w:space="0"/>
            </w:tcBorders>
            <w:vAlign w:val="center"/>
          </w:tcPr>
          <w:p w14:paraId="35484850">
            <w:pPr>
              <w:jc w:val="center"/>
              <w:rPr>
                <w:rFonts w:ascii="Times New Roman" w:hAnsi="Times New Roman"/>
                <w:szCs w:val="21"/>
              </w:rPr>
            </w:pPr>
            <w:r>
              <w:rPr>
                <w:rFonts w:ascii="Times New Roman" w:hAnsi="Times New Roman"/>
                <w:szCs w:val="21"/>
              </w:rPr>
              <w:t>/</w:t>
            </w:r>
          </w:p>
        </w:tc>
        <w:tc>
          <w:tcPr>
            <w:tcW w:w="1559" w:type="dxa"/>
            <w:vAlign w:val="center"/>
          </w:tcPr>
          <w:p w14:paraId="310AE341">
            <w:pPr>
              <w:jc w:val="center"/>
              <w:rPr>
                <w:rFonts w:ascii="Times New Roman" w:hAnsi="Times New Roman"/>
                <w:szCs w:val="21"/>
              </w:rPr>
            </w:pPr>
            <w:r>
              <w:rPr>
                <w:rFonts w:ascii="Times New Roman" w:hAnsi="Times New Roman"/>
                <w:szCs w:val="21"/>
              </w:rPr>
              <w:t>/</w:t>
            </w:r>
          </w:p>
        </w:tc>
        <w:tc>
          <w:tcPr>
            <w:tcW w:w="1559" w:type="dxa"/>
            <w:vAlign w:val="center"/>
          </w:tcPr>
          <w:p w14:paraId="09BD0551">
            <w:pPr>
              <w:jc w:val="center"/>
              <w:rPr>
                <w:rFonts w:ascii="Times New Roman" w:hAnsi="Times New Roman"/>
                <w:szCs w:val="21"/>
              </w:rPr>
            </w:pPr>
            <w:r>
              <w:rPr>
                <w:rFonts w:ascii="Times New Roman" w:hAnsi="Times New Roman"/>
                <w:szCs w:val="21"/>
              </w:rPr>
              <w:t>/</w:t>
            </w:r>
          </w:p>
        </w:tc>
        <w:tc>
          <w:tcPr>
            <w:tcW w:w="1701" w:type="dxa"/>
            <w:vAlign w:val="center"/>
          </w:tcPr>
          <w:p w14:paraId="33819997">
            <w:pPr>
              <w:spacing w:line="240" w:lineRule="atLeast"/>
              <w:jc w:val="center"/>
              <w:rPr>
                <w:rFonts w:ascii="Times New Roman" w:hAnsi="Times New Roman"/>
                <w:szCs w:val="21"/>
              </w:rPr>
            </w:pPr>
            <w:r>
              <w:rPr>
                <w:rFonts w:ascii="Times New Roman" w:hAnsi="Times New Roman"/>
                <w:szCs w:val="21"/>
              </w:rPr>
              <w:t>/</w:t>
            </w:r>
          </w:p>
        </w:tc>
        <w:tc>
          <w:tcPr>
            <w:tcW w:w="1494" w:type="dxa"/>
            <w:vAlign w:val="center"/>
          </w:tcPr>
          <w:p w14:paraId="0DEE134B">
            <w:pPr>
              <w:jc w:val="center"/>
              <w:rPr>
                <w:rFonts w:ascii="Times New Roman" w:hAnsi="Times New Roman"/>
                <w:szCs w:val="21"/>
              </w:rPr>
            </w:pPr>
            <w:r>
              <w:rPr>
                <w:rFonts w:ascii="Times New Roman" w:hAnsi="Times New Roman"/>
                <w:szCs w:val="21"/>
              </w:rPr>
              <w:t>/</w:t>
            </w:r>
          </w:p>
        </w:tc>
      </w:tr>
      <w:tr w14:paraId="4956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34" w:type="dxa"/>
            <w:vAlign w:val="center"/>
          </w:tcPr>
          <w:p w14:paraId="64572462">
            <w:pPr>
              <w:jc w:val="center"/>
              <w:rPr>
                <w:rFonts w:ascii="Times New Roman" w:hAnsi="Times New Roman"/>
                <w:szCs w:val="21"/>
              </w:rPr>
            </w:pPr>
          </w:p>
        </w:tc>
        <w:tc>
          <w:tcPr>
            <w:tcW w:w="992" w:type="dxa"/>
            <w:tcBorders>
              <w:top w:val="single" w:color="auto" w:sz="4" w:space="0"/>
              <w:bottom w:val="single" w:color="auto" w:sz="4" w:space="0"/>
            </w:tcBorders>
            <w:vAlign w:val="center"/>
          </w:tcPr>
          <w:p w14:paraId="7E1BA3CF">
            <w:pPr>
              <w:spacing w:line="240" w:lineRule="atLeast"/>
              <w:jc w:val="center"/>
              <w:rPr>
                <w:rFonts w:ascii="Times New Roman" w:hAnsi="Times New Roman"/>
                <w:szCs w:val="21"/>
              </w:rPr>
            </w:pPr>
          </w:p>
        </w:tc>
        <w:tc>
          <w:tcPr>
            <w:tcW w:w="992" w:type="dxa"/>
            <w:vAlign w:val="center"/>
          </w:tcPr>
          <w:p w14:paraId="05682A33">
            <w:pPr>
              <w:jc w:val="center"/>
              <w:rPr>
                <w:rFonts w:ascii="Times New Roman" w:hAnsi="Times New Roman"/>
                <w:szCs w:val="21"/>
              </w:rPr>
            </w:pPr>
          </w:p>
        </w:tc>
        <w:tc>
          <w:tcPr>
            <w:tcW w:w="1134" w:type="dxa"/>
            <w:vAlign w:val="center"/>
          </w:tcPr>
          <w:p w14:paraId="08278C85">
            <w:pPr>
              <w:jc w:val="center"/>
              <w:rPr>
                <w:rFonts w:ascii="Times New Roman" w:hAnsi="Times New Roman"/>
                <w:szCs w:val="21"/>
              </w:rPr>
            </w:pPr>
          </w:p>
        </w:tc>
        <w:tc>
          <w:tcPr>
            <w:tcW w:w="1418" w:type="dxa"/>
            <w:vAlign w:val="center"/>
          </w:tcPr>
          <w:p w14:paraId="70468150">
            <w:pPr>
              <w:jc w:val="center"/>
              <w:rPr>
                <w:rFonts w:ascii="Times New Roman" w:hAnsi="Times New Roman"/>
                <w:szCs w:val="21"/>
              </w:rPr>
            </w:pPr>
          </w:p>
        </w:tc>
        <w:tc>
          <w:tcPr>
            <w:tcW w:w="1417" w:type="dxa"/>
            <w:vAlign w:val="center"/>
          </w:tcPr>
          <w:p w14:paraId="5BDBC057">
            <w:pPr>
              <w:spacing w:line="240" w:lineRule="atLeast"/>
              <w:jc w:val="center"/>
              <w:rPr>
                <w:rFonts w:ascii="Times New Roman" w:hAnsi="Times New Roman"/>
                <w:szCs w:val="21"/>
              </w:rPr>
            </w:pPr>
          </w:p>
        </w:tc>
        <w:tc>
          <w:tcPr>
            <w:tcW w:w="1418" w:type="dxa"/>
            <w:tcBorders>
              <w:top w:val="single" w:color="auto" w:sz="2" w:space="0"/>
              <w:bottom w:val="single" w:color="auto" w:sz="2" w:space="0"/>
            </w:tcBorders>
            <w:vAlign w:val="center"/>
          </w:tcPr>
          <w:p w14:paraId="186EA133">
            <w:pPr>
              <w:jc w:val="center"/>
              <w:rPr>
                <w:rFonts w:ascii="Times New Roman" w:hAnsi="Times New Roman"/>
                <w:szCs w:val="21"/>
              </w:rPr>
            </w:pPr>
          </w:p>
        </w:tc>
        <w:tc>
          <w:tcPr>
            <w:tcW w:w="1559" w:type="dxa"/>
            <w:vAlign w:val="center"/>
          </w:tcPr>
          <w:p w14:paraId="672AE1F7">
            <w:pPr>
              <w:jc w:val="center"/>
              <w:rPr>
                <w:rFonts w:ascii="Times New Roman" w:hAnsi="Times New Roman"/>
                <w:szCs w:val="21"/>
              </w:rPr>
            </w:pPr>
          </w:p>
        </w:tc>
        <w:tc>
          <w:tcPr>
            <w:tcW w:w="1559" w:type="dxa"/>
            <w:vAlign w:val="center"/>
          </w:tcPr>
          <w:p w14:paraId="732BA2A9">
            <w:pPr>
              <w:jc w:val="center"/>
              <w:rPr>
                <w:rFonts w:ascii="Times New Roman" w:hAnsi="Times New Roman"/>
                <w:szCs w:val="21"/>
              </w:rPr>
            </w:pPr>
          </w:p>
        </w:tc>
        <w:tc>
          <w:tcPr>
            <w:tcW w:w="1701" w:type="dxa"/>
            <w:vAlign w:val="center"/>
          </w:tcPr>
          <w:p w14:paraId="6C0C16BE">
            <w:pPr>
              <w:spacing w:line="240" w:lineRule="atLeast"/>
              <w:jc w:val="center"/>
              <w:rPr>
                <w:rFonts w:ascii="Times New Roman" w:hAnsi="Times New Roman"/>
                <w:szCs w:val="21"/>
              </w:rPr>
            </w:pPr>
          </w:p>
        </w:tc>
        <w:tc>
          <w:tcPr>
            <w:tcW w:w="1494" w:type="dxa"/>
            <w:vAlign w:val="center"/>
          </w:tcPr>
          <w:p w14:paraId="26D15FDA">
            <w:pPr>
              <w:jc w:val="center"/>
              <w:rPr>
                <w:rFonts w:ascii="Times New Roman" w:hAnsi="Times New Roman"/>
                <w:szCs w:val="21"/>
              </w:rPr>
            </w:pPr>
          </w:p>
        </w:tc>
      </w:tr>
      <w:tr w14:paraId="6BD1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34" w:type="dxa"/>
            <w:vAlign w:val="center"/>
          </w:tcPr>
          <w:p w14:paraId="25C8CD66">
            <w:pPr>
              <w:jc w:val="center"/>
              <w:rPr>
                <w:rFonts w:ascii="Times New Roman" w:hAnsi="Times New Roman"/>
                <w:szCs w:val="21"/>
              </w:rPr>
            </w:pPr>
          </w:p>
        </w:tc>
        <w:tc>
          <w:tcPr>
            <w:tcW w:w="992" w:type="dxa"/>
            <w:tcBorders>
              <w:top w:val="single" w:color="auto" w:sz="4" w:space="0"/>
            </w:tcBorders>
            <w:vAlign w:val="center"/>
          </w:tcPr>
          <w:p w14:paraId="237C8A5D">
            <w:pPr>
              <w:spacing w:line="240" w:lineRule="atLeast"/>
              <w:jc w:val="center"/>
              <w:rPr>
                <w:rFonts w:ascii="Times New Roman" w:hAnsi="Times New Roman"/>
                <w:szCs w:val="21"/>
              </w:rPr>
            </w:pPr>
          </w:p>
        </w:tc>
        <w:tc>
          <w:tcPr>
            <w:tcW w:w="992" w:type="dxa"/>
            <w:vAlign w:val="center"/>
          </w:tcPr>
          <w:p w14:paraId="7BD4D01F">
            <w:pPr>
              <w:jc w:val="center"/>
              <w:rPr>
                <w:rFonts w:ascii="Times New Roman" w:hAnsi="Times New Roman"/>
                <w:szCs w:val="21"/>
              </w:rPr>
            </w:pPr>
          </w:p>
        </w:tc>
        <w:tc>
          <w:tcPr>
            <w:tcW w:w="1134" w:type="dxa"/>
            <w:vAlign w:val="center"/>
          </w:tcPr>
          <w:p w14:paraId="2E413A43">
            <w:pPr>
              <w:jc w:val="center"/>
              <w:rPr>
                <w:rFonts w:ascii="Times New Roman" w:hAnsi="Times New Roman"/>
                <w:szCs w:val="21"/>
              </w:rPr>
            </w:pPr>
          </w:p>
        </w:tc>
        <w:tc>
          <w:tcPr>
            <w:tcW w:w="1418" w:type="dxa"/>
            <w:vAlign w:val="center"/>
          </w:tcPr>
          <w:p w14:paraId="1764DFB4">
            <w:pPr>
              <w:jc w:val="center"/>
              <w:rPr>
                <w:rFonts w:ascii="Times New Roman" w:hAnsi="Times New Roman"/>
                <w:szCs w:val="21"/>
              </w:rPr>
            </w:pPr>
          </w:p>
        </w:tc>
        <w:tc>
          <w:tcPr>
            <w:tcW w:w="1417" w:type="dxa"/>
            <w:vAlign w:val="center"/>
          </w:tcPr>
          <w:p w14:paraId="13E6BB2F">
            <w:pPr>
              <w:spacing w:line="240" w:lineRule="atLeast"/>
              <w:jc w:val="center"/>
              <w:rPr>
                <w:rFonts w:ascii="Times New Roman" w:hAnsi="Times New Roman"/>
                <w:szCs w:val="21"/>
              </w:rPr>
            </w:pPr>
          </w:p>
        </w:tc>
        <w:tc>
          <w:tcPr>
            <w:tcW w:w="1418" w:type="dxa"/>
            <w:tcBorders>
              <w:top w:val="single" w:color="auto" w:sz="2" w:space="0"/>
              <w:bottom w:val="single" w:color="auto" w:sz="2" w:space="0"/>
            </w:tcBorders>
            <w:vAlign w:val="center"/>
          </w:tcPr>
          <w:p w14:paraId="15A7B5CC">
            <w:pPr>
              <w:jc w:val="center"/>
              <w:rPr>
                <w:rFonts w:ascii="Times New Roman" w:hAnsi="Times New Roman"/>
                <w:szCs w:val="21"/>
              </w:rPr>
            </w:pPr>
          </w:p>
        </w:tc>
        <w:tc>
          <w:tcPr>
            <w:tcW w:w="1559" w:type="dxa"/>
            <w:vAlign w:val="center"/>
          </w:tcPr>
          <w:p w14:paraId="5DF5FDAB">
            <w:pPr>
              <w:jc w:val="center"/>
              <w:rPr>
                <w:rFonts w:ascii="Times New Roman" w:hAnsi="Times New Roman"/>
                <w:szCs w:val="21"/>
              </w:rPr>
            </w:pPr>
          </w:p>
        </w:tc>
        <w:tc>
          <w:tcPr>
            <w:tcW w:w="1559" w:type="dxa"/>
            <w:vAlign w:val="center"/>
          </w:tcPr>
          <w:p w14:paraId="4111698E">
            <w:pPr>
              <w:jc w:val="center"/>
              <w:rPr>
                <w:rFonts w:ascii="Times New Roman" w:hAnsi="Times New Roman"/>
                <w:szCs w:val="21"/>
              </w:rPr>
            </w:pPr>
          </w:p>
        </w:tc>
        <w:tc>
          <w:tcPr>
            <w:tcW w:w="1701" w:type="dxa"/>
            <w:vAlign w:val="center"/>
          </w:tcPr>
          <w:p w14:paraId="540B3DA8">
            <w:pPr>
              <w:spacing w:line="240" w:lineRule="atLeast"/>
              <w:jc w:val="center"/>
              <w:rPr>
                <w:rFonts w:ascii="Times New Roman" w:hAnsi="Times New Roman"/>
                <w:szCs w:val="21"/>
              </w:rPr>
            </w:pPr>
          </w:p>
        </w:tc>
        <w:tc>
          <w:tcPr>
            <w:tcW w:w="1494" w:type="dxa"/>
            <w:vAlign w:val="center"/>
          </w:tcPr>
          <w:p w14:paraId="4E494466">
            <w:pPr>
              <w:jc w:val="center"/>
              <w:rPr>
                <w:rFonts w:ascii="Times New Roman" w:hAnsi="Times New Roman"/>
                <w:szCs w:val="21"/>
              </w:rPr>
            </w:pPr>
          </w:p>
        </w:tc>
      </w:tr>
    </w:tbl>
    <w:p w14:paraId="6F611C01">
      <w:pPr>
        <w:rPr>
          <w:rFonts w:ascii="Times New Roman" w:hAnsi="Times New Roman"/>
        </w:rPr>
      </w:pPr>
      <w:r>
        <w:rPr>
          <w:rFonts w:ascii="Times New Roman" w:hAnsi="Times New Roman"/>
        </w:rPr>
        <w:t>注：日等效最大操作量和操作方式见《电离辐射防护与辐射源安全基本标准》（GB 18871-2002）</w:t>
      </w:r>
    </w:p>
    <w:p w14:paraId="7B7C3A96">
      <w:pPr>
        <w:pStyle w:val="14"/>
        <w:jc w:val="left"/>
        <w:outlineLvl w:val="0"/>
        <w:rPr>
          <w:rFonts w:ascii="Times New Roman" w:hAnsi="Times New Roman"/>
          <w:b/>
          <w:bCs/>
          <w:szCs w:val="28"/>
        </w:rPr>
      </w:pPr>
      <w:bookmarkStart w:id="22" w:name="_Toc188277741"/>
      <w:r>
        <w:rPr>
          <w:rFonts w:ascii="Times New Roman" w:hAnsi="Times New Roman"/>
          <w:b/>
          <w:bCs/>
          <w:szCs w:val="28"/>
        </w:rPr>
        <w:t>表4 射线装置</w:t>
      </w:r>
      <w:bookmarkEnd w:id="22"/>
    </w:p>
    <w:p w14:paraId="67E07FCE">
      <w:pPr>
        <w:pStyle w:val="14"/>
        <w:jc w:val="left"/>
        <w:rPr>
          <w:rFonts w:ascii="Times New Roman" w:hAnsi="Times New Roman"/>
          <w:b/>
          <w:bCs/>
          <w:sz w:val="24"/>
        </w:rPr>
      </w:pPr>
      <w:r>
        <w:rPr>
          <w:rFonts w:ascii="Times New Roman" w:hAnsi="Times New Roman"/>
          <w:b/>
          <w:bCs/>
          <w:sz w:val="24"/>
        </w:rPr>
        <w:t>（一）加速器：包括医用、工农业、科研、教学等用途的各类型加速器</w:t>
      </w:r>
    </w:p>
    <w:tbl>
      <w:tblPr>
        <w:tblStyle w:val="36"/>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709"/>
        <w:gridCol w:w="709"/>
        <w:gridCol w:w="850"/>
        <w:gridCol w:w="993"/>
        <w:gridCol w:w="1417"/>
        <w:gridCol w:w="1985"/>
        <w:gridCol w:w="1275"/>
        <w:gridCol w:w="1843"/>
        <w:gridCol w:w="2628"/>
      </w:tblGrid>
      <w:tr w14:paraId="323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93F0A8">
            <w:pPr>
              <w:jc w:val="center"/>
              <w:rPr>
                <w:rFonts w:ascii="Times New Roman" w:hAnsi="Times New Roman"/>
                <w:szCs w:val="21"/>
              </w:rPr>
            </w:pPr>
            <w:r>
              <w:rPr>
                <w:rFonts w:ascii="Times New Roman" w:hAnsi="Times New Roman"/>
                <w:szCs w:val="21"/>
              </w:rPr>
              <w:t>序号</w:t>
            </w:r>
          </w:p>
        </w:tc>
        <w:tc>
          <w:tcPr>
            <w:tcW w:w="1134" w:type="dxa"/>
            <w:vAlign w:val="center"/>
          </w:tcPr>
          <w:p w14:paraId="08842950">
            <w:pPr>
              <w:jc w:val="center"/>
              <w:rPr>
                <w:rFonts w:ascii="Times New Roman" w:hAnsi="Times New Roman"/>
                <w:szCs w:val="21"/>
              </w:rPr>
            </w:pPr>
            <w:r>
              <w:rPr>
                <w:rFonts w:ascii="Times New Roman" w:hAnsi="Times New Roman"/>
                <w:szCs w:val="21"/>
              </w:rPr>
              <w:t>名称</w:t>
            </w:r>
          </w:p>
        </w:tc>
        <w:tc>
          <w:tcPr>
            <w:tcW w:w="709" w:type="dxa"/>
            <w:vAlign w:val="center"/>
          </w:tcPr>
          <w:p w14:paraId="51319217">
            <w:pPr>
              <w:jc w:val="center"/>
              <w:rPr>
                <w:rFonts w:ascii="Times New Roman" w:hAnsi="Times New Roman"/>
                <w:szCs w:val="21"/>
              </w:rPr>
            </w:pPr>
            <w:r>
              <w:rPr>
                <w:rFonts w:ascii="Times New Roman" w:hAnsi="Times New Roman"/>
                <w:szCs w:val="21"/>
              </w:rPr>
              <w:t>类别</w:t>
            </w:r>
          </w:p>
        </w:tc>
        <w:tc>
          <w:tcPr>
            <w:tcW w:w="709" w:type="dxa"/>
            <w:vAlign w:val="center"/>
          </w:tcPr>
          <w:p w14:paraId="75BE66C0">
            <w:pPr>
              <w:jc w:val="center"/>
              <w:rPr>
                <w:rFonts w:ascii="Times New Roman" w:hAnsi="Times New Roman"/>
                <w:szCs w:val="21"/>
              </w:rPr>
            </w:pPr>
            <w:r>
              <w:rPr>
                <w:rFonts w:ascii="Times New Roman" w:hAnsi="Times New Roman"/>
                <w:szCs w:val="21"/>
              </w:rPr>
              <w:t>数量</w:t>
            </w:r>
          </w:p>
        </w:tc>
        <w:tc>
          <w:tcPr>
            <w:tcW w:w="850" w:type="dxa"/>
            <w:vAlign w:val="center"/>
          </w:tcPr>
          <w:p w14:paraId="2478D142">
            <w:pPr>
              <w:jc w:val="center"/>
              <w:rPr>
                <w:rFonts w:ascii="Times New Roman" w:hAnsi="Times New Roman"/>
                <w:szCs w:val="21"/>
              </w:rPr>
            </w:pPr>
            <w:r>
              <w:rPr>
                <w:rFonts w:ascii="Times New Roman" w:hAnsi="Times New Roman"/>
                <w:szCs w:val="21"/>
              </w:rPr>
              <w:t>型号</w:t>
            </w:r>
          </w:p>
        </w:tc>
        <w:tc>
          <w:tcPr>
            <w:tcW w:w="993" w:type="dxa"/>
            <w:vAlign w:val="center"/>
          </w:tcPr>
          <w:p w14:paraId="4A008E0B">
            <w:pPr>
              <w:jc w:val="center"/>
              <w:rPr>
                <w:rFonts w:ascii="Times New Roman" w:hAnsi="Times New Roman"/>
                <w:szCs w:val="21"/>
              </w:rPr>
            </w:pPr>
            <w:r>
              <w:rPr>
                <w:rFonts w:ascii="Times New Roman" w:hAnsi="Times New Roman"/>
                <w:szCs w:val="21"/>
              </w:rPr>
              <w:t>加速</w:t>
            </w:r>
          </w:p>
          <w:p w14:paraId="12561743">
            <w:pPr>
              <w:jc w:val="center"/>
              <w:rPr>
                <w:rFonts w:ascii="Times New Roman" w:hAnsi="Times New Roman"/>
                <w:szCs w:val="21"/>
              </w:rPr>
            </w:pPr>
            <w:r>
              <w:rPr>
                <w:rFonts w:ascii="Times New Roman" w:hAnsi="Times New Roman"/>
                <w:szCs w:val="21"/>
              </w:rPr>
              <w:t>粒子</w:t>
            </w:r>
          </w:p>
        </w:tc>
        <w:tc>
          <w:tcPr>
            <w:tcW w:w="1417" w:type="dxa"/>
            <w:vAlign w:val="center"/>
          </w:tcPr>
          <w:p w14:paraId="0BC721F6">
            <w:pPr>
              <w:jc w:val="center"/>
              <w:rPr>
                <w:rFonts w:ascii="Times New Roman" w:hAnsi="Times New Roman"/>
                <w:szCs w:val="21"/>
              </w:rPr>
            </w:pPr>
            <w:r>
              <w:rPr>
                <w:rFonts w:ascii="Times New Roman" w:hAnsi="Times New Roman"/>
                <w:szCs w:val="21"/>
              </w:rPr>
              <w:t>X射线最大能量（MeV）</w:t>
            </w:r>
          </w:p>
        </w:tc>
        <w:tc>
          <w:tcPr>
            <w:tcW w:w="1985" w:type="dxa"/>
            <w:vAlign w:val="center"/>
          </w:tcPr>
          <w:p w14:paraId="716E8BD1">
            <w:pPr>
              <w:rPr>
                <w:rFonts w:ascii="Times New Roman" w:hAnsi="Times New Roman"/>
                <w:szCs w:val="21"/>
              </w:rPr>
            </w:pPr>
            <w:r>
              <w:rPr>
                <w:rFonts w:ascii="Times New Roman" w:hAnsi="Times New Roman"/>
                <w:szCs w:val="21"/>
              </w:rPr>
              <w:t>额定电流（mA）/</w:t>
            </w:r>
          </w:p>
          <w:p w14:paraId="38F6CCA2">
            <w:pPr>
              <w:rPr>
                <w:rFonts w:ascii="Times New Roman" w:hAnsi="Times New Roman"/>
                <w:szCs w:val="21"/>
              </w:rPr>
            </w:pPr>
            <w:r>
              <w:rPr>
                <w:rFonts w:ascii="Times New Roman" w:hAnsi="Times New Roman"/>
                <w:szCs w:val="21"/>
              </w:rPr>
              <w:t>剂量率（Gy/h）</w:t>
            </w:r>
          </w:p>
        </w:tc>
        <w:tc>
          <w:tcPr>
            <w:tcW w:w="1275" w:type="dxa"/>
            <w:vAlign w:val="center"/>
          </w:tcPr>
          <w:p w14:paraId="6F15387E">
            <w:pPr>
              <w:jc w:val="center"/>
              <w:rPr>
                <w:rFonts w:ascii="Times New Roman" w:hAnsi="Times New Roman"/>
                <w:szCs w:val="21"/>
              </w:rPr>
            </w:pPr>
            <w:r>
              <w:rPr>
                <w:rFonts w:ascii="Times New Roman" w:hAnsi="Times New Roman"/>
                <w:szCs w:val="21"/>
              </w:rPr>
              <w:t>用途</w:t>
            </w:r>
          </w:p>
        </w:tc>
        <w:tc>
          <w:tcPr>
            <w:tcW w:w="1843" w:type="dxa"/>
            <w:vAlign w:val="center"/>
          </w:tcPr>
          <w:p w14:paraId="1C252B38">
            <w:pPr>
              <w:jc w:val="center"/>
              <w:rPr>
                <w:rFonts w:ascii="Times New Roman" w:hAnsi="Times New Roman"/>
                <w:szCs w:val="21"/>
              </w:rPr>
            </w:pPr>
            <w:r>
              <w:rPr>
                <w:rFonts w:ascii="Times New Roman" w:hAnsi="Times New Roman"/>
                <w:szCs w:val="21"/>
              </w:rPr>
              <w:t>工作场所</w:t>
            </w:r>
          </w:p>
        </w:tc>
        <w:tc>
          <w:tcPr>
            <w:tcW w:w="2628" w:type="dxa"/>
            <w:vAlign w:val="center"/>
          </w:tcPr>
          <w:p w14:paraId="58F7B71E">
            <w:pPr>
              <w:jc w:val="center"/>
              <w:rPr>
                <w:rFonts w:ascii="Times New Roman" w:hAnsi="Times New Roman"/>
                <w:szCs w:val="21"/>
              </w:rPr>
            </w:pPr>
            <w:r>
              <w:rPr>
                <w:rFonts w:ascii="Times New Roman" w:hAnsi="Times New Roman"/>
                <w:szCs w:val="21"/>
              </w:rPr>
              <w:t>备注</w:t>
            </w:r>
          </w:p>
        </w:tc>
      </w:tr>
      <w:tr w14:paraId="7B9F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75" w:type="dxa"/>
            <w:vAlign w:val="center"/>
          </w:tcPr>
          <w:p w14:paraId="4C13C952">
            <w:pPr>
              <w:jc w:val="center"/>
              <w:rPr>
                <w:rFonts w:ascii="Times New Roman" w:hAnsi="Times New Roman"/>
              </w:rPr>
            </w:pPr>
            <w:r>
              <w:rPr>
                <w:rFonts w:ascii="Times New Roman" w:hAnsi="Times New Roman"/>
              </w:rPr>
              <w:t>/</w:t>
            </w:r>
          </w:p>
        </w:tc>
        <w:tc>
          <w:tcPr>
            <w:tcW w:w="1134" w:type="dxa"/>
            <w:vAlign w:val="center"/>
          </w:tcPr>
          <w:p w14:paraId="2E1F1E84">
            <w:pPr>
              <w:jc w:val="center"/>
              <w:rPr>
                <w:rFonts w:ascii="Times New Roman" w:hAnsi="Times New Roman"/>
              </w:rPr>
            </w:pPr>
            <w:r>
              <w:rPr>
                <w:rFonts w:ascii="Times New Roman" w:hAnsi="Times New Roman"/>
              </w:rPr>
              <w:t>/</w:t>
            </w:r>
          </w:p>
        </w:tc>
        <w:tc>
          <w:tcPr>
            <w:tcW w:w="709" w:type="dxa"/>
            <w:vAlign w:val="center"/>
          </w:tcPr>
          <w:p w14:paraId="7AE26B9E">
            <w:pPr>
              <w:jc w:val="center"/>
              <w:rPr>
                <w:rFonts w:ascii="Times New Roman" w:hAnsi="Times New Roman"/>
              </w:rPr>
            </w:pPr>
            <w:r>
              <w:rPr>
                <w:rFonts w:ascii="Times New Roman" w:hAnsi="Times New Roman"/>
              </w:rPr>
              <w:t>/</w:t>
            </w:r>
          </w:p>
        </w:tc>
        <w:tc>
          <w:tcPr>
            <w:tcW w:w="709" w:type="dxa"/>
            <w:vAlign w:val="center"/>
          </w:tcPr>
          <w:p w14:paraId="5B47790B">
            <w:pPr>
              <w:jc w:val="center"/>
              <w:rPr>
                <w:rFonts w:ascii="Times New Roman" w:hAnsi="Times New Roman"/>
              </w:rPr>
            </w:pPr>
            <w:r>
              <w:rPr>
                <w:rFonts w:ascii="Times New Roman" w:hAnsi="Times New Roman"/>
              </w:rPr>
              <w:t>/</w:t>
            </w:r>
          </w:p>
        </w:tc>
        <w:tc>
          <w:tcPr>
            <w:tcW w:w="850" w:type="dxa"/>
            <w:vAlign w:val="center"/>
          </w:tcPr>
          <w:p w14:paraId="5FFB8385">
            <w:pPr>
              <w:jc w:val="center"/>
              <w:rPr>
                <w:rFonts w:ascii="Times New Roman" w:hAnsi="Times New Roman"/>
              </w:rPr>
            </w:pPr>
            <w:r>
              <w:rPr>
                <w:rFonts w:ascii="Times New Roman" w:hAnsi="Times New Roman"/>
              </w:rPr>
              <w:t>/</w:t>
            </w:r>
          </w:p>
        </w:tc>
        <w:tc>
          <w:tcPr>
            <w:tcW w:w="993" w:type="dxa"/>
            <w:vAlign w:val="center"/>
          </w:tcPr>
          <w:p w14:paraId="4EF16E11">
            <w:pPr>
              <w:jc w:val="center"/>
              <w:rPr>
                <w:rFonts w:ascii="Times New Roman" w:hAnsi="Times New Roman"/>
              </w:rPr>
            </w:pPr>
            <w:r>
              <w:rPr>
                <w:rFonts w:ascii="Times New Roman" w:hAnsi="Times New Roman"/>
              </w:rPr>
              <w:t>/</w:t>
            </w:r>
          </w:p>
        </w:tc>
        <w:tc>
          <w:tcPr>
            <w:tcW w:w="1417" w:type="dxa"/>
            <w:vAlign w:val="center"/>
          </w:tcPr>
          <w:p w14:paraId="1F185978">
            <w:pPr>
              <w:jc w:val="center"/>
              <w:rPr>
                <w:rFonts w:ascii="Times New Roman" w:hAnsi="Times New Roman"/>
              </w:rPr>
            </w:pPr>
            <w:r>
              <w:rPr>
                <w:rFonts w:ascii="Times New Roman" w:hAnsi="Times New Roman"/>
              </w:rPr>
              <w:t>/</w:t>
            </w:r>
          </w:p>
        </w:tc>
        <w:tc>
          <w:tcPr>
            <w:tcW w:w="1985" w:type="dxa"/>
            <w:vAlign w:val="center"/>
          </w:tcPr>
          <w:p w14:paraId="042D1B87">
            <w:pPr>
              <w:jc w:val="center"/>
              <w:rPr>
                <w:rFonts w:ascii="Times New Roman" w:hAnsi="Times New Roman"/>
              </w:rPr>
            </w:pPr>
            <w:r>
              <w:rPr>
                <w:rFonts w:ascii="Times New Roman" w:hAnsi="Times New Roman"/>
              </w:rPr>
              <w:t>/</w:t>
            </w:r>
          </w:p>
        </w:tc>
        <w:tc>
          <w:tcPr>
            <w:tcW w:w="1275" w:type="dxa"/>
            <w:vAlign w:val="center"/>
          </w:tcPr>
          <w:p w14:paraId="5185AFBB">
            <w:pPr>
              <w:jc w:val="center"/>
              <w:rPr>
                <w:rFonts w:ascii="Times New Roman" w:hAnsi="Times New Roman"/>
                <w:szCs w:val="21"/>
              </w:rPr>
            </w:pPr>
            <w:r>
              <w:rPr>
                <w:rFonts w:ascii="Times New Roman" w:hAnsi="Times New Roman"/>
                <w:szCs w:val="21"/>
              </w:rPr>
              <w:t>/</w:t>
            </w:r>
          </w:p>
        </w:tc>
        <w:tc>
          <w:tcPr>
            <w:tcW w:w="1843" w:type="dxa"/>
            <w:vAlign w:val="center"/>
          </w:tcPr>
          <w:p w14:paraId="10B380CA">
            <w:pPr>
              <w:jc w:val="center"/>
              <w:rPr>
                <w:rFonts w:ascii="Times New Roman" w:hAnsi="Times New Roman"/>
              </w:rPr>
            </w:pPr>
            <w:r>
              <w:rPr>
                <w:rFonts w:ascii="Times New Roman" w:hAnsi="Times New Roman"/>
              </w:rPr>
              <w:t>/</w:t>
            </w:r>
          </w:p>
        </w:tc>
        <w:tc>
          <w:tcPr>
            <w:tcW w:w="2628" w:type="dxa"/>
            <w:vAlign w:val="center"/>
          </w:tcPr>
          <w:p w14:paraId="51606F6B">
            <w:pPr>
              <w:jc w:val="center"/>
              <w:rPr>
                <w:rFonts w:ascii="Times New Roman" w:hAnsi="Times New Roman"/>
              </w:rPr>
            </w:pPr>
            <w:r>
              <w:rPr>
                <w:rFonts w:ascii="Times New Roman" w:hAnsi="Times New Roman"/>
              </w:rPr>
              <w:t>/</w:t>
            </w:r>
          </w:p>
        </w:tc>
      </w:tr>
      <w:tr w14:paraId="52D2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75" w:type="dxa"/>
            <w:vAlign w:val="center"/>
          </w:tcPr>
          <w:p w14:paraId="2549BF63">
            <w:pPr>
              <w:jc w:val="center"/>
              <w:rPr>
                <w:rFonts w:ascii="Times New Roman" w:hAnsi="Times New Roman"/>
              </w:rPr>
            </w:pPr>
          </w:p>
        </w:tc>
        <w:tc>
          <w:tcPr>
            <w:tcW w:w="1134" w:type="dxa"/>
            <w:vAlign w:val="center"/>
          </w:tcPr>
          <w:p w14:paraId="193FFE6D">
            <w:pPr>
              <w:jc w:val="center"/>
              <w:rPr>
                <w:rFonts w:ascii="Times New Roman" w:hAnsi="Times New Roman"/>
              </w:rPr>
            </w:pPr>
          </w:p>
        </w:tc>
        <w:tc>
          <w:tcPr>
            <w:tcW w:w="709" w:type="dxa"/>
            <w:vAlign w:val="center"/>
          </w:tcPr>
          <w:p w14:paraId="47105DAF">
            <w:pPr>
              <w:jc w:val="center"/>
              <w:rPr>
                <w:rFonts w:ascii="Times New Roman" w:hAnsi="Times New Roman"/>
              </w:rPr>
            </w:pPr>
          </w:p>
        </w:tc>
        <w:tc>
          <w:tcPr>
            <w:tcW w:w="709" w:type="dxa"/>
            <w:vAlign w:val="center"/>
          </w:tcPr>
          <w:p w14:paraId="59E6E45B">
            <w:pPr>
              <w:jc w:val="center"/>
              <w:rPr>
                <w:rFonts w:ascii="Times New Roman" w:hAnsi="Times New Roman"/>
              </w:rPr>
            </w:pPr>
          </w:p>
        </w:tc>
        <w:tc>
          <w:tcPr>
            <w:tcW w:w="850" w:type="dxa"/>
            <w:vAlign w:val="center"/>
          </w:tcPr>
          <w:p w14:paraId="09D3527A">
            <w:pPr>
              <w:jc w:val="center"/>
              <w:rPr>
                <w:rFonts w:ascii="Times New Roman" w:hAnsi="Times New Roman"/>
              </w:rPr>
            </w:pPr>
          </w:p>
        </w:tc>
        <w:tc>
          <w:tcPr>
            <w:tcW w:w="993" w:type="dxa"/>
            <w:vAlign w:val="center"/>
          </w:tcPr>
          <w:p w14:paraId="0B0FB684">
            <w:pPr>
              <w:jc w:val="center"/>
              <w:rPr>
                <w:rFonts w:ascii="Times New Roman" w:hAnsi="Times New Roman"/>
              </w:rPr>
            </w:pPr>
          </w:p>
        </w:tc>
        <w:tc>
          <w:tcPr>
            <w:tcW w:w="1417" w:type="dxa"/>
            <w:vAlign w:val="center"/>
          </w:tcPr>
          <w:p w14:paraId="74D98F29">
            <w:pPr>
              <w:jc w:val="center"/>
              <w:rPr>
                <w:rFonts w:ascii="Times New Roman" w:hAnsi="Times New Roman"/>
              </w:rPr>
            </w:pPr>
          </w:p>
        </w:tc>
        <w:tc>
          <w:tcPr>
            <w:tcW w:w="1985" w:type="dxa"/>
            <w:vAlign w:val="center"/>
          </w:tcPr>
          <w:p w14:paraId="59561459">
            <w:pPr>
              <w:jc w:val="center"/>
              <w:rPr>
                <w:rFonts w:ascii="Times New Roman" w:hAnsi="Times New Roman"/>
              </w:rPr>
            </w:pPr>
          </w:p>
        </w:tc>
        <w:tc>
          <w:tcPr>
            <w:tcW w:w="1275" w:type="dxa"/>
            <w:vAlign w:val="center"/>
          </w:tcPr>
          <w:p w14:paraId="56578F4B">
            <w:pPr>
              <w:jc w:val="center"/>
              <w:rPr>
                <w:rFonts w:ascii="Times New Roman" w:hAnsi="Times New Roman"/>
                <w:szCs w:val="21"/>
              </w:rPr>
            </w:pPr>
          </w:p>
        </w:tc>
        <w:tc>
          <w:tcPr>
            <w:tcW w:w="1843" w:type="dxa"/>
            <w:vAlign w:val="center"/>
          </w:tcPr>
          <w:p w14:paraId="78211ED6">
            <w:pPr>
              <w:jc w:val="center"/>
              <w:rPr>
                <w:rFonts w:ascii="Times New Roman" w:hAnsi="Times New Roman"/>
              </w:rPr>
            </w:pPr>
          </w:p>
        </w:tc>
        <w:tc>
          <w:tcPr>
            <w:tcW w:w="2628" w:type="dxa"/>
            <w:vAlign w:val="center"/>
          </w:tcPr>
          <w:p w14:paraId="29A8FBD8">
            <w:pPr>
              <w:jc w:val="center"/>
              <w:rPr>
                <w:rFonts w:ascii="Times New Roman" w:hAnsi="Times New Roman"/>
              </w:rPr>
            </w:pPr>
          </w:p>
        </w:tc>
      </w:tr>
      <w:tr w14:paraId="77EA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75" w:type="dxa"/>
            <w:vAlign w:val="center"/>
          </w:tcPr>
          <w:p w14:paraId="686B4611">
            <w:pPr>
              <w:jc w:val="center"/>
              <w:rPr>
                <w:rFonts w:ascii="Times New Roman" w:hAnsi="Times New Roman"/>
              </w:rPr>
            </w:pPr>
          </w:p>
        </w:tc>
        <w:tc>
          <w:tcPr>
            <w:tcW w:w="1134" w:type="dxa"/>
            <w:vAlign w:val="center"/>
          </w:tcPr>
          <w:p w14:paraId="766BD7C2">
            <w:pPr>
              <w:jc w:val="center"/>
              <w:rPr>
                <w:rFonts w:ascii="Times New Roman" w:hAnsi="Times New Roman"/>
              </w:rPr>
            </w:pPr>
          </w:p>
        </w:tc>
        <w:tc>
          <w:tcPr>
            <w:tcW w:w="709" w:type="dxa"/>
            <w:vAlign w:val="center"/>
          </w:tcPr>
          <w:p w14:paraId="224128A9">
            <w:pPr>
              <w:jc w:val="center"/>
              <w:rPr>
                <w:rFonts w:ascii="Times New Roman" w:hAnsi="Times New Roman"/>
              </w:rPr>
            </w:pPr>
          </w:p>
        </w:tc>
        <w:tc>
          <w:tcPr>
            <w:tcW w:w="709" w:type="dxa"/>
            <w:vAlign w:val="center"/>
          </w:tcPr>
          <w:p w14:paraId="38C1A68C">
            <w:pPr>
              <w:jc w:val="center"/>
              <w:rPr>
                <w:rFonts w:ascii="Times New Roman" w:hAnsi="Times New Roman"/>
              </w:rPr>
            </w:pPr>
          </w:p>
        </w:tc>
        <w:tc>
          <w:tcPr>
            <w:tcW w:w="850" w:type="dxa"/>
            <w:vAlign w:val="center"/>
          </w:tcPr>
          <w:p w14:paraId="781F29D0">
            <w:pPr>
              <w:jc w:val="center"/>
              <w:rPr>
                <w:rFonts w:ascii="Times New Roman" w:hAnsi="Times New Roman"/>
              </w:rPr>
            </w:pPr>
          </w:p>
        </w:tc>
        <w:tc>
          <w:tcPr>
            <w:tcW w:w="993" w:type="dxa"/>
            <w:vAlign w:val="center"/>
          </w:tcPr>
          <w:p w14:paraId="5E941269">
            <w:pPr>
              <w:jc w:val="center"/>
              <w:rPr>
                <w:rFonts w:ascii="Times New Roman" w:hAnsi="Times New Roman"/>
              </w:rPr>
            </w:pPr>
          </w:p>
        </w:tc>
        <w:tc>
          <w:tcPr>
            <w:tcW w:w="1417" w:type="dxa"/>
            <w:vAlign w:val="center"/>
          </w:tcPr>
          <w:p w14:paraId="71933E1A">
            <w:pPr>
              <w:jc w:val="center"/>
              <w:rPr>
                <w:rFonts w:ascii="Times New Roman" w:hAnsi="Times New Roman"/>
              </w:rPr>
            </w:pPr>
          </w:p>
        </w:tc>
        <w:tc>
          <w:tcPr>
            <w:tcW w:w="1985" w:type="dxa"/>
            <w:vAlign w:val="center"/>
          </w:tcPr>
          <w:p w14:paraId="38C2643B">
            <w:pPr>
              <w:jc w:val="center"/>
              <w:rPr>
                <w:rFonts w:ascii="Times New Roman" w:hAnsi="Times New Roman"/>
              </w:rPr>
            </w:pPr>
          </w:p>
        </w:tc>
        <w:tc>
          <w:tcPr>
            <w:tcW w:w="1275" w:type="dxa"/>
            <w:vAlign w:val="center"/>
          </w:tcPr>
          <w:p w14:paraId="148BFDC8">
            <w:pPr>
              <w:jc w:val="center"/>
              <w:rPr>
                <w:rFonts w:ascii="Times New Roman" w:hAnsi="Times New Roman"/>
              </w:rPr>
            </w:pPr>
          </w:p>
        </w:tc>
        <w:tc>
          <w:tcPr>
            <w:tcW w:w="1843" w:type="dxa"/>
            <w:vAlign w:val="center"/>
          </w:tcPr>
          <w:p w14:paraId="5993AD08">
            <w:pPr>
              <w:jc w:val="center"/>
              <w:rPr>
                <w:rFonts w:ascii="Times New Roman" w:hAnsi="Times New Roman"/>
              </w:rPr>
            </w:pPr>
          </w:p>
        </w:tc>
        <w:tc>
          <w:tcPr>
            <w:tcW w:w="2628" w:type="dxa"/>
            <w:vAlign w:val="center"/>
          </w:tcPr>
          <w:p w14:paraId="116201C6">
            <w:pPr>
              <w:jc w:val="center"/>
              <w:rPr>
                <w:rFonts w:ascii="Times New Roman" w:hAnsi="Times New Roman"/>
              </w:rPr>
            </w:pPr>
          </w:p>
        </w:tc>
      </w:tr>
    </w:tbl>
    <w:p w14:paraId="01AFA5F3">
      <w:pPr>
        <w:pStyle w:val="14"/>
        <w:spacing w:before="120" w:beforeLines="50"/>
        <w:jc w:val="left"/>
        <w:rPr>
          <w:rFonts w:ascii="Times New Roman" w:hAnsi="Times New Roman"/>
          <w:b/>
          <w:bCs/>
          <w:sz w:val="24"/>
        </w:rPr>
      </w:pPr>
    </w:p>
    <w:p w14:paraId="4A7E1C3D">
      <w:pPr>
        <w:pStyle w:val="14"/>
        <w:spacing w:before="120" w:beforeLines="50"/>
        <w:jc w:val="left"/>
        <w:rPr>
          <w:rFonts w:ascii="Times New Roman" w:hAnsi="Times New Roman"/>
          <w:b/>
          <w:bCs/>
          <w:sz w:val="24"/>
        </w:rPr>
      </w:pPr>
      <w:r>
        <w:rPr>
          <w:rFonts w:ascii="Times New Roman" w:hAnsi="Times New Roman"/>
          <w:b/>
          <w:bCs/>
          <w:sz w:val="24"/>
        </w:rPr>
        <w:t>（二）X射线机，包括工业探伤、医用诊断和治疗、分析等用途</w:t>
      </w:r>
    </w:p>
    <w:tbl>
      <w:tblPr>
        <w:tblStyle w:val="36"/>
        <w:tblW w:w="14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074"/>
        <w:gridCol w:w="728"/>
        <w:gridCol w:w="735"/>
        <w:gridCol w:w="1985"/>
        <w:gridCol w:w="1417"/>
        <w:gridCol w:w="1560"/>
        <w:gridCol w:w="1275"/>
        <w:gridCol w:w="1418"/>
        <w:gridCol w:w="2584"/>
      </w:tblGrid>
      <w:tr w14:paraId="3271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630E3C82">
            <w:pPr>
              <w:jc w:val="center"/>
              <w:rPr>
                <w:rFonts w:ascii="Times New Roman" w:hAnsi="Times New Roman"/>
                <w:szCs w:val="21"/>
              </w:rPr>
            </w:pPr>
            <w:r>
              <w:rPr>
                <w:rFonts w:ascii="Times New Roman" w:hAnsi="Times New Roman"/>
                <w:szCs w:val="21"/>
              </w:rPr>
              <w:t>序号</w:t>
            </w:r>
          </w:p>
        </w:tc>
        <w:tc>
          <w:tcPr>
            <w:tcW w:w="2074" w:type="dxa"/>
            <w:vAlign w:val="center"/>
          </w:tcPr>
          <w:p w14:paraId="34342ABB">
            <w:pPr>
              <w:jc w:val="center"/>
              <w:rPr>
                <w:rFonts w:ascii="Times New Roman" w:hAnsi="Times New Roman"/>
                <w:szCs w:val="21"/>
              </w:rPr>
            </w:pPr>
            <w:r>
              <w:rPr>
                <w:rFonts w:ascii="Times New Roman" w:hAnsi="Times New Roman"/>
                <w:szCs w:val="21"/>
              </w:rPr>
              <w:t>名称</w:t>
            </w:r>
          </w:p>
        </w:tc>
        <w:tc>
          <w:tcPr>
            <w:tcW w:w="728" w:type="dxa"/>
            <w:vAlign w:val="center"/>
          </w:tcPr>
          <w:p w14:paraId="50582A2A">
            <w:pPr>
              <w:jc w:val="center"/>
              <w:rPr>
                <w:rFonts w:ascii="Times New Roman" w:hAnsi="Times New Roman"/>
                <w:szCs w:val="21"/>
              </w:rPr>
            </w:pPr>
            <w:r>
              <w:rPr>
                <w:rFonts w:ascii="Times New Roman" w:hAnsi="Times New Roman"/>
                <w:szCs w:val="21"/>
              </w:rPr>
              <w:t>类别</w:t>
            </w:r>
          </w:p>
        </w:tc>
        <w:tc>
          <w:tcPr>
            <w:tcW w:w="735" w:type="dxa"/>
            <w:vAlign w:val="center"/>
          </w:tcPr>
          <w:p w14:paraId="61566C1E">
            <w:pPr>
              <w:jc w:val="center"/>
              <w:rPr>
                <w:rFonts w:ascii="Times New Roman" w:hAnsi="Times New Roman"/>
                <w:szCs w:val="21"/>
              </w:rPr>
            </w:pPr>
            <w:r>
              <w:rPr>
                <w:rFonts w:ascii="Times New Roman" w:hAnsi="Times New Roman"/>
                <w:szCs w:val="21"/>
              </w:rPr>
              <w:t>数量</w:t>
            </w:r>
          </w:p>
        </w:tc>
        <w:tc>
          <w:tcPr>
            <w:tcW w:w="1985" w:type="dxa"/>
            <w:vAlign w:val="center"/>
          </w:tcPr>
          <w:p w14:paraId="4B7E9317">
            <w:pPr>
              <w:jc w:val="center"/>
              <w:rPr>
                <w:rFonts w:ascii="Times New Roman" w:hAnsi="Times New Roman"/>
                <w:szCs w:val="21"/>
              </w:rPr>
            </w:pPr>
            <w:r>
              <w:rPr>
                <w:rFonts w:ascii="Times New Roman" w:hAnsi="Times New Roman"/>
                <w:szCs w:val="21"/>
              </w:rPr>
              <w:t>型号</w:t>
            </w:r>
          </w:p>
        </w:tc>
        <w:tc>
          <w:tcPr>
            <w:tcW w:w="1417" w:type="dxa"/>
            <w:vAlign w:val="center"/>
          </w:tcPr>
          <w:p w14:paraId="51DDAB2D">
            <w:pPr>
              <w:jc w:val="center"/>
              <w:rPr>
                <w:rFonts w:ascii="Times New Roman" w:hAnsi="Times New Roman"/>
                <w:szCs w:val="21"/>
              </w:rPr>
            </w:pPr>
            <w:r>
              <w:rPr>
                <w:rFonts w:ascii="Times New Roman" w:hAnsi="Times New Roman"/>
                <w:szCs w:val="21"/>
              </w:rPr>
              <w:t>最大管电压（kV）</w:t>
            </w:r>
          </w:p>
        </w:tc>
        <w:tc>
          <w:tcPr>
            <w:tcW w:w="1560" w:type="dxa"/>
            <w:vAlign w:val="center"/>
          </w:tcPr>
          <w:p w14:paraId="3FFCC4AD">
            <w:pPr>
              <w:jc w:val="center"/>
              <w:rPr>
                <w:rFonts w:ascii="Times New Roman" w:hAnsi="Times New Roman"/>
                <w:szCs w:val="21"/>
              </w:rPr>
            </w:pPr>
            <w:r>
              <w:rPr>
                <w:rFonts w:ascii="Times New Roman" w:hAnsi="Times New Roman"/>
                <w:szCs w:val="21"/>
              </w:rPr>
              <w:t>最大管电流（mA）</w:t>
            </w:r>
          </w:p>
        </w:tc>
        <w:tc>
          <w:tcPr>
            <w:tcW w:w="1275" w:type="dxa"/>
            <w:vAlign w:val="center"/>
          </w:tcPr>
          <w:p w14:paraId="5F11E6D4">
            <w:pPr>
              <w:jc w:val="center"/>
              <w:rPr>
                <w:rFonts w:ascii="Times New Roman" w:hAnsi="Times New Roman"/>
                <w:szCs w:val="21"/>
              </w:rPr>
            </w:pPr>
            <w:r>
              <w:rPr>
                <w:rFonts w:ascii="Times New Roman" w:hAnsi="Times New Roman"/>
                <w:szCs w:val="21"/>
              </w:rPr>
              <w:t>用途</w:t>
            </w:r>
          </w:p>
        </w:tc>
        <w:tc>
          <w:tcPr>
            <w:tcW w:w="1418" w:type="dxa"/>
            <w:vAlign w:val="center"/>
          </w:tcPr>
          <w:p w14:paraId="4CD145E1">
            <w:pPr>
              <w:jc w:val="center"/>
              <w:rPr>
                <w:rFonts w:ascii="Times New Roman" w:hAnsi="Times New Roman"/>
                <w:szCs w:val="21"/>
              </w:rPr>
            </w:pPr>
            <w:r>
              <w:rPr>
                <w:rFonts w:ascii="Times New Roman" w:hAnsi="Times New Roman"/>
                <w:szCs w:val="21"/>
              </w:rPr>
              <w:t>工作场所</w:t>
            </w:r>
          </w:p>
        </w:tc>
        <w:tc>
          <w:tcPr>
            <w:tcW w:w="2584" w:type="dxa"/>
            <w:vAlign w:val="center"/>
          </w:tcPr>
          <w:p w14:paraId="1372B40A">
            <w:pPr>
              <w:jc w:val="center"/>
              <w:rPr>
                <w:rFonts w:ascii="Times New Roman" w:hAnsi="Times New Roman"/>
                <w:szCs w:val="21"/>
              </w:rPr>
            </w:pPr>
            <w:r>
              <w:rPr>
                <w:rFonts w:ascii="Times New Roman" w:hAnsi="Times New Roman"/>
                <w:szCs w:val="21"/>
              </w:rPr>
              <w:t>备注</w:t>
            </w:r>
          </w:p>
        </w:tc>
      </w:tr>
      <w:tr w14:paraId="2AC2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7" w:type="dxa"/>
            <w:vAlign w:val="center"/>
          </w:tcPr>
          <w:p w14:paraId="4B5FD79A">
            <w:pPr>
              <w:jc w:val="center"/>
              <w:rPr>
                <w:rFonts w:ascii="Times New Roman" w:hAnsi="Times New Roman"/>
                <w:szCs w:val="21"/>
              </w:rPr>
            </w:pPr>
            <w:r>
              <w:rPr>
                <w:rFonts w:ascii="Times New Roman" w:hAnsi="Times New Roman"/>
                <w:szCs w:val="21"/>
              </w:rPr>
              <w:t>1</w:t>
            </w:r>
          </w:p>
        </w:tc>
        <w:tc>
          <w:tcPr>
            <w:tcW w:w="2074" w:type="dxa"/>
            <w:vAlign w:val="center"/>
          </w:tcPr>
          <w:p w14:paraId="36DF07BC">
            <w:pPr>
              <w:adjustRightInd w:val="0"/>
              <w:snapToGrid w:val="0"/>
              <w:jc w:val="center"/>
              <w:rPr>
                <w:rFonts w:ascii="Times New Roman" w:hAnsi="Times New Roman"/>
                <w:szCs w:val="21"/>
              </w:rPr>
            </w:pPr>
            <w:r>
              <w:rPr>
                <w:rFonts w:ascii="Times New Roman" w:hAnsi="Times New Roman"/>
                <w:bCs/>
                <w:szCs w:val="21"/>
              </w:rPr>
              <w:t>X射线探伤机</w:t>
            </w:r>
          </w:p>
        </w:tc>
        <w:tc>
          <w:tcPr>
            <w:tcW w:w="728" w:type="dxa"/>
            <w:vAlign w:val="center"/>
          </w:tcPr>
          <w:p w14:paraId="25389A81">
            <w:pPr>
              <w:jc w:val="center"/>
              <w:rPr>
                <w:rFonts w:ascii="Times New Roman" w:hAnsi="Times New Roman"/>
                <w:szCs w:val="21"/>
              </w:rPr>
            </w:pPr>
            <w:r>
              <w:rPr>
                <w:rFonts w:ascii="Times New Roman" w:hAnsi="Times New Roman"/>
                <w:szCs w:val="21"/>
              </w:rPr>
              <w:t>II类</w:t>
            </w:r>
          </w:p>
        </w:tc>
        <w:tc>
          <w:tcPr>
            <w:tcW w:w="735" w:type="dxa"/>
            <w:vAlign w:val="center"/>
          </w:tcPr>
          <w:p w14:paraId="078C0D3A">
            <w:pPr>
              <w:jc w:val="center"/>
              <w:rPr>
                <w:rFonts w:ascii="Times New Roman" w:hAnsi="Times New Roman"/>
                <w:szCs w:val="21"/>
              </w:rPr>
            </w:pPr>
            <w:r>
              <w:rPr>
                <w:rFonts w:ascii="Times New Roman" w:hAnsi="Times New Roman"/>
                <w:szCs w:val="21"/>
              </w:rPr>
              <w:t>1</w:t>
            </w:r>
          </w:p>
        </w:tc>
        <w:tc>
          <w:tcPr>
            <w:tcW w:w="1985" w:type="dxa"/>
            <w:vAlign w:val="center"/>
          </w:tcPr>
          <w:p w14:paraId="22E40CB0">
            <w:pPr>
              <w:jc w:val="center"/>
              <w:rPr>
                <w:rFonts w:ascii="Times New Roman" w:hAnsi="Times New Roman"/>
                <w:szCs w:val="21"/>
              </w:rPr>
            </w:pPr>
            <w:r>
              <w:rPr>
                <w:rFonts w:ascii="Times New Roman" w:hAnsi="Times New Roman"/>
              </w:rPr>
              <w:t>XT1605D</w:t>
            </w:r>
          </w:p>
        </w:tc>
        <w:tc>
          <w:tcPr>
            <w:tcW w:w="1417" w:type="dxa"/>
            <w:vAlign w:val="center"/>
          </w:tcPr>
          <w:p w14:paraId="21C792A2">
            <w:pPr>
              <w:jc w:val="center"/>
              <w:rPr>
                <w:rFonts w:ascii="Times New Roman" w:hAnsi="Times New Roman"/>
                <w:szCs w:val="21"/>
              </w:rPr>
            </w:pPr>
            <w:r>
              <w:rPr>
                <w:rFonts w:ascii="Times New Roman" w:hAnsi="Times New Roman"/>
                <w:szCs w:val="21"/>
              </w:rPr>
              <w:t>160</w:t>
            </w:r>
          </w:p>
        </w:tc>
        <w:tc>
          <w:tcPr>
            <w:tcW w:w="1560" w:type="dxa"/>
            <w:vAlign w:val="center"/>
          </w:tcPr>
          <w:p w14:paraId="00510A67">
            <w:pPr>
              <w:jc w:val="center"/>
              <w:rPr>
                <w:rFonts w:ascii="Times New Roman" w:hAnsi="Times New Roman"/>
                <w:szCs w:val="21"/>
              </w:rPr>
            </w:pPr>
            <w:r>
              <w:rPr>
                <w:rFonts w:ascii="Times New Roman" w:hAnsi="Times New Roman"/>
                <w:szCs w:val="21"/>
              </w:rPr>
              <w:t>5</w:t>
            </w:r>
          </w:p>
        </w:tc>
        <w:tc>
          <w:tcPr>
            <w:tcW w:w="1275" w:type="dxa"/>
            <w:vAlign w:val="center"/>
          </w:tcPr>
          <w:p w14:paraId="4008B1B6">
            <w:pPr>
              <w:jc w:val="center"/>
              <w:rPr>
                <w:rFonts w:ascii="Times New Roman" w:hAnsi="Times New Roman"/>
                <w:szCs w:val="21"/>
              </w:rPr>
            </w:pPr>
            <w:r>
              <w:rPr>
                <w:rFonts w:ascii="Times New Roman" w:hAnsi="Times New Roman"/>
                <w:szCs w:val="21"/>
              </w:rPr>
              <w:t>探伤</w:t>
            </w:r>
          </w:p>
        </w:tc>
        <w:tc>
          <w:tcPr>
            <w:tcW w:w="1418" w:type="dxa"/>
            <w:vAlign w:val="center"/>
          </w:tcPr>
          <w:p w14:paraId="289677F9">
            <w:pPr>
              <w:jc w:val="center"/>
              <w:rPr>
                <w:rFonts w:ascii="Times New Roman" w:hAnsi="Times New Roman"/>
                <w:szCs w:val="21"/>
              </w:rPr>
            </w:pPr>
            <w:r>
              <w:rPr>
                <w:rFonts w:ascii="Times New Roman" w:hAnsi="Times New Roman"/>
                <w:szCs w:val="21"/>
              </w:rPr>
              <w:t>室外</w:t>
            </w:r>
          </w:p>
        </w:tc>
        <w:tc>
          <w:tcPr>
            <w:tcW w:w="2584" w:type="dxa"/>
            <w:vAlign w:val="center"/>
          </w:tcPr>
          <w:p w14:paraId="2F85600D">
            <w:pPr>
              <w:jc w:val="center"/>
              <w:rPr>
                <w:rFonts w:ascii="Times New Roman" w:hAnsi="Times New Roman"/>
                <w:szCs w:val="21"/>
              </w:rPr>
            </w:pPr>
            <w:r>
              <w:rPr>
                <w:rFonts w:ascii="Times New Roman" w:hAnsi="Times New Roman"/>
                <w:szCs w:val="21"/>
              </w:rPr>
              <w:t>定向，新增使用</w:t>
            </w:r>
          </w:p>
        </w:tc>
      </w:tr>
      <w:tr w14:paraId="3DC9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09CD3D34">
            <w:pPr>
              <w:jc w:val="center"/>
              <w:rPr>
                <w:rFonts w:ascii="Times New Roman" w:hAnsi="Times New Roman"/>
                <w:szCs w:val="21"/>
              </w:rPr>
            </w:pPr>
            <w:r>
              <w:rPr>
                <w:rFonts w:ascii="Times New Roman" w:hAnsi="Times New Roman"/>
                <w:szCs w:val="21"/>
              </w:rPr>
              <w:t>2</w:t>
            </w:r>
          </w:p>
        </w:tc>
        <w:tc>
          <w:tcPr>
            <w:tcW w:w="2074" w:type="dxa"/>
            <w:vAlign w:val="center"/>
          </w:tcPr>
          <w:p w14:paraId="21B1A7E5">
            <w:pPr>
              <w:adjustRightInd w:val="0"/>
              <w:snapToGrid w:val="0"/>
              <w:jc w:val="center"/>
              <w:rPr>
                <w:rFonts w:ascii="Times New Roman" w:hAnsi="Times New Roman"/>
                <w:szCs w:val="21"/>
              </w:rPr>
            </w:pPr>
            <w:r>
              <w:rPr>
                <w:rFonts w:ascii="Times New Roman" w:hAnsi="Times New Roman"/>
                <w:bCs/>
                <w:szCs w:val="21"/>
              </w:rPr>
              <w:t>X射线探伤机</w:t>
            </w:r>
          </w:p>
        </w:tc>
        <w:tc>
          <w:tcPr>
            <w:tcW w:w="728" w:type="dxa"/>
            <w:vAlign w:val="center"/>
          </w:tcPr>
          <w:p w14:paraId="3782B1EA">
            <w:pPr>
              <w:jc w:val="center"/>
              <w:rPr>
                <w:rFonts w:ascii="Times New Roman" w:hAnsi="Times New Roman"/>
                <w:szCs w:val="21"/>
              </w:rPr>
            </w:pPr>
            <w:r>
              <w:rPr>
                <w:rFonts w:ascii="Times New Roman" w:hAnsi="Times New Roman"/>
                <w:szCs w:val="21"/>
              </w:rPr>
              <w:t>II类</w:t>
            </w:r>
          </w:p>
        </w:tc>
        <w:tc>
          <w:tcPr>
            <w:tcW w:w="735" w:type="dxa"/>
            <w:vAlign w:val="center"/>
          </w:tcPr>
          <w:p w14:paraId="2BF040EA">
            <w:pPr>
              <w:jc w:val="center"/>
              <w:rPr>
                <w:rFonts w:ascii="Times New Roman" w:hAnsi="Times New Roman"/>
                <w:bCs/>
                <w:szCs w:val="21"/>
              </w:rPr>
            </w:pPr>
            <w:r>
              <w:rPr>
                <w:rFonts w:ascii="Times New Roman" w:hAnsi="Times New Roman"/>
                <w:bCs/>
                <w:szCs w:val="21"/>
              </w:rPr>
              <w:t>1</w:t>
            </w:r>
          </w:p>
        </w:tc>
        <w:tc>
          <w:tcPr>
            <w:tcW w:w="1985" w:type="dxa"/>
            <w:vAlign w:val="center"/>
          </w:tcPr>
          <w:p w14:paraId="3AF721DB">
            <w:pPr>
              <w:jc w:val="center"/>
              <w:rPr>
                <w:rFonts w:ascii="Times New Roman" w:hAnsi="Times New Roman"/>
                <w:szCs w:val="21"/>
              </w:rPr>
            </w:pPr>
            <w:r>
              <w:rPr>
                <w:rFonts w:ascii="Times New Roman" w:hAnsi="Times New Roman"/>
                <w:bCs/>
                <w:szCs w:val="21"/>
              </w:rPr>
              <w:t>XXH2005C</w:t>
            </w:r>
          </w:p>
        </w:tc>
        <w:tc>
          <w:tcPr>
            <w:tcW w:w="1417" w:type="dxa"/>
            <w:vAlign w:val="center"/>
          </w:tcPr>
          <w:p w14:paraId="35DAA806">
            <w:pPr>
              <w:jc w:val="center"/>
              <w:rPr>
                <w:rFonts w:ascii="Times New Roman" w:hAnsi="Times New Roman"/>
                <w:szCs w:val="21"/>
              </w:rPr>
            </w:pPr>
            <w:r>
              <w:rPr>
                <w:rFonts w:ascii="Times New Roman" w:hAnsi="Times New Roman"/>
                <w:szCs w:val="21"/>
              </w:rPr>
              <w:t>200</w:t>
            </w:r>
          </w:p>
        </w:tc>
        <w:tc>
          <w:tcPr>
            <w:tcW w:w="1560" w:type="dxa"/>
            <w:vAlign w:val="center"/>
          </w:tcPr>
          <w:p w14:paraId="206CC360">
            <w:pPr>
              <w:jc w:val="center"/>
              <w:rPr>
                <w:rFonts w:ascii="Times New Roman" w:hAnsi="Times New Roman"/>
                <w:szCs w:val="21"/>
              </w:rPr>
            </w:pPr>
            <w:r>
              <w:rPr>
                <w:rFonts w:ascii="Times New Roman" w:hAnsi="Times New Roman"/>
                <w:szCs w:val="21"/>
              </w:rPr>
              <w:t>5</w:t>
            </w:r>
          </w:p>
        </w:tc>
        <w:tc>
          <w:tcPr>
            <w:tcW w:w="1275" w:type="dxa"/>
            <w:vAlign w:val="center"/>
          </w:tcPr>
          <w:p w14:paraId="07900183">
            <w:pPr>
              <w:jc w:val="center"/>
              <w:rPr>
                <w:rFonts w:ascii="Times New Roman" w:hAnsi="Times New Roman"/>
                <w:bCs/>
                <w:szCs w:val="21"/>
              </w:rPr>
            </w:pPr>
            <w:r>
              <w:rPr>
                <w:rFonts w:ascii="Times New Roman" w:hAnsi="Times New Roman"/>
                <w:szCs w:val="21"/>
              </w:rPr>
              <w:t>探伤</w:t>
            </w:r>
          </w:p>
        </w:tc>
        <w:tc>
          <w:tcPr>
            <w:tcW w:w="1418" w:type="dxa"/>
            <w:vAlign w:val="center"/>
          </w:tcPr>
          <w:p w14:paraId="3A96A494">
            <w:pPr>
              <w:jc w:val="center"/>
              <w:rPr>
                <w:rFonts w:ascii="Times New Roman" w:hAnsi="Times New Roman"/>
                <w:szCs w:val="21"/>
              </w:rPr>
            </w:pPr>
            <w:r>
              <w:rPr>
                <w:rFonts w:ascii="Times New Roman" w:hAnsi="Times New Roman"/>
                <w:szCs w:val="21"/>
              </w:rPr>
              <w:t>室外</w:t>
            </w:r>
          </w:p>
        </w:tc>
        <w:tc>
          <w:tcPr>
            <w:tcW w:w="2584" w:type="dxa"/>
            <w:vAlign w:val="center"/>
          </w:tcPr>
          <w:p w14:paraId="40349F20">
            <w:pPr>
              <w:jc w:val="center"/>
              <w:rPr>
                <w:rFonts w:ascii="Times New Roman" w:hAnsi="Times New Roman"/>
                <w:szCs w:val="21"/>
              </w:rPr>
            </w:pPr>
            <w:r>
              <w:rPr>
                <w:rFonts w:ascii="Times New Roman" w:hAnsi="Times New Roman"/>
                <w:szCs w:val="21"/>
              </w:rPr>
              <w:t>周向，新增使用</w:t>
            </w:r>
          </w:p>
        </w:tc>
      </w:tr>
      <w:tr w14:paraId="2697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496996E">
            <w:pPr>
              <w:jc w:val="center"/>
              <w:rPr>
                <w:rFonts w:ascii="Times New Roman" w:hAnsi="Times New Roman"/>
                <w:szCs w:val="21"/>
              </w:rPr>
            </w:pPr>
            <w:r>
              <w:rPr>
                <w:rFonts w:ascii="Times New Roman" w:hAnsi="Times New Roman"/>
                <w:szCs w:val="21"/>
              </w:rPr>
              <w:t>3</w:t>
            </w:r>
          </w:p>
        </w:tc>
        <w:tc>
          <w:tcPr>
            <w:tcW w:w="2074" w:type="dxa"/>
            <w:vAlign w:val="center"/>
          </w:tcPr>
          <w:p w14:paraId="50891728">
            <w:pPr>
              <w:adjustRightInd w:val="0"/>
              <w:snapToGrid w:val="0"/>
              <w:jc w:val="center"/>
              <w:rPr>
                <w:rFonts w:ascii="Times New Roman" w:hAnsi="Times New Roman"/>
                <w:szCs w:val="21"/>
              </w:rPr>
            </w:pPr>
            <w:r>
              <w:rPr>
                <w:rFonts w:ascii="Times New Roman" w:hAnsi="Times New Roman"/>
                <w:bCs/>
                <w:szCs w:val="21"/>
              </w:rPr>
              <w:t>X射线探伤机</w:t>
            </w:r>
          </w:p>
        </w:tc>
        <w:tc>
          <w:tcPr>
            <w:tcW w:w="728" w:type="dxa"/>
            <w:vAlign w:val="center"/>
          </w:tcPr>
          <w:p w14:paraId="364A3FA9">
            <w:pPr>
              <w:jc w:val="center"/>
              <w:rPr>
                <w:rFonts w:ascii="Times New Roman" w:hAnsi="Times New Roman"/>
                <w:szCs w:val="21"/>
              </w:rPr>
            </w:pPr>
            <w:r>
              <w:rPr>
                <w:rFonts w:ascii="Times New Roman" w:hAnsi="Times New Roman"/>
                <w:szCs w:val="21"/>
              </w:rPr>
              <w:t>II类</w:t>
            </w:r>
          </w:p>
        </w:tc>
        <w:tc>
          <w:tcPr>
            <w:tcW w:w="735" w:type="dxa"/>
            <w:vAlign w:val="center"/>
          </w:tcPr>
          <w:p w14:paraId="5978FFF9">
            <w:pPr>
              <w:jc w:val="center"/>
              <w:rPr>
                <w:rFonts w:ascii="Times New Roman" w:hAnsi="Times New Roman"/>
                <w:bCs/>
                <w:szCs w:val="21"/>
              </w:rPr>
            </w:pPr>
            <w:r>
              <w:rPr>
                <w:rFonts w:ascii="Times New Roman" w:hAnsi="Times New Roman"/>
                <w:bCs/>
                <w:szCs w:val="21"/>
              </w:rPr>
              <w:t>1</w:t>
            </w:r>
          </w:p>
        </w:tc>
        <w:tc>
          <w:tcPr>
            <w:tcW w:w="1985" w:type="dxa"/>
            <w:vAlign w:val="center"/>
          </w:tcPr>
          <w:p w14:paraId="1200DB89">
            <w:pPr>
              <w:jc w:val="center"/>
              <w:rPr>
                <w:rFonts w:ascii="Times New Roman" w:hAnsi="Times New Roman"/>
                <w:szCs w:val="21"/>
              </w:rPr>
            </w:pPr>
            <w:r>
              <w:rPr>
                <w:rFonts w:ascii="Times New Roman" w:hAnsi="Times New Roman"/>
              </w:rPr>
              <w:t>XT2505C</w:t>
            </w:r>
          </w:p>
        </w:tc>
        <w:tc>
          <w:tcPr>
            <w:tcW w:w="1417" w:type="dxa"/>
            <w:vAlign w:val="center"/>
          </w:tcPr>
          <w:p w14:paraId="45F2D5B6">
            <w:pPr>
              <w:jc w:val="center"/>
              <w:rPr>
                <w:rFonts w:ascii="Times New Roman" w:hAnsi="Times New Roman"/>
                <w:szCs w:val="21"/>
              </w:rPr>
            </w:pPr>
            <w:r>
              <w:rPr>
                <w:rFonts w:ascii="Times New Roman" w:hAnsi="Times New Roman"/>
                <w:szCs w:val="21"/>
              </w:rPr>
              <w:t>250</w:t>
            </w:r>
          </w:p>
        </w:tc>
        <w:tc>
          <w:tcPr>
            <w:tcW w:w="1560" w:type="dxa"/>
            <w:vAlign w:val="center"/>
          </w:tcPr>
          <w:p w14:paraId="0FFD70C6">
            <w:pPr>
              <w:jc w:val="center"/>
              <w:rPr>
                <w:rFonts w:ascii="Times New Roman" w:hAnsi="Times New Roman"/>
                <w:szCs w:val="21"/>
              </w:rPr>
            </w:pPr>
            <w:r>
              <w:rPr>
                <w:rFonts w:ascii="Times New Roman" w:hAnsi="Times New Roman"/>
                <w:szCs w:val="21"/>
              </w:rPr>
              <w:t>5</w:t>
            </w:r>
          </w:p>
        </w:tc>
        <w:tc>
          <w:tcPr>
            <w:tcW w:w="1275" w:type="dxa"/>
            <w:vAlign w:val="center"/>
          </w:tcPr>
          <w:p w14:paraId="08DC249D">
            <w:pPr>
              <w:jc w:val="center"/>
              <w:rPr>
                <w:rFonts w:ascii="Times New Roman" w:hAnsi="Times New Roman"/>
                <w:bCs/>
                <w:szCs w:val="21"/>
              </w:rPr>
            </w:pPr>
            <w:r>
              <w:rPr>
                <w:rFonts w:ascii="Times New Roman" w:hAnsi="Times New Roman"/>
                <w:szCs w:val="21"/>
              </w:rPr>
              <w:t>探伤</w:t>
            </w:r>
          </w:p>
        </w:tc>
        <w:tc>
          <w:tcPr>
            <w:tcW w:w="1418" w:type="dxa"/>
            <w:vAlign w:val="center"/>
          </w:tcPr>
          <w:p w14:paraId="007555DC">
            <w:pPr>
              <w:jc w:val="center"/>
              <w:rPr>
                <w:rFonts w:ascii="Times New Roman" w:hAnsi="Times New Roman"/>
                <w:szCs w:val="21"/>
              </w:rPr>
            </w:pPr>
            <w:r>
              <w:rPr>
                <w:rFonts w:ascii="Times New Roman" w:hAnsi="Times New Roman"/>
                <w:szCs w:val="21"/>
              </w:rPr>
              <w:t>室外</w:t>
            </w:r>
          </w:p>
        </w:tc>
        <w:tc>
          <w:tcPr>
            <w:tcW w:w="2584" w:type="dxa"/>
            <w:vAlign w:val="center"/>
          </w:tcPr>
          <w:p w14:paraId="306B7C97">
            <w:pPr>
              <w:jc w:val="center"/>
              <w:rPr>
                <w:rFonts w:ascii="Times New Roman" w:hAnsi="Times New Roman"/>
                <w:szCs w:val="21"/>
              </w:rPr>
            </w:pPr>
            <w:r>
              <w:rPr>
                <w:rFonts w:ascii="Times New Roman" w:hAnsi="Times New Roman"/>
                <w:szCs w:val="21"/>
              </w:rPr>
              <w:t>周向，新增使用</w:t>
            </w:r>
          </w:p>
        </w:tc>
      </w:tr>
      <w:tr w14:paraId="0DAC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1AFDDB89">
            <w:pPr>
              <w:jc w:val="center"/>
              <w:rPr>
                <w:rFonts w:ascii="Times New Roman" w:hAnsi="Times New Roman"/>
                <w:szCs w:val="21"/>
              </w:rPr>
            </w:pPr>
            <w:r>
              <w:rPr>
                <w:rFonts w:ascii="Times New Roman" w:hAnsi="Times New Roman"/>
                <w:szCs w:val="21"/>
              </w:rPr>
              <w:t>4</w:t>
            </w:r>
          </w:p>
        </w:tc>
        <w:tc>
          <w:tcPr>
            <w:tcW w:w="2074" w:type="dxa"/>
            <w:vAlign w:val="center"/>
          </w:tcPr>
          <w:p w14:paraId="17DBCAF6">
            <w:pPr>
              <w:adjustRightInd w:val="0"/>
              <w:snapToGrid w:val="0"/>
              <w:jc w:val="center"/>
              <w:rPr>
                <w:rFonts w:ascii="Times New Roman" w:hAnsi="Times New Roman"/>
                <w:szCs w:val="21"/>
              </w:rPr>
            </w:pPr>
            <w:r>
              <w:rPr>
                <w:rFonts w:ascii="Times New Roman" w:hAnsi="Times New Roman"/>
                <w:bCs/>
                <w:szCs w:val="21"/>
              </w:rPr>
              <w:t>X射线探伤机</w:t>
            </w:r>
          </w:p>
        </w:tc>
        <w:tc>
          <w:tcPr>
            <w:tcW w:w="728" w:type="dxa"/>
            <w:vAlign w:val="center"/>
          </w:tcPr>
          <w:p w14:paraId="6605F354">
            <w:pPr>
              <w:jc w:val="center"/>
              <w:rPr>
                <w:rFonts w:ascii="Times New Roman" w:hAnsi="Times New Roman"/>
                <w:szCs w:val="21"/>
              </w:rPr>
            </w:pPr>
            <w:r>
              <w:rPr>
                <w:rFonts w:ascii="Times New Roman" w:hAnsi="Times New Roman"/>
                <w:szCs w:val="21"/>
              </w:rPr>
              <w:t>II类</w:t>
            </w:r>
          </w:p>
        </w:tc>
        <w:tc>
          <w:tcPr>
            <w:tcW w:w="735" w:type="dxa"/>
            <w:vAlign w:val="center"/>
          </w:tcPr>
          <w:p w14:paraId="0D54C94E">
            <w:pPr>
              <w:jc w:val="center"/>
              <w:rPr>
                <w:rFonts w:ascii="Times New Roman" w:hAnsi="Times New Roman"/>
                <w:bCs/>
                <w:szCs w:val="21"/>
              </w:rPr>
            </w:pPr>
            <w:r>
              <w:rPr>
                <w:rFonts w:ascii="Times New Roman" w:hAnsi="Times New Roman"/>
                <w:bCs/>
                <w:szCs w:val="21"/>
              </w:rPr>
              <w:t>1</w:t>
            </w:r>
          </w:p>
        </w:tc>
        <w:tc>
          <w:tcPr>
            <w:tcW w:w="1985" w:type="dxa"/>
            <w:vAlign w:val="center"/>
          </w:tcPr>
          <w:p w14:paraId="08BB60CC">
            <w:pPr>
              <w:jc w:val="center"/>
              <w:rPr>
                <w:rFonts w:ascii="Times New Roman" w:hAnsi="Times New Roman"/>
                <w:szCs w:val="21"/>
              </w:rPr>
            </w:pPr>
            <w:r>
              <w:rPr>
                <w:rFonts w:ascii="Times New Roman" w:hAnsi="Times New Roman"/>
              </w:rPr>
              <w:t>XT2505D</w:t>
            </w:r>
          </w:p>
        </w:tc>
        <w:tc>
          <w:tcPr>
            <w:tcW w:w="1417" w:type="dxa"/>
            <w:vAlign w:val="center"/>
          </w:tcPr>
          <w:p w14:paraId="177D3313">
            <w:pPr>
              <w:jc w:val="center"/>
              <w:rPr>
                <w:rFonts w:ascii="Times New Roman" w:hAnsi="Times New Roman"/>
                <w:szCs w:val="21"/>
              </w:rPr>
            </w:pPr>
            <w:r>
              <w:rPr>
                <w:rFonts w:ascii="Times New Roman" w:hAnsi="Times New Roman"/>
                <w:szCs w:val="21"/>
              </w:rPr>
              <w:t>250</w:t>
            </w:r>
          </w:p>
        </w:tc>
        <w:tc>
          <w:tcPr>
            <w:tcW w:w="1560" w:type="dxa"/>
            <w:vAlign w:val="center"/>
          </w:tcPr>
          <w:p w14:paraId="391D25E3">
            <w:pPr>
              <w:jc w:val="center"/>
              <w:rPr>
                <w:rFonts w:ascii="Times New Roman" w:hAnsi="Times New Roman"/>
                <w:szCs w:val="21"/>
              </w:rPr>
            </w:pPr>
            <w:r>
              <w:rPr>
                <w:rFonts w:ascii="Times New Roman" w:hAnsi="Times New Roman"/>
                <w:szCs w:val="21"/>
              </w:rPr>
              <w:t>5</w:t>
            </w:r>
          </w:p>
        </w:tc>
        <w:tc>
          <w:tcPr>
            <w:tcW w:w="1275" w:type="dxa"/>
            <w:vAlign w:val="center"/>
          </w:tcPr>
          <w:p w14:paraId="2E4341F8">
            <w:pPr>
              <w:jc w:val="center"/>
              <w:rPr>
                <w:rFonts w:ascii="Times New Roman" w:hAnsi="Times New Roman"/>
                <w:bCs/>
                <w:szCs w:val="21"/>
              </w:rPr>
            </w:pPr>
            <w:r>
              <w:rPr>
                <w:rFonts w:ascii="Times New Roman" w:hAnsi="Times New Roman"/>
                <w:szCs w:val="21"/>
              </w:rPr>
              <w:t>探伤</w:t>
            </w:r>
          </w:p>
        </w:tc>
        <w:tc>
          <w:tcPr>
            <w:tcW w:w="1418" w:type="dxa"/>
            <w:vAlign w:val="center"/>
          </w:tcPr>
          <w:p w14:paraId="65468C07">
            <w:pPr>
              <w:jc w:val="center"/>
              <w:rPr>
                <w:rFonts w:ascii="Times New Roman" w:hAnsi="Times New Roman"/>
                <w:szCs w:val="21"/>
              </w:rPr>
            </w:pPr>
            <w:r>
              <w:rPr>
                <w:rFonts w:ascii="Times New Roman" w:hAnsi="Times New Roman"/>
                <w:szCs w:val="21"/>
              </w:rPr>
              <w:t>室外</w:t>
            </w:r>
          </w:p>
        </w:tc>
        <w:tc>
          <w:tcPr>
            <w:tcW w:w="2584" w:type="dxa"/>
            <w:vAlign w:val="center"/>
          </w:tcPr>
          <w:p w14:paraId="5E76C694">
            <w:pPr>
              <w:jc w:val="center"/>
              <w:rPr>
                <w:rFonts w:ascii="Times New Roman" w:hAnsi="Times New Roman"/>
                <w:szCs w:val="21"/>
              </w:rPr>
            </w:pPr>
            <w:r>
              <w:rPr>
                <w:rFonts w:ascii="Times New Roman" w:hAnsi="Times New Roman"/>
                <w:szCs w:val="21"/>
              </w:rPr>
              <w:t>定向，新增使用</w:t>
            </w:r>
          </w:p>
        </w:tc>
      </w:tr>
      <w:tr w14:paraId="3503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3F1AAFB2">
            <w:pPr>
              <w:jc w:val="center"/>
              <w:rPr>
                <w:rFonts w:ascii="Times New Roman" w:hAnsi="Times New Roman"/>
                <w:szCs w:val="21"/>
              </w:rPr>
            </w:pPr>
            <w:r>
              <w:rPr>
                <w:rFonts w:ascii="Times New Roman" w:hAnsi="Times New Roman"/>
                <w:szCs w:val="21"/>
              </w:rPr>
              <w:t>5</w:t>
            </w:r>
          </w:p>
        </w:tc>
        <w:tc>
          <w:tcPr>
            <w:tcW w:w="2074" w:type="dxa"/>
            <w:vAlign w:val="center"/>
          </w:tcPr>
          <w:p w14:paraId="7DD322DE">
            <w:pPr>
              <w:adjustRightInd w:val="0"/>
              <w:snapToGrid w:val="0"/>
              <w:jc w:val="center"/>
              <w:rPr>
                <w:rFonts w:ascii="Times New Roman" w:hAnsi="Times New Roman"/>
                <w:szCs w:val="21"/>
              </w:rPr>
            </w:pPr>
            <w:r>
              <w:rPr>
                <w:rFonts w:ascii="Times New Roman" w:hAnsi="Times New Roman"/>
                <w:bCs/>
                <w:szCs w:val="21"/>
              </w:rPr>
              <w:t>X射线探伤机</w:t>
            </w:r>
          </w:p>
        </w:tc>
        <w:tc>
          <w:tcPr>
            <w:tcW w:w="728" w:type="dxa"/>
            <w:vAlign w:val="center"/>
          </w:tcPr>
          <w:p w14:paraId="27ED8B5F">
            <w:pPr>
              <w:jc w:val="center"/>
              <w:rPr>
                <w:rFonts w:ascii="Times New Roman" w:hAnsi="Times New Roman"/>
                <w:szCs w:val="21"/>
              </w:rPr>
            </w:pPr>
            <w:r>
              <w:rPr>
                <w:rFonts w:ascii="Times New Roman" w:hAnsi="Times New Roman"/>
                <w:szCs w:val="21"/>
              </w:rPr>
              <w:t>II类</w:t>
            </w:r>
          </w:p>
        </w:tc>
        <w:tc>
          <w:tcPr>
            <w:tcW w:w="735" w:type="dxa"/>
            <w:vAlign w:val="center"/>
          </w:tcPr>
          <w:p w14:paraId="5F088491">
            <w:pPr>
              <w:jc w:val="center"/>
              <w:rPr>
                <w:rFonts w:ascii="Times New Roman" w:hAnsi="Times New Roman"/>
                <w:szCs w:val="21"/>
              </w:rPr>
            </w:pPr>
            <w:r>
              <w:rPr>
                <w:rFonts w:ascii="Times New Roman" w:hAnsi="Times New Roman"/>
                <w:szCs w:val="21"/>
              </w:rPr>
              <w:t>1</w:t>
            </w:r>
          </w:p>
        </w:tc>
        <w:tc>
          <w:tcPr>
            <w:tcW w:w="1985" w:type="dxa"/>
            <w:vAlign w:val="center"/>
          </w:tcPr>
          <w:p w14:paraId="64D28C56">
            <w:pPr>
              <w:jc w:val="center"/>
              <w:rPr>
                <w:rFonts w:ascii="Times New Roman" w:hAnsi="Times New Roman"/>
                <w:szCs w:val="21"/>
              </w:rPr>
            </w:pPr>
            <w:r>
              <w:rPr>
                <w:rFonts w:ascii="Times New Roman" w:hAnsi="Times New Roman"/>
              </w:rPr>
              <w:t>XT3005D</w:t>
            </w:r>
          </w:p>
        </w:tc>
        <w:tc>
          <w:tcPr>
            <w:tcW w:w="1417" w:type="dxa"/>
            <w:vAlign w:val="center"/>
          </w:tcPr>
          <w:p w14:paraId="7C5E9B07">
            <w:pPr>
              <w:jc w:val="center"/>
              <w:rPr>
                <w:rFonts w:ascii="Times New Roman" w:hAnsi="Times New Roman"/>
                <w:szCs w:val="21"/>
              </w:rPr>
            </w:pPr>
            <w:r>
              <w:rPr>
                <w:rFonts w:ascii="Times New Roman" w:hAnsi="Times New Roman"/>
                <w:szCs w:val="21"/>
              </w:rPr>
              <w:t>300</w:t>
            </w:r>
          </w:p>
        </w:tc>
        <w:tc>
          <w:tcPr>
            <w:tcW w:w="1560" w:type="dxa"/>
            <w:vAlign w:val="center"/>
          </w:tcPr>
          <w:p w14:paraId="546E48F0">
            <w:pPr>
              <w:jc w:val="center"/>
              <w:rPr>
                <w:rFonts w:ascii="Times New Roman" w:hAnsi="Times New Roman"/>
                <w:szCs w:val="21"/>
              </w:rPr>
            </w:pPr>
            <w:r>
              <w:rPr>
                <w:rFonts w:ascii="Times New Roman" w:hAnsi="Times New Roman"/>
                <w:szCs w:val="21"/>
              </w:rPr>
              <w:t>5</w:t>
            </w:r>
          </w:p>
        </w:tc>
        <w:tc>
          <w:tcPr>
            <w:tcW w:w="1275" w:type="dxa"/>
            <w:vAlign w:val="center"/>
          </w:tcPr>
          <w:p w14:paraId="25F10085">
            <w:pPr>
              <w:jc w:val="center"/>
              <w:rPr>
                <w:rFonts w:ascii="Times New Roman" w:hAnsi="Times New Roman"/>
                <w:szCs w:val="21"/>
              </w:rPr>
            </w:pPr>
            <w:r>
              <w:rPr>
                <w:rFonts w:ascii="Times New Roman" w:hAnsi="Times New Roman"/>
                <w:szCs w:val="21"/>
              </w:rPr>
              <w:t>探伤</w:t>
            </w:r>
          </w:p>
        </w:tc>
        <w:tc>
          <w:tcPr>
            <w:tcW w:w="1418" w:type="dxa"/>
            <w:vAlign w:val="center"/>
          </w:tcPr>
          <w:p w14:paraId="29ADC649">
            <w:pPr>
              <w:jc w:val="center"/>
              <w:rPr>
                <w:rFonts w:ascii="Times New Roman" w:hAnsi="Times New Roman"/>
                <w:szCs w:val="21"/>
              </w:rPr>
            </w:pPr>
            <w:r>
              <w:rPr>
                <w:rFonts w:ascii="Times New Roman" w:hAnsi="Times New Roman"/>
                <w:szCs w:val="21"/>
              </w:rPr>
              <w:t>室外</w:t>
            </w:r>
          </w:p>
        </w:tc>
        <w:tc>
          <w:tcPr>
            <w:tcW w:w="2584" w:type="dxa"/>
            <w:vAlign w:val="center"/>
          </w:tcPr>
          <w:p w14:paraId="0A9C9B71">
            <w:pPr>
              <w:jc w:val="center"/>
              <w:rPr>
                <w:rFonts w:ascii="Times New Roman" w:hAnsi="Times New Roman"/>
                <w:szCs w:val="21"/>
              </w:rPr>
            </w:pPr>
            <w:r>
              <w:rPr>
                <w:rFonts w:ascii="Times New Roman" w:hAnsi="Times New Roman"/>
                <w:szCs w:val="21"/>
              </w:rPr>
              <w:t>定向，新增使用</w:t>
            </w:r>
          </w:p>
        </w:tc>
      </w:tr>
      <w:tr w14:paraId="0AEF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1758F4F">
            <w:pPr>
              <w:jc w:val="center"/>
              <w:rPr>
                <w:rFonts w:ascii="Times New Roman" w:hAnsi="Times New Roman"/>
                <w:szCs w:val="21"/>
              </w:rPr>
            </w:pPr>
          </w:p>
        </w:tc>
        <w:tc>
          <w:tcPr>
            <w:tcW w:w="2074" w:type="dxa"/>
            <w:vAlign w:val="center"/>
          </w:tcPr>
          <w:p w14:paraId="4607C721">
            <w:pPr>
              <w:adjustRightInd w:val="0"/>
              <w:snapToGrid w:val="0"/>
              <w:jc w:val="center"/>
              <w:rPr>
                <w:rFonts w:ascii="Times New Roman" w:hAnsi="Times New Roman"/>
                <w:kern w:val="0"/>
                <w:szCs w:val="21"/>
              </w:rPr>
            </w:pPr>
          </w:p>
        </w:tc>
        <w:tc>
          <w:tcPr>
            <w:tcW w:w="728" w:type="dxa"/>
            <w:vAlign w:val="center"/>
          </w:tcPr>
          <w:p w14:paraId="336F1987">
            <w:pPr>
              <w:adjustRightInd w:val="0"/>
              <w:snapToGrid w:val="0"/>
              <w:jc w:val="center"/>
              <w:rPr>
                <w:rFonts w:ascii="Times New Roman" w:hAnsi="Times New Roman"/>
                <w:kern w:val="0"/>
                <w:szCs w:val="21"/>
              </w:rPr>
            </w:pPr>
          </w:p>
        </w:tc>
        <w:tc>
          <w:tcPr>
            <w:tcW w:w="735" w:type="dxa"/>
            <w:vAlign w:val="center"/>
          </w:tcPr>
          <w:p w14:paraId="48331008">
            <w:pPr>
              <w:jc w:val="center"/>
              <w:rPr>
                <w:rFonts w:ascii="Times New Roman" w:hAnsi="Times New Roman"/>
                <w:szCs w:val="21"/>
              </w:rPr>
            </w:pPr>
          </w:p>
        </w:tc>
        <w:tc>
          <w:tcPr>
            <w:tcW w:w="1985" w:type="dxa"/>
          </w:tcPr>
          <w:p w14:paraId="69FAE163">
            <w:pPr>
              <w:adjustRightInd w:val="0"/>
              <w:snapToGrid w:val="0"/>
              <w:jc w:val="center"/>
              <w:rPr>
                <w:rFonts w:ascii="Times New Roman" w:hAnsi="Times New Roman"/>
                <w:kern w:val="0"/>
                <w:szCs w:val="21"/>
              </w:rPr>
            </w:pPr>
          </w:p>
        </w:tc>
        <w:tc>
          <w:tcPr>
            <w:tcW w:w="1417" w:type="dxa"/>
            <w:vAlign w:val="center"/>
          </w:tcPr>
          <w:p w14:paraId="58A5950A">
            <w:pPr>
              <w:jc w:val="center"/>
              <w:rPr>
                <w:rFonts w:ascii="Times New Roman" w:hAnsi="Times New Roman"/>
                <w:szCs w:val="21"/>
              </w:rPr>
            </w:pPr>
          </w:p>
        </w:tc>
        <w:tc>
          <w:tcPr>
            <w:tcW w:w="1560" w:type="dxa"/>
            <w:vAlign w:val="center"/>
          </w:tcPr>
          <w:p w14:paraId="6353870F">
            <w:pPr>
              <w:jc w:val="center"/>
              <w:rPr>
                <w:rFonts w:ascii="Times New Roman" w:hAnsi="Times New Roman"/>
                <w:szCs w:val="21"/>
              </w:rPr>
            </w:pPr>
          </w:p>
        </w:tc>
        <w:tc>
          <w:tcPr>
            <w:tcW w:w="1275" w:type="dxa"/>
            <w:vAlign w:val="center"/>
          </w:tcPr>
          <w:p w14:paraId="16712FE8">
            <w:pPr>
              <w:jc w:val="center"/>
              <w:rPr>
                <w:rFonts w:ascii="Times New Roman" w:hAnsi="Times New Roman"/>
                <w:szCs w:val="21"/>
              </w:rPr>
            </w:pPr>
          </w:p>
        </w:tc>
        <w:tc>
          <w:tcPr>
            <w:tcW w:w="1418" w:type="dxa"/>
            <w:vAlign w:val="center"/>
          </w:tcPr>
          <w:p w14:paraId="0F478883">
            <w:pPr>
              <w:jc w:val="center"/>
              <w:rPr>
                <w:rFonts w:ascii="Times New Roman" w:hAnsi="Times New Roman"/>
                <w:szCs w:val="21"/>
              </w:rPr>
            </w:pPr>
          </w:p>
        </w:tc>
        <w:tc>
          <w:tcPr>
            <w:tcW w:w="2584" w:type="dxa"/>
            <w:vAlign w:val="center"/>
          </w:tcPr>
          <w:p w14:paraId="464CCA07">
            <w:pPr>
              <w:jc w:val="center"/>
              <w:rPr>
                <w:rFonts w:ascii="Times New Roman" w:hAnsi="Times New Roman"/>
                <w:szCs w:val="21"/>
              </w:rPr>
            </w:pPr>
          </w:p>
        </w:tc>
      </w:tr>
    </w:tbl>
    <w:p w14:paraId="19EF1B4F">
      <w:pPr>
        <w:pStyle w:val="14"/>
        <w:spacing w:before="120" w:beforeLines="50"/>
        <w:jc w:val="left"/>
        <w:rPr>
          <w:rFonts w:ascii="Times New Roman" w:hAnsi="Times New Roman"/>
          <w:b/>
          <w:bCs/>
          <w:sz w:val="24"/>
        </w:rPr>
      </w:pPr>
    </w:p>
    <w:p w14:paraId="04F76804">
      <w:pPr>
        <w:pStyle w:val="14"/>
        <w:spacing w:before="120" w:beforeLines="50"/>
        <w:jc w:val="left"/>
        <w:rPr>
          <w:rFonts w:ascii="Times New Roman" w:hAnsi="Times New Roman"/>
          <w:b/>
          <w:bCs/>
          <w:sz w:val="24"/>
        </w:rPr>
      </w:pPr>
      <w:r>
        <w:rPr>
          <w:rFonts w:ascii="Times New Roman" w:hAnsi="Times New Roman"/>
          <w:b/>
          <w:bCs/>
          <w:sz w:val="24"/>
        </w:rPr>
        <w:t>（三）中子发生器，包括中子管，但不包括放射性中子源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6"/>
        <w:gridCol w:w="537"/>
        <w:gridCol w:w="567"/>
        <w:gridCol w:w="804"/>
        <w:gridCol w:w="1323"/>
        <w:gridCol w:w="1275"/>
        <w:gridCol w:w="1560"/>
        <w:gridCol w:w="1134"/>
        <w:gridCol w:w="1134"/>
        <w:gridCol w:w="1275"/>
        <w:gridCol w:w="1276"/>
        <w:gridCol w:w="709"/>
        <w:gridCol w:w="1366"/>
      </w:tblGrid>
      <w:tr w14:paraId="63FF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Merge w:val="restart"/>
            <w:vAlign w:val="center"/>
          </w:tcPr>
          <w:p w14:paraId="225E0B6A">
            <w:pPr>
              <w:jc w:val="center"/>
              <w:rPr>
                <w:rFonts w:ascii="Times New Roman" w:hAnsi="Times New Roman"/>
                <w:szCs w:val="21"/>
              </w:rPr>
            </w:pPr>
            <w:r>
              <w:rPr>
                <w:rFonts w:ascii="Times New Roman" w:hAnsi="Times New Roman"/>
                <w:szCs w:val="21"/>
              </w:rPr>
              <w:t>序号</w:t>
            </w:r>
          </w:p>
        </w:tc>
        <w:tc>
          <w:tcPr>
            <w:tcW w:w="846" w:type="dxa"/>
            <w:vMerge w:val="restart"/>
            <w:vAlign w:val="center"/>
          </w:tcPr>
          <w:p w14:paraId="0CE8B090">
            <w:pPr>
              <w:jc w:val="center"/>
              <w:rPr>
                <w:rFonts w:ascii="Times New Roman" w:hAnsi="Times New Roman"/>
                <w:szCs w:val="21"/>
              </w:rPr>
            </w:pPr>
            <w:r>
              <w:rPr>
                <w:rFonts w:ascii="Times New Roman" w:hAnsi="Times New Roman"/>
                <w:szCs w:val="21"/>
              </w:rPr>
              <w:t>名称</w:t>
            </w:r>
          </w:p>
        </w:tc>
        <w:tc>
          <w:tcPr>
            <w:tcW w:w="537" w:type="dxa"/>
            <w:vMerge w:val="restart"/>
            <w:vAlign w:val="center"/>
          </w:tcPr>
          <w:p w14:paraId="55CA29A0">
            <w:pPr>
              <w:jc w:val="center"/>
              <w:rPr>
                <w:rFonts w:ascii="Times New Roman" w:hAnsi="Times New Roman"/>
                <w:szCs w:val="21"/>
              </w:rPr>
            </w:pPr>
            <w:r>
              <w:rPr>
                <w:rFonts w:ascii="Times New Roman" w:hAnsi="Times New Roman"/>
                <w:szCs w:val="21"/>
              </w:rPr>
              <w:t>类别</w:t>
            </w:r>
          </w:p>
        </w:tc>
        <w:tc>
          <w:tcPr>
            <w:tcW w:w="567" w:type="dxa"/>
            <w:vMerge w:val="restart"/>
            <w:vAlign w:val="center"/>
          </w:tcPr>
          <w:p w14:paraId="47ABCA7F">
            <w:pPr>
              <w:jc w:val="center"/>
              <w:rPr>
                <w:rFonts w:ascii="Times New Roman" w:hAnsi="Times New Roman"/>
                <w:szCs w:val="21"/>
              </w:rPr>
            </w:pPr>
            <w:r>
              <w:rPr>
                <w:rFonts w:ascii="Times New Roman" w:hAnsi="Times New Roman"/>
                <w:szCs w:val="21"/>
              </w:rPr>
              <w:t>数量</w:t>
            </w:r>
          </w:p>
        </w:tc>
        <w:tc>
          <w:tcPr>
            <w:tcW w:w="804" w:type="dxa"/>
            <w:vMerge w:val="restart"/>
            <w:vAlign w:val="center"/>
          </w:tcPr>
          <w:p w14:paraId="24844F24">
            <w:pPr>
              <w:jc w:val="center"/>
              <w:rPr>
                <w:rFonts w:ascii="Times New Roman" w:hAnsi="Times New Roman"/>
                <w:szCs w:val="21"/>
              </w:rPr>
            </w:pPr>
            <w:r>
              <w:rPr>
                <w:rFonts w:ascii="Times New Roman" w:hAnsi="Times New Roman"/>
                <w:szCs w:val="21"/>
              </w:rPr>
              <w:t>型号</w:t>
            </w:r>
          </w:p>
        </w:tc>
        <w:tc>
          <w:tcPr>
            <w:tcW w:w="1323" w:type="dxa"/>
            <w:vMerge w:val="restart"/>
            <w:vAlign w:val="center"/>
          </w:tcPr>
          <w:p w14:paraId="02DCEC3A">
            <w:pPr>
              <w:jc w:val="center"/>
              <w:rPr>
                <w:rFonts w:ascii="Times New Roman" w:hAnsi="Times New Roman"/>
                <w:szCs w:val="21"/>
              </w:rPr>
            </w:pPr>
            <w:r>
              <w:rPr>
                <w:rFonts w:ascii="Times New Roman" w:hAnsi="Times New Roman"/>
                <w:szCs w:val="21"/>
              </w:rPr>
              <w:t>最大管电压（kV）</w:t>
            </w:r>
          </w:p>
        </w:tc>
        <w:tc>
          <w:tcPr>
            <w:tcW w:w="1275" w:type="dxa"/>
            <w:vMerge w:val="restart"/>
            <w:vAlign w:val="center"/>
          </w:tcPr>
          <w:p w14:paraId="705F1FDE">
            <w:pPr>
              <w:jc w:val="center"/>
              <w:rPr>
                <w:rFonts w:ascii="Times New Roman" w:hAnsi="Times New Roman"/>
                <w:szCs w:val="21"/>
              </w:rPr>
            </w:pPr>
            <w:r>
              <w:rPr>
                <w:rFonts w:ascii="Times New Roman" w:hAnsi="Times New Roman"/>
                <w:szCs w:val="21"/>
              </w:rPr>
              <w:t>最大靶电流（μA）</w:t>
            </w:r>
          </w:p>
        </w:tc>
        <w:tc>
          <w:tcPr>
            <w:tcW w:w="1560" w:type="dxa"/>
            <w:vMerge w:val="restart"/>
            <w:vAlign w:val="center"/>
          </w:tcPr>
          <w:p w14:paraId="0C568DB3">
            <w:pPr>
              <w:rPr>
                <w:rFonts w:ascii="Times New Roman" w:hAnsi="Times New Roman"/>
                <w:szCs w:val="21"/>
              </w:rPr>
            </w:pPr>
            <w:r>
              <w:rPr>
                <w:rFonts w:ascii="Times New Roman" w:hAnsi="Times New Roman"/>
                <w:szCs w:val="21"/>
              </w:rPr>
              <w:t>中子强度（n/s）</w:t>
            </w:r>
          </w:p>
        </w:tc>
        <w:tc>
          <w:tcPr>
            <w:tcW w:w="1134" w:type="dxa"/>
            <w:vMerge w:val="restart"/>
            <w:vAlign w:val="center"/>
          </w:tcPr>
          <w:p w14:paraId="6F86D4C8">
            <w:pPr>
              <w:jc w:val="center"/>
              <w:rPr>
                <w:rFonts w:ascii="Times New Roman" w:hAnsi="Times New Roman"/>
                <w:szCs w:val="21"/>
              </w:rPr>
            </w:pPr>
            <w:r>
              <w:rPr>
                <w:rFonts w:ascii="Times New Roman" w:hAnsi="Times New Roman"/>
                <w:szCs w:val="21"/>
              </w:rPr>
              <w:t>用途</w:t>
            </w:r>
          </w:p>
        </w:tc>
        <w:tc>
          <w:tcPr>
            <w:tcW w:w="1134" w:type="dxa"/>
            <w:vMerge w:val="restart"/>
            <w:vAlign w:val="center"/>
          </w:tcPr>
          <w:p w14:paraId="229DE4CF">
            <w:pPr>
              <w:jc w:val="center"/>
              <w:rPr>
                <w:rFonts w:ascii="Times New Roman" w:hAnsi="Times New Roman"/>
                <w:szCs w:val="21"/>
              </w:rPr>
            </w:pPr>
            <w:r>
              <w:rPr>
                <w:rFonts w:ascii="Times New Roman" w:hAnsi="Times New Roman"/>
                <w:szCs w:val="21"/>
              </w:rPr>
              <w:t>工作场所</w:t>
            </w:r>
          </w:p>
        </w:tc>
        <w:tc>
          <w:tcPr>
            <w:tcW w:w="3260" w:type="dxa"/>
            <w:gridSpan w:val="3"/>
            <w:vAlign w:val="center"/>
          </w:tcPr>
          <w:p w14:paraId="1E5F9F42">
            <w:pPr>
              <w:jc w:val="center"/>
              <w:rPr>
                <w:rFonts w:ascii="Times New Roman" w:hAnsi="Times New Roman"/>
                <w:szCs w:val="21"/>
              </w:rPr>
            </w:pPr>
            <w:r>
              <w:rPr>
                <w:rFonts w:ascii="Times New Roman" w:hAnsi="Times New Roman"/>
                <w:szCs w:val="21"/>
              </w:rPr>
              <w:t>氚靶情况</w:t>
            </w:r>
          </w:p>
        </w:tc>
        <w:tc>
          <w:tcPr>
            <w:tcW w:w="1366" w:type="dxa"/>
            <w:vMerge w:val="restart"/>
            <w:vAlign w:val="center"/>
          </w:tcPr>
          <w:p w14:paraId="556D7A72">
            <w:pPr>
              <w:jc w:val="center"/>
              <w:rPr>
                <w:rFonts w:ascii="Times New Roman" w:hAnsi="Times New Roman"/>
                <w:szCs w:val="21"/>
              </w:rPr>
            </w:pPr>
            <w:r>
              <w:rPr>
                <w:rFonts w:ascii="Times New Roman" w:hAnsi="Times New Roman"/>
                <w:szCs w:val="21"/>
              </w:rPr>
              <w:t>备注</w:t>
            </w:r>
          </w:p>
        </w:tc>
      </w:tr>
      <w:tr w14:paraId="5F99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Merge w:val="continue"/>
            <w:vAlign w:val="center"/>
          </w:tcPr>
          <w:p w14:paraId="5476D544">
            <w:pPr>
              <w:jc w:val="center"/>
              <w:rPr>
                <w:rFonts w:ascii="Times New Roman" w:hAnsi="Times New Roman"/>
                <w:szCs w:val="21"/>
              </w:rPr>
            </w:pPr>
          </w:p>
        </w:tc>
        <w:tc>
          <w:tcPr>
            <w:tcW w:w="846" w:type="dxa"/>
            <w:vMerge w:val="continue"/>
            <w:vAlign w:val="center"/>
          </w:tcPr>
          <w:p w14:paraId="6DE06672">
            <w:pPr>
              <w:jc w:val="center"/>
              <w:rPr>
                <w:rFonts w:ascii="Times New Roman" w:hAnsi="Times New Roman"/>
                <w:szCs w:val="21"/>
              </w:rPr>
            </w:pPr>
          </w:p>
        </w:tc>
        <w:tc>
          <w:tcPr>
            <w:tcW w:w="537" w:type="dxa"/>
            <w:vMerge w:val="continue"/>
            <w:vAlign w:val="center"/>
          </w:tcPr>
          <w:p w14:paraId="54C70DF6">
            <w:pPr>
              <w:jc w:val="center"/>
              <w:rPr>
                <w:rFonts w:ascii="Times New Roman" w:hAnsi="Times New Roman"/>
                <w:szCs w:val="21"/>
              </w:rPr>
            </w:pPr>
          </w:p>
        </w:tc>
        <w:tc>
          <w:tcPr>
            <w:tcW w:w="567" w:type="dxa"/>
            <w:vMerge w:val="continue"/>
            <w:vAlign w:val="center"/>
          </w:tcPr>
          <w:p w14:paraId="736F7B98">
            <w:pPr>
              <w:jc w:val="center"/>
              <w:rPr>
                <w:rFonts w:ascii="Times New Roman" w:hAnsi="Times New Roman"/>
                <w:szCs w:val="21"/>
              </w:rPr>
            </w:pPr>
          </w:p>
        </w:tc>
        <w:tc>
          <w:tcPr>
            <w:tcW w:w="804" w:type="dxa"/>
            <w:vMerge w:val="continue"/>
            <w:vAlign w:val="center"/>
          </w:tcPr>
          <w:p w14:paraId="16E55F45">
            <w:pPr>
              <w:jc w:val="center"/>
              <w:rPr>
                <w:rFonts w:ascii="Times New Roman" w:hAnsi="Times New Roman"/>
                <w:szCs w:val="21"/>
              </w:rPr>
            </w:pPr>
          </w:p>
        </w:tc>
        <w:tc>
          <w:tcPr>
            <w:tcW w:w="1323" w:type="dxa"/>
            <w:vMerge w:val="continue"/>
            <w:vAlign w:val="center"/>
          </w:tcPr>
          <w:p w14:paraId="7884A704">
            <w:pPr>
              <w:jc w:val="center"/>
              <w:rPr>
                <w:rFonts w:ascii="Times New Roman" w:hAnsi="Times New Roman"/>
                <w:szCs w:val="21"/>
              </w:rPr>
            </w:pPr>
          </w:p>
        </w:tc>
        <w:tc>
          <w:tcPr>
            <w:tcW w:w="1275" w:type="dxa"/>
            <w:vMerge w:val="continue"/>
            <w:vAlign w:val="center"/>
          </w:tcPr>
          <w:p w14:paraId="14083333">
            <w:pPr>
              <w:jc w:val="center"/>
              <w:rPr>
                <w:rFonts w:ascii="Times New Roman" w:hAnsi="Times New Roman"/>
                <w:szCs w:val="21"/>
              </w:rPr>
            </w:pPr>
          </w:p>
        </w:tc>
        <w:tc>
          <w:tcPr>
            <w:tcW w:w="1560" w:type="dxa"/>
            <w:vMerge w:val="continue"/>
            <w:vAlign w:val="center"/>
          </w:tcPr>
          <w:p w14:paraId="19A0F0FD">
            <w:pPr>
              <w:rPr>
                <w:rFonts w:ascii="Times New Roman" w:hAnsi="Times New Roman"/>
                <w:szCs w:val="21"/>
              </w:rPr>
            </w:pPr>
          </w:p>
        </w:tc>
        <w:tc>
          <w:tcPr>
            <w:tcW w:w="1134" w:type="dxa"/>
            <w:vMerge w:val="continue"/>
            <w:vAlign w:val="center"/>
          </w:tcPr>
          <w:p w14:paraId="4E49DBFF">
            <w:pPr>
              <w:jc w:val="center"/>
              <w:rPr>
                <w:rFonts w:ascii="Times New Roman" w:hAnsi="Times New Roman"/>
                <w:szCs w:val="21"/>
              </w:rPr>
            </w:pPr>
          </w:p>
        </w:tc>
        <w:tc>
          <w:tcPr>
            <w:tcW w:w="1134" w:type="dxa"/>
            <w:vMerge w:val="continue"/>
            <w:vAlign w:val="center"/>
          </w:tcPr>
          <w:p w14:paraId="0289A76C">
            <w:pPr>
              <w:jc w:val="center"/>
              <w:rPr>
                <w:rFonts w:ascii="Times New Roman" w:hAnsi="Times New Roman"/>
                <w:szCs w:val="21"/>
              </w:rPr>
            </w:pPr>
          </w:p>
        </w:tc>
        <w:tc>
          <w:tcPr>
            <w:tcW w:w="1275" w:type="dxa"/>
            <w:vAlign w:val="center"/>
          </w:tcPr>
          <w:p w14:paraId="75E88F48">
            <w:pPr>
              <w:jc w:val="center"/>
              <w:rPr>
                <w:rFonts w:ascii="Times New Roman" w:hAnsi="Times New Roman"/>
                <w:szCs w:val="21"/>
              </w:rPr>
            </w:pPr>
            <w:r>
              <w:rPr>
                <w:rFonts w:ascii="Times New Roman" w:hAnsi="Times New Roman"/>
                <w:szCs w:val="21"/>
              </w:rPr>
              <w:t>活度（Bq）</w:t>
            </w:r>
          </w:p>
        </w:tc>
        <w:tc>
          <w:tcPr>
            <w:tcW w:w="1276" w:type="dxa"/>
            <w:vAlign w:val="center"/>
          </w:tcPr>
          <w:p w14:paraId="75CDAE13">
            <w:pPr>
              <w:jc w:val="center"/>
              <w:rPr>
                <w:rFonts w:ascii="Times New Roman" w:hAnsi="Times New Roman"/>
                <w:szCs w:val="21"/>
              </w:rPr>
            </w:pPr>
            <w:r>
              <w:rPr>
                <w:rFonts w:ascii="Times New Roman" w:hAnsi="Times New Roman"/>
                <w:szCs w:val="21"/>
              </w:rPr>
              <w:t>贮存方式</w:t>
            </w:r>
          </w:p>
        </w:tc>
        <w:tc>
          <w:tcPr>
            <w:tcW w:w="709" w:type="dxa"/>
            <w:vAlign w:val="center"/>
          </w:tcPr>
          <w:p w14:paraId="6E9BF57A">
            <w:pPr>
              <w:jc w:val="center"/>
              <w:rPr>
                <w:rFonts w:ascii="Times New Roman" w:hAnsi="Times New Roman"/>
                <w:szCs w:val="21"/>
              </w:rPr>
            </w:pPr>
            <w:r>
              <w:rPr>
                <w:rFonts w:ascii="Times New Roman" w:hAnsi="Times New Roman"/>
                <w:szCs w:val="21"/>
              </w:rPr>
              <w:t>数量</w:t>
            </w:r>
          </w:p>
        </w:tc>
        <w:tc>
          <w:tcPr>
            <w:tcW w:w="1366" w:type="dxa"/>
            <w:vMerge w:val="continue"/>
            <w:vAlign w:val="center"/>
          </w:tcPr>
          <w:p w14:paraId="70253CC8">
            <w:pPr>
              <w:jc w:val="center"/>
              <w:rPr>
                <w:rFonts w:ascii="Times New Roman" w:hAnsi="Times New Roman"/>
                <w:szCs w:val="21"/>
              </w:rPr>
            </w:pPr>
          </w:p>
        </w:tc>
      </w:tr>
      <w:tr w14:paraId="1601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26" w:type="dxa"/>
            <w:vAlign w:val="center"/>
          </w:tcPr>
          <w:p w14:paraId="289DC39F">
            <w:pPr>
              <w:rPr>
                <w:rFonts w:ascii="Times New Roman" w:hAnsi="Times New Roman"/>
              </w:rPr>
            </w:pPr>
            <w:r>
              <w:rPr>
                <w:rFonts w:ascii="Times New Roman" w:hAnsi="Times New Roman"/>
              </w:rPr>
              <w:t>/</w:t>
            </w:r>
          </w:p>
        </w:tc>
        <w:tc>
          <w:tcPr>
            <w:tcW w:w="846" w:type="dxa"/>
            <w:vAlign w:val="center"/>
          </w:tcPr>
          <w:p w14:paraId="47666282">
            <w:pPr>
              <w:jc w:val="center"/>
              <w:rPr>
                <w:rFonts w:ascii="Times New Roman" w:hAnsi="Times New Roman"/>
              </w:rPr>
            </w:pPr>
            <w:r>
              <w:rPr>
                <w:rFonts w:ascii="Times New Roman" w:hAnsi="Times New Roman"/>
              </w:rPr>
              <w:t>/</w:t>
            </w:r>
          </w:p>
        </w:tc>
        <w:tc>
          <w:tcPr>
            <w:tcW w:w="537" w:type="dxa"/>
            <w:vAlign w:val="center"/>
          </w:tcPr>
          <w:p w14:paraId="3DDDF476">
            <w:pPr>
              <w:jc w:val="center"/>
              <w:rPr>
                <w:rFonts w:ascii="Times New Roman" w:hAnsi="Times New Roman"/>
              </w:rPr>
            </w:pPr>
            <w:r>
              <w:rPr>
                <w:rFonts w:ascii="Times New Roman" w:hAnsi="Times New Roman"/>
              </w:rPr>
              <w:t>/</w:t>
            </w:r>
          </w:p>
        </w:tc>
        <w:tc>
          <w:tcPr>
            <w:tcW w:w="567" w:type="dxa"/>
            <w:vAlign w:val="center"/>
          </w:tcPr>
          <w:p w14:paraId="06F8278A">
            <w:pPr>
              <w:jc w:val="center"/>
              <w:rPr>
                <w:rFonts w:ascii="Times New Roman" w:hAnsi="Times New Roman"/>
              </w:rPr>
            </w:pPr>
            <w:r>
              <w:rPr>
                <w:rFonts w:ascii="Times New Roman" w:hAnsi="Times New Roman"/>
              </w:rPr>
              <w:t>/</w:t>
            </w:r>
          </w:p>
        </w:tc>
        <w:tc>
          <w:tcPr>
            <w:tcW w:w="804" w:type="dxa"/>
            <w:vAlign w:val="center"/>
          </w:tcPr>
          <w:p w14:paraId="79119659">
            <w:pPr>
              <w:jc w:val="center"/>
              <w:rPr>
                <w:rFonts w:ascii="Times New Roman" w:hAnsi="Times New Roman"/>
              </w:rPr>
            </w:pPr>
            <w:r>
              <w:rPr>
                <w:rFonts w:ascii="Times New Roman" w:hAnsi="Times New Roman"/>
              </w:rPr>
              <w:t>/</w:t>
            </w:r>
          </w:p>
        </w:tc>
        <w:tc>
          <w:tcPr>
            <w:tcW w:w="1323" w:type="dxa"/>
            <w:vAlign w:val="center"/>
          </w:tcPr>
          <w:p w14:paraId="32C1BD88">
            <w:pPr>
              <w:jc w:val="center"/>
              <w:rPr>
                <w:rFonts w:ascii="Times New Roman" w:hAnsi="Times New Roman"/>
              </w:rPr>
            </w:pPr>
            <w:r>
              <w:rPr>
                <w:rFonts w:ascii="Times New Roman" w:hAnsi="Times New Roman"/>
              </w:rPr>
              <w:t>/</w:t>
            </w:r>
          </w:p>
        </w:tc>
        <w:tc>
          <w:tcPr>
            <w:tcW w:w="1275" w:type="dxa"/>
            <w:vAlign w:val="center"/>
          </w:tcPr>
          <w:p w14:paraId="4D90E525">
            <w:pPr>
              <w:jc w:val="center"/>
              <w:rPr>
                <w:rFonts w:ascii="Times New Roman" w:hAnsi="Times New Roman"/>
              </w:rPr>
            </w:pPr>
            <w:r>
              <w:rPr>
                <w:rFonts w:ascii="Times New Roman" w:hAnsi="Times New Roman"/>
              </w:rPr>
              <w:t>/</w:t>
            </w:r>
          </w:p>
        </w:tc>
        <w:tc>
          <w:tcPr>
            <w:tcW w:w="1560" w:type="dxa"/>
            <w:vAlign w:val="center"/>
          </w:tcPr>
          <w:p w14:paraId="4AB39502">
            <w:pPr>
              <w:jc w:val="center"/>
              <w:rPr>
                <w:rFonts w:ascii="Times New Roman" w:hAnsi="Times New Roman"/>
              </w:rPr>
            </w:pPr>
            <w:r>
              <w:rPr>
                <w:rFonts w:ascii="Times New Roman" w:hAnsi="Times New Roman"/>
              </w:rPr>
              <w:t>/</w:t>
            </w:r>
          </w:p>
        </w:tc>
        <w:tc>
          <w:tcPr>
            <w:tcW w:w="1134" w:type="dxa"/>
            <w:vAlign w:val="center"/>
          </w:tcPr>
          <w:p w14:paraId="66683C06">
            <w:pPr>
              <w:jc w:val="center"/>
              <w:rPr>
                <w:rFonts w:ascii="Times New Roman" w:hAnsi="Times New Roman"/>
              </w:rPr>
            </w:pPr>
            <w:r>
              <w:rPr>
                <w:rFonts w:ascii="Times New Roman" w:hAnsi="Times New Roman"/>
              </w:rPr>
              <w:t>/</w:t>
            </w:r>
          </w:p>
        </w:tc>
        <w:tc>
          <w:tcPr>
            <w:tcW w:w="1134" w:type="dxa"/>
            <w:vAlign w:val="center"/>
          </w:tcPr>
          <w:p w14:paraId="47D3AB43">
            <w:pPr>
              <w:jc w:val="center"/>
              <w:rPr>
                <w:rFonts w:ascii="Times New Roman" w:hAnsi="Times New Roman"/>
              </w:rPr>
            </w:pPr>
            <w:r>
              <w:rPr>
                <w:rFonts w:ascii="Times New Roman" w:hAnsi="Times New Roman"/>
              </w:rPr>
              <w:t>/</w:t>
            </w:r>
          </w:p>
        </w:tc>
        <w:tc>
          <w:tcPr>
            <w:tcW w:w="1275" w:type="dxa"/>
            <w:vAlign w:val="center"/>
          </w:tcPr>
          <w:p w14:paraId="1E5E1790">
            <w:pPr>
              <w:jc w:val="center"/>
              <w:rPr>
                <w:rFonts w:ascii="Times New Roman" w:hAnsi="Times New Roman"/>
              </w:rPr>
            </w:pPr>
            <w:r>
              <w:rPr>
                <w:rFonts w:ascii="Times New Roman" w:hAnsi="Times New Roman"/>
              </w:rPr>
              <w:t>/</w:t>
            </w:r>
          </w:p>
        </w:tc>
        <w:tc>
          <w:tcPr>
            <w:tcW w:w="1276" w:type="dxa"/>
            <w:vAlign w:val="center"/>
          </w:tcPr>
          <w:p w14:paraId="1ABAAA35">
            <w:pPr>
              <w:jc w:val="center"/>
              <w:rPr>
                <w:rFonts w:ascii="Times New Roman" w:hAnsi="Times New Roman"/>
              </w:rPr>
            </w:pPr>
            <w:r>
              <w:rPr>
                <w:rFonts w:ascii="Times New Roman" w:hAnsi="Times New Roman"/>
              </w:rPr>
              <w:t>/</w:t>
            </w:r>
          </w:p>
        </w:tc>
        <w:tc>
          <w:tcPr>
            <w:tcW w:w="709" w:type="dxa"/>
            <w:vAlign w:val="center"/>
          </w:tcPr>
          <w:p w14:paraId="06208441">
            <w:pPr>
              <w:jc w:val="center"/>
              <w:rPr>
                <w:rFonts w:ascii="Times New Roman" w:hAnsi="Times New Roman"/>
              </w:rPr>
            </w:pPr>
            <w:r>
              <w:rPr>
                <w:rFonts w:ascii="Times New Roman" w:hAnsi="Times New Roman"/>
              </w:rPr>
              <w:t>/</w:t>
            </w:r>
          </w:p>
        </w:tc>
        <w:tc>
          <w:tcPr>
            <w:tcW w:w="1366" w:type="dxa"/>
            <w:vAlign w:val="center"/>
          </w:tcPr>
          <w:p w14:paraId="287E72A7">
            <w:pPr>
              <w:jc w:val="center"/>
              <w:rPr>
                <w:rFonts w:ascii="Times New Roman" w:hAnsi="Times New Roman"/>
              </w:rPr>
            </w:pPr>
            <w:r>
              <w:rPr>
                <w:rFonts w:ascii="Times New Roman" w:hAnsi="Times New Roman"/>
              </w:rPr>
              <w:t>/</w:t>
            </w:r>
          </w:p>
        </w:tc>
      </w:tr>
    </w:tbl>
    <w:p w14:paraId="5C5062DE">
      <w:pPr>
        <w:pStyle w:val="14"/>
        <w:jc w:val="left"/>
        <w:outlineLvl w:val="0"/>
        <w:rPr>
          <w:rFonts w:ascii="Times New Roman" w:hAnsi="Times New Roman"/>
          <w:b/>
          <w:bCs/>
          <w:sz w:val="30"/>
          <w:szCs w:val="30"/>
        </w:rPr>
        <w:sectPr>
          <w:pgSz w:w="16838" w:h="11906" w:orient="landscape"/>
          <w:pgMar w:top="1701" w:right="1418" w:bottom="1418" w:left="1418" w:header="851" w:footer="851" w:gutter="0"/>
          <w:cols w:space="720" w:num="1"/>
          <w:docGrid w:linePitch="312" w:charSpace="0"/>
        </w:sectPr>
      </w:pPr>
      <w:bookmarkStart w:id="23" w:name="_Toc436229746"/>
    </w:p>
    <w:p w14:paraId="1A88E1C1">
      <w:pPr>
        <w:pStyle w:val="14"/>
        <w:spacing w:after="120" w:afterLines="50"/>
        <w:jc w:val="left"/>
        <w:outlineLvl w:val="0"/>
        <w:rPr>
          <w:rFonts w:ascii="Times New Roman" w:hAnsi="Times New Roman"/>
          <w:b/>
          <w:bCs/>
          <w:szCs w:val="28"/>
        </w:rPr>
      </w:pPr>
      <w:bookmarkStart w:id="24" w:name="_Toc188277742"/>
      <w:r>
        <w:rPr>
          <w:rFonts w:ascii="Times New Roman" w:hAnsi="Times New Roman"/>
          <w:b/>
          <w:bCs/>
          <w:szCs w:val="28"/>
        </w:rPr>
        <w:t>表5 废弃物（重点是放射性废弃物）</w:t>
      </w:r>
      <w:bookmarkEnd w:id="24"/>
    </w:p>
    <w:bookmarkEnd w:id="23"/>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749"/>
        <w:gridCol w:w="1172"/>
        <w:gridCol w:w="693"/>
        <w:gridCol w:w="916"/>
        <w:gridCol w:w="879"/>
        <w:gridCol w:w="919"/>
        <w:gridCol w:w="1148"/>
        <w:gridCol w:w="1400"/>
      </w:tblGrid>
      <w:tr w14:paraId="7CA6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shd w:val="clear" w:color="auto" w:fill="auto"/>
            <w:vAlign w:val="center"/>
          </w:tcPr>
          <w:p w14:paraId="10495D44">
            <w:pPr>
              <w:pStyle w:val="14"/>
              <w:jc w:val="center"/>
              <w:rPr>
                <w:rFonts w:ascii="Times New Roman" w:hAnsi="Times New Roman"/>
                <w:bCs/>
                <w:sz w:val="21"/>
                <w:szCs w:val="21"/>
              </w:rPr>
            </w:pPr>
            <w:r>
              <w:rPr>
                <w:rFonts w:ascii="Times New Roman" w:hAnsi="Times New Roman"/>
                <w:bCs/>
                <w:sz w:val="21"/>
                <w:szCs w:val="21"/>
              </w:rPr>
              <w:t>名称</w:t>
            </w:r>
          </w:p>
        </w:tc>
        <w:tc>
          <w:tcPr>
            <w:tcW w:w="403" w:type="pct"/>
            <w:shd w:val="clear" w:color="auto" w:fill="auto"/>
            <w:vAlign w:val="center"/>
          </w:tcPr>
          <w:p w14:paraId="698BBD5C">
            <w:pPr>
              <w:pStyle w:val="14"/>
              <w:jc w:val="center"/>
              <w:rPr>
                <w:rFonts w:ascii="Times New Roman" w:hAnsi="Times New Roman"/>
                <w:bCs/>
                <w:sz w:val="21"/>
                <w:szCs w:val="21"/>
              </w:rPr>
            </w:pPr>
            <w:r>
              <w:rPr>
                <w:rFonts w:ascii="Times New Roman" w:hAnsi="Times New Roman"/>
                <w:bCs/>
                <w:sz w:val="21"/>
                <w:szCs w:val="21"/>
              </w:rPr>
              <w:t>状态</w:t>
            </w:r>
          </w:p>
        </w:tc>
        <w:tc>
          <w:tcPr>
            <w:tcW w:w="631" w:type="pct"/>
            <w:shd w:val="clear" w:color="auto" w:fill="auto"/>
            <w:vAlign w:val="center"/>
          </w:tcPr>
          <w:p w14:paraId="30EC7373">
            <w:pPr>
              <w:pStyle w:val="14"/>
              <w:jc w:val="center"/>
              <w:rPr>
                <w:rFonts w:ascii="Times New Roman" w:hAnsi="Times New Roman"/>
                <w:bCs/>
                <w:sz w:val="21"/>
                <w:szCs w:val="21"/>
              </w:rPr>
            </w:pPr>
            <w:r>
              <w:rPr>
                <w:rFonts w:ascii="Times New Roman" w:hAnsi="Times New Roman"/>
                <w:bCs/>
                <w:sz w:val="21"/>
                <w:szCs w:val="21"/>
              </w:rPr>
              <w:t>核素</w:t>
            </w:r>
          </w:p>
          <w:p w14:paraId="7A15D45F">
            <w:pPr>
              <w:pStyle w:val="14"/>
              <w:jc w:val="center"/>
              <w:rPr>
                <w:rFonts w:ascii="Times New Roman" w:hAnsi="Times New Roman"/>
                <w:bCs/>
                <w:sz w:val="21"/>
                <w:szCs w:val="21"/>
              </w:rPr>
            </w:pPr>
            <w:r>
              <w:rPr>
                <w:rFonts w:ascii="Times New Roman" w:hAnsi="Times New Roman"/>
                <w:bCs/>
                <w:sz w:val="21"/>
                <w:szCs w:val="21"/>
              </w:rPr>
              <w:t>名称</w:t>
            </w:r>
          </w:p>
        </w:tc>
        <w:tc>
          <w:tcPr>
            <w:tcW w:w="373" w:type="pct"/>
            <w:shd w:val="clear" w:color="auto" w:fill="auto"/>
            <w:vAlign w:val="center"/>
          </w:tcPr>
          <w:p w14:paraId="3281394C">
            <w:pPr>
              <w:pStyle w:val="14"/>
              <w:jc w:val="center"/>
              <w:rPr>
                <w:rFonts w:ascii="Times New Roman" w:hAnsi="Times New Roman"/>
                <w:bCs/>
                <w:sz w:val="21"/>
                <w:szCs w:val="21"/>
              </w:rPr>
            </w:pPr>
            <w:r>
              <w:rPr>
                <w:rFonts w:ascii="Times New Roman" w:hAnsi="Times New Roman"/>
                <w:bCs/>
                <w:sz w:val="21"/>
                <w:szCs w:val="21"/>
              </w:rPr>
              <w:t>活度</w:t>
            </w:r>
          </w:p>
        </w:tc>
        <w:tc>
          <w:tcPr>
            <w:tcW w:w="493" w:type="pct"/>
            <w:shd w:val="clear" w:color="auto" w:fill="auto"/>
            <w:vAlign w:val="center"/>
          </w:tcPr>
          <w:p w14:paraId="227FEAF5">
            <w:pPr>
              <w:pStyle w:val="14"/>
              <w:jc w:val="center"/>
              <w:rPr>
                <w:rFonts w:ascii="Times New Roman" w:hAnsi="Times New Roman"/>
                <w:bCs/>
                <w:sz w:val="21"/>
                <w:szCs w:val="21"/>
              </w:rPr>
            </w:pPr>
            <w:r>
              <w:rPr>
                <w:rFonts w:ascii="Times New Roman" w:hAnsi="Times New Roman"/>
                <w:bCs/>
                <w:sz w:val="21"/>
                <w:szCs w:val="21"/>
              </w:rPr>
              <w:t>月排</w:t>
            </w:r>
          </w:p>
          <w:p w14:paraId="20658462">
            <w:pPr>
              <w:pStyle w:val="14"/>
              <w:jc w:val="center"/>
              <w:rPr>
                <w:rFonts w:ascii="Times New Roman" w:hAnsi="Times New Roman"/>
                <w:bCs/>
                <w:sz w:val="21"/>
                <w:szCs w:val="21"/>
              </w:rPr>
            </w:pPr>
            <w:r>
              <w:rPr>
                <w:rFonts w:ascii="Times New Roman" w:hAnsi="Times New Roman"/>
                <w:bCs/>
                <w:sz w:val="21"/>
                <w:szCs w:val="21"/>
              </w:rPr>
              <w:t>放量</w:t>
            </w:r>
          </w:p>
        </w:tc>
        <w:tc>
          <w:tcPr>
            <w:tcW w:w="473" w:type="pct"/>
            <w:shd w:val="clear" w:color="auto" w:fill="auto"/>
            <w:vAlign w:val="center"/>
          </w:tcPr>
          <w:p w14:paraId="71947319">
            <w:pPr>
              <w:pStyle w:val="14"/>
              <w:jc w:val="center"/>
              <w:rPr>
                <w:rFonts w:ascii="Times New Roman" w:hAnsi="Times New Roman"/>
                <w:bCs/>
                <w:sz w:val="21"/>
                <w:szCs w:val="21"/>
              </w:rPr>
            </w:pPr>
            <w:r>
              <w:rPr>
                <w:rFonts w:ascii="Times New Roman" w:hAnsi="Times New Roman"/>
                <w:bCs/>
                <w:sz w:val="21"/>
                <w:szCs w:val="21"/>
              </w:rPr>
              <w:t>年排放总量</w:t>
            </w:r>
          </w:p>
        </w:tc>
        <w:tc>
          <w:tcPr>
            <w:tcW w:w="495" w:type="pct"/>
            <w:shd w:val="clear" w:color="auto" w:fill="auto"/>
            <w:vAlign w:val="center"/>
          </w:tcPr>
          <w:p w14:paraId="67107B91">
            <w:pPr>
              <w:pStyle w:val="14"/>
              <w:jc w:val="center"/>
              <w:rPr>
                <w:rFonts w:ascii="Times New Roman" w:hAnsi="Times New Roman"/>
                <w:bCs/>
                <w:sz w:val="21"/>
                <w:szCs w:val="21"/>
              </w:rPr>
            </w:pPr>
            <w:r>
              <w:rPr>
                <w:rFonts w:ascii="Times New Roman" w:hAnsi="Times New Roman"/>
                <w:bCs/>
                <w:sz w:val="21"/>
                <w:szCs w:val="21"/>
              </w:rPr>
              <w:t>排放口浓度</w:t>
            </w:r>
          </w:p>
        </w:tc>
        <w:tc>
          <w:tcPr>
            <w:tcW w:w="618" w:type="pct"/>
            <w:shd w:val="clear" w:color="auto" w:fill="auto"/>
            <w:vAlign w:val="center"/>
          </w:tcPr>
          <w:p w14:paraId="7E6162AE">
            <w:pPr>
              <w:pStyle w:val="14"/>
              <w:jc w:val="center"/>
              <w:rPr>
                <w:rFonts w:ascii="Times New Roman" w:hAnsi="Times New Roman"/>
                <w:bCs/>
                <w:sz w:val="21"/>
                <w:szCs w:val="21"/>
              </w:rPr>
            </w:pPr>
            <w:r>
              <w:rPr>
                <w:rFonts w:ascii="Times New Roman" w:hAnsi="Times New Roman"/>
                <w:bCs/>
                <w:sz w:val="21"/>
                <w:szCs w:val="21"/>
              </w:rPr>
              <w:t>暂存情况</w:t>
            </w:r>
          </w:p>
        </w:tc>
        <w:tc>
          <w:tcPr>
            <w:tcW w:w="754" w:type="pct"/>
            <w:shd w:val="clear" w:color="auto" w:fill="auto"/>
            <w:vAlign w:val="center"/>
          </w:tcPr>
          <w:p w14:paraId="7913BAD2">
            <w:pPr>
              <w:pStyle w:val="14"/>
              <w:jc w:val="center"/>
              <w:rPr>
                <w:rFonts w:ascii="Times New Roman" w:hAnsi="Times New Roman"/>
                <w:bCs/>
                <w:sz w:val="21"/>
                <w:szCs w:val="21"/>
              </w:rPr>
            </w:pPr>
            <w:r>
              <w:rPr>
                <w:rFonts w:ascii="Times New Roman" w:hAnsi="Times New Roman"/>
                <w:bCs/>
                <w:sz w:val="21"/>
                <w:szCs w:val="21"/>
              </w:rPr>
              <w:t>最终</w:t>
            </w:r>
          </w:p>
          <w:p w14:paraId="04F3162F">
            <w:pPr>
              <w:pStyle w:val="14"/>
              <w:jc w:val="center"/>
              <w:rPr>
                <w:rFonts w:ascii="Times New Roman" w:hAnsi="Times New Roman"/>
                <w:bCs/>
                <w:sz w:val="21"/>
                <w:szCs w:val="21"/>
              </w:rPr>
            </w:pPr>
            <w:r>
              <w:rPr>
                <w:rFonts w:ascii="Times New Roman" w:hAnsi="Times New Roman"/>
                <w:bCs/>
                <w:sz w:val="21"/>
                <w:szCs w:val="21"/>
              </w:rPr>
              <w:t>去向</w:t>
            </w:r>
          </w:p>
        </w:tc>
      </w:tr>
      <w:tr w14:paraId="5AD5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2454369F">
            <w:pPr>
              <w:rPr>
                <w:rFonts w:ascii="Times New Roman" w:hAnsi="Times New Roman"/>
                <w:szCs w:val="21"/>
              </w:rPr>
            </w:pPr>
            <w:r>
              <w:rPr>
                <w:rFonts w:ascii="Times New Roman" w:hAnsi="Times New Roman"/>
                <w:szCs w:val="21"/>
              </w:rPr>
              <w:t>废定影液、废显影液（冲洗废水）</w:t>
            </w:r>
          </w:p>
        </w:tc>
        <w:tc>
          <w:tcPr>
            <w:tcW w:w="403" w:type="pct"/>
            <w:shd w:val="clear" w:color="auto" w:fill="auto"/>
            <w:vAlign w:val="center"/>
          </w:tcPr>
          <w:p w14:paraId="4DC029BC">
            <w:pPr>
              <w:jc w:val="center"/>
              <w:rPr>
                <w:rFonts w:ascii="Times New Roman" w:hAnsi="Times New Roman"/>
                <w:szCs w:val="21"/>
              </w:rPr>
            </w:pPr>
            <w:r>
              <w:rPr>
                <w:rFonts w:ascii="Times New Roman" w:hAnsi="Times New Roman"/>
                <w:szCs w:val="21"/>
              </w:rPr>
              <w:t>液态</w:t>
            </w:r>
          </w:p>
        </w:tc>
        <w:tc>
          <w:tcPr>
            <w:tcW w:w="631" w:type="pct"/>
            <w:shd w:val="clear" w:color="auto" w:fill="auto"/>
            <w:vAlign w:val="center"/>
          </w:tcPr>
          <w:p w14:paraId="600DDF12">
            <w:pPr>
              <w:jc w:val="center"/>
              <w:rPr>
                <w:rFonts w:ascii="Times New Roman" w:hAnsi="Times New Roman"/>
                <w:szCs w:val="21"/>
              </w:rPr>
            </w:pPr>
            <w:r>
              <w:rPr>
                <w:rFonts w:ascii="Times New Roman" w:hAnsi="Times New Roman"/>
                <w:szCs w:val="21"/>
              </w:rPr>
              <w:t>/</w:t>
            </w:r>
          </w:p>
        </w:tc>
        <w:tc>
          <w:tcPr>
            <w:tcW w:w="373" w:type="pct"/>
            <w:shd w:val="clear" w:color="auto" w:fill="auto"/>
            <w:vAlign w:val="center"/>
          </w:tcPr>
          <w:p w14:paraId="0F33A436">
            <w:pPr>
              <w:jc w:val="center"/>
              <w:rPr>
                <w:rFonts w:ascii="Times New Roman" w:hAnsi="Times New Roman"/>
                <w:szCs w:val="21"/>
              </w:rPr>
            </w:pPr>
            <w:r>
              <w:rPr>
                <w:rFonts w:ascii="Times New Roman" w:hAnsi="Times New Roman"/>
                <w:szCs w:val="21"/>
              </w:rPr>
              <w:t>/</w:t>
            </w:r>
          </w:p>
        </w:tc>
        <w:tc>
          <w:tcPr>
            <w:tcW w:w="493" w:type="pct"/>
            <w:shd w:val="clear" w:color="auto" w:fill="auto"/>
            <w:vAlign w:val="center"/>
          </w:tcPr>
          <w:p w14:paraId="4B2F69F5">
            <w:pPr>
              <w:jc w:val="center"/>
              <w:rPr>
                <w:rFonts w:ascii="Times New Roman" w:hAnsi="Times New Roman"/>
                <w:szCs w:val="21"/>
              </w:rPr>
            </w:pPr>
            <w:r>
              <w:rPr>
                <w:rFonts w:ascii="Times New Roman" w:hAnsi="Times New Roman"/>
                <w:szCs w:val="21"/>
              </w:rPr>
              <w:t>/</w:t>
            </w:r>
          </w:p>
        </w:tc>
        <w:tc>
          <w:tcPr>
            <w:tcW w:w="473" w:type="pct"/>
            <w:shd w:val="clear" w:color="auto" w:fill="auto"/>
            <w:vAlign w:val="center"/>
          </w:tcPr>
          <w:p w14:paraId="7500BAA3">
            <w:pPr>
              <w:jc w:val="center"/>
              <w:rPr>
                <w:rFonts w:ascii="Times New Roman" w:hAnsi="Times New Roman"/>
                <w:szCs w:val="21"/>
              </w:rPr>
            </w:pPr>
            <w:r>
              <w:rPr>
                <w:rFonts w:ascii="Times New Roman" w:hAnsi="Times New Roman"/>
                <w:szCs w:val="21"/>
              </w:rPr>
              <w:t>120L</w:t>
            </w:r>
          </w:p>
        </w:tc>
        <w:tc>
          <w:tcPr>
            <w:tcW w:w="495" w:type="pct"/>
            <w:shd w:val="clear" w:color="auto" w:fill="auto"/>
            <w:vAlign w:val="center"/>
          </w:tcPr>
          <w:p w14:paraId="3804E8DD">
            <w:pPr>
              <w:jc w:val="center"/>
              <w:rPr>
                <w:rFonts w:ascii="Times New Roman" w:hAnsi="Times New Roman"/>
                <w:szCs w:val="21"/>
              </w:rPr>
            </w:pPr>
            <w:r>
              <w:rPr>
                <w:rFonts w:ascii="Times New Roman" w:hAnsi="Times New Roman"/>
                <w:szCs w:val="21"/>
              </w:rPr>
              <w:t>/</w:t>
            </w:r>
          </w:p>
        </w:tc>
        <w:tc>
          <w:tcPr>
            <w:tcW w:w="618" w:type="pct"/>
            <w:shd w:val="clear" w:color="auto" w:fill="auto"/>
            <w:vAlign w:val="center"/>
          </w:tcPr>
          <w:p w14:paraId="2F66449F">
            <w:pPr>
              <w:jc w:val="center"/>
              <w:rPr>
                <w:rFonts w:ascii="Times New Roman" w:hAnsi="Times New Roman"/>
                <w:szCs w:val="21"/>
              </w:rPr>
            </w:pPr>
            <w:r>
              <w:rPr>
                <w:rFonts w:ascii="Times New Roman" w:hAnsi="Times New Roman"/>
                <w:szCs w:val="21"/>
              </w:rPr>
              <w:t>暂存于危废间内</w:t>
            </w:r>
          </w:p>
        </w:tc>
        <w:tc>
          <w:tcPr>
            <w:tcW w:w="754" w:type="pct"/>
            <w:shd w:val="clear" w:color="auto" w:fill="auto"/>
            <w:vAlign w:val="center"/>
          </w:tcPr>
          <w:p w14:paraId="0163558B">
            <w:pPr>
              <w:rPr>
                <w:rFonts w:ascii="Times New Roman" w:hAnsi="Times New Roman"/>
                <w:szCs w:val="21"/>
              </w:rPr>
            </w:pPr>
            <w:r>
              <w:rPr>
                <w:rFonts w:ascii="Times New Roman" w:hAnsi="Times New Roman"/>
                <w:szCs w:val="21"/>
              </w:rPr>
              <w:t>定期交由有资质的公司收集处置。</w:t>
            </w:r>
          </w:p>
        </w:tc>
      </w:tr>
      <w:tr w14:paraId="44DE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45884864">
            <w:pPr>
              <w:pStyle w:val="14"/>
              <w:jc w:val="center"/>
              <w:rPr>
                <w:rFonts w:ascii="Times New Roman" w:hAnsi="Times New Roman"/>
                <w:bCs/>
                <w:sz w:val="21"/>
                <w:szCs w:val="21"/>
              </w:rPr>
            </w:pPr>
            <w:r>
              <w:rPr>
                <w:rFonts w:ascii="Times New Roman" w:hAnsi="Times New Roman"/>
                <w:bCs/>
                <w:sz w:val="21"/>
                <w:szCs w:val="21"/>
              </w:rPr>
              <w:t>废胶片</w:t>
            </w:r>
          </w:p>
        </w:tc>
        <w:tc>
          <w:tcPr>
            <w:tcW w:w="403" w:type="pct"/>
            <w:shd w:val="clear" w:color="auto" w:fill="auto"/>
            <w:vAlign w:val="center"/>
          </w:tcPr>
          <w:p w14:paraId="184E0E6E">
            <w:pPr>
              <w:pStyle w:val="14"/>
              <w:jc w:val="center"/>
              <w:rPr>
                <w:rFonts w:ascii="Times New Roman" w:hAnsi="Times New Roman"/>
                <w:bCs/>
                <w:sz w:val="21"/>
                <w:szCs w:val="21"/>
              </w:rPr>
            </w:pPr>
            <w:r>
              <w:rPr>
                <w:rFonts w:ascii="Times New Roman" w:hAnsi="Times New Roman"/>
                <w:bCs/>
                <w:sz w:val="21"/>
                <w:szCs w:val="21"/>
              </w:rPr>
              <w:t>固态</w:t>
            </w:r>
          </w:p>
        </w:tc>
        <w:tc>
          <w:tcPr>
            <w:tcW w:w="631" w:type="pct"/>
            <w:shd w:val="clear" w:color="auto" w:fill="auto"/>
            <w:vAlign w:val="center"/>
          </w:tcPr>
          <w:p w14:paraId="058C4D3C">
            <w:pPr>
              <w:pStyle w:val="14"/>
              <w:jc w:val="center"/>
              <w:rPr>
                <w:rFonts w:ascii="Times New Roman" w:hAnsi="Times New Roman"/>
                <w:bCs/>
                <w:sz w:val="21"/>
                <w:szCs w:val="21"/>
              </w:rPr>
            </w:pPr>
            <w:r>
              <w:rPr>
                <w:rFonts w:ascii="Times New Roman" w:hAnsi="Times New Roman"/>
                <w:bCs/>
                <w:sz w:val="21"/>
                <w:szCs w:val="21"/>
              </w:rPr>
              <w:t>/</w:t>
            </w:r>
          </w:p>
        </w:tc>
        <w:tc>
          <w:tcPr>
            <w:tcW w:w="373" w:type="pct"/>
            <w:shd w:val="clear" w:color="auto" w:fill="auto"/>
            <w:vAlign w:val="center"/>
          </w:tcPr>
          <w:p w14:paraId="727B9DE8">
            <w:pPr>
              <w:pStyle w:val="14"/>
              <w:jc w:val="center"/>
              <w:rPr>
                <w:rFonts w:ascii="Times New Roman" w:hAnsi="Times New Roman"/>
                <w:bCs/>
                <w:sz w:val="21"/>
                <w:szCs w:val="21"/>
              </w:rPr>
            </w:pPr>
            <w:r>
              <w:rPr>
                <w:rFonts w:ascii="Times New Roman" w:hAnsi="Times New Roman"/>
                <w:bCs/>
                <w:sz w:val="21"/>
                <w:szCs w:val="21"/>
              </w:rPr>
              <w:t>/</w:t>
            </w:r>
          </w:p>
        </w:tc>
        <w:tc>
          <w:tcPr>
            <w:tcW w:w="493" w:type="pct"/>
            <w:shd w:val="clear" w:color="auto" w:fill="auto"/>
            <w:vAlign w:val="center"/>
          </w:tcPr>
          <w:p w14:paraId="0B65C672">
            <w:pPr>
              <w:pStyle w:val="14"/>
              <w:jc w:val="center"/>
              <w:rPr>
                <w:rFonts w:ascii="Times New Roman" w:hAnsi="Times New Roman"/>
                <w:bCs/>
                <w:sz w:val="21"/>
                <w:szCs w:val="21"/>
              </w:rPr>
            </w:pPr>
            <w:r>
              <w:rPr>
                <w:rFonts w:ascii="Times New Roman" w:hAnsi="Times New Roman"/>
                <w:bCs/>
                <w:sz w:val="21"/>
                <w:szCs w:val="21"/>
              </w:rPr>
              <w:t>/</w:t>
            </w:r>
          </w:p>
        </w:tc>
        <w:tc>
          <w:tcPr>
            <w:tcW w:w="473" w:type="pct"/>
            <w:shd w:val="clear" w:color="auto" w:fill="auto"/>
            <w:vAlign w:val="center"/>
          </w:tcPr>
          <w:p w14:paraId="5A7AABF3">
            <w:pPr>
              <w:pStyle w:val="14"/>
              <w:jc w:val="center"/>
              <w:rPr>
                <w:rFonts w:ascii="Times New Roman" w:hAnsi="Times New Roman"/>
                <w:bCs/>
                <w:sz w:val="21"/>
                <w:szCs w:val="21"/>
              </w:rPr>
            </w:pPr>
            <w:r>
              <w:rPr>
                <w:rFonts w:ascii="Times New Roman" w:hAnsi="Times New Roman"/>
                <w:bCs/>
                <w:sz w:val="21"/>
                <w:szCs w:val="21"/>
              </w:rPr>
              <w:t>800张(32kg)</w:t>
            </w:r>
          </w:p>
        </w:tc>
        <w:tc>
          <w:tcPr>
            <w:tcW w:w="495" w:type="pct"/>
            <w:shd w:val="clear" w:color="auto" w:fill="auto"/>
            <w:vAlign w:val="center"/>
          </w:tcPr>
          <w:p w14:paraId="2F236D62">
            <w:pPr>
              <w:pStyle w:val="14"/>
              <w:jc w:val="center"/>
              <w:rPr>
                <w:rFonts w:ascii="Times New Roman" w:hAnsi="Times New Roman"/>
                <w:bCs/>
                <w:sz w:val="21"/>
                <w:szCs w:val="21"/>
              </w:rPr>
            </w:pPr>
            <w:r>
              <w:rPr>
                <w:rFonts w:ascii="Times New Roman" w:hAnsi="Times New Roman"/>
                <w:bCs/>
                <w:sz w:val="21"/>
                <w:szCs w:val="21"/>
              </w:rPr>
              <w:t>/</w:t>
            </w:r>
          </w:p>
        </w:tc>
        <w:tc>
          <w:tcPr>
            <w:tcW w:w="618" w:type="pct"/>
            <w:shd w:val="clear" w:color="auto" w:fill="auto"/>
            <w:vAlign w:val="center"/>
          </w:tcPr>
          <w:p w14:paraId="7D2815D9">
            <w:pPr>
              <w:pStyle w:val="14"/>
              <w:jc w:val="center"/>
              <w:rPr>
                <w:rFonts w:ascii="Times New Roman" w:hAnsi="Times New Roman"/>
                <w:bCs/>
                <w:sz w:val="21"/>
                <w:szCs w:val="21"/>
              </w:rPr>
            </w:pPr>
            <w:r>
              <w:rPr>
                <w:rFonts w:ascii="Times New Roman" w:hAnsi="Times New Roman"/>
                <w:bCs/>
                <w:sz w:val="21"/>
                <w:szCs w:val="21"/>
              </w:rPr>
              <w:t>暂存于危废间内</w:t>
            </w:r>
          </w:p>
        </w:tc>
        <w:tc>
          <w:tcPr>
            <w:tcW w:w="754" w:type="pct"/>
            <w:shd w:val="clear" w:color="auto" w:fill="auto"/>
            <w:vAlign w:val="center"/>
          </w:tcPr>
          <w:p w14:paraId="05DB3074">
            <w:pPr>
              <w:pStyle w:val="14"/>
              <w:rPr>
                <w:rFonts w:ascii="Times New Roman" w:hAnsi="Times New Roman"/>
                <w:bCs/>
                <w:sz w:val="21"/>
                <w:szCs w:val="21"/>
              </w:rPr>
            </w:pPr>
            <w:r>
              <w:rPr>
                <w:rFonts w:ascii="Times New Roman" w:hAnsi="Times New Roman"/>
                <w:bCs/>
                <w:sz w:val="21"/>
                <w:szCs w:val="21"/>
              </w:rPr>
              <w:t>定期交由有资质的公司收集处置。</w:t>
            </w:r>
          </w:p>
        </w:tc>
      </w:tr>
      <w:tr w14:paraId="2C90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27F24D7C">
            <w:pPr>
              <w:pStyle w:val="14"/>
              <w:jc w:val="center"/>
              <w:rPr>
                <w:rFonts w:ascii="Times New Roman" w:hAnsi="Times New Roman"/>
                <w:bCs/>
                <w:sz w:val="21"/>
                <w:szCs w:val="21"/>
              </w:rPr>
            </w:pPr>
            <w:r>
              <w:rPr>
                <w:rFonts w:ascii="Times New Roman" w:hAnsi="Times New Roman"/>
                <w:bCs/>
                <w:sz w:val="21"/>
                <w:szCs w:val="21"/>
              </w:rPr>
              <w:t>臭氧、氮氧化物</w:t>
            </w:r>
          </w:p>
        </w:tc>
        <w:tc>
          <w:tcPr>
            <w:tcW w:w="403" w:type="pct"/>
            <w:shd w:val="clear" w:color="auto" w:fill="auto"/>
            <w:vAlign w:val="center"/>
          </w:tcPr>
          <w:p w14:paraId="159361BF">
            <w:pPr>
              <w:pStyle w:val="14"/>
              <w:jc w:val="center"/>
              <w:rPr>
                <w:rFonts w:ascii="Times New Roman" w:hAnsi="Times New Roman"/>
                <w:bCs/>
                <w:sz w:val="21"/>
                <w:szCs w:val="21"/>
              </w:rPr>
            </w:pPr>
            <w:r>
              <w:rPr>
                <w:rFonts w:ascii="Times New Roman" w:hAnsi="Times New Roman"/>
                <w:bCs/>
                <w:sz w:val="21"/>
                <w:szCs w:val="21"/>
              </w:rPr>
              <w:t>气态</w:t>
            </w:r>
          </w:p>
        </w:tc>
        <w:tc>
          <w:tcPr>
            <w:tcW w:w="631" w:type="pct"/>
            <w:shd w:val="clear" w:color="auto" w:fill="auto"/>
            <w:vAlign w:val="center"/>
          </w:tcPr>
          <w:p w14:paraId="52198BBE">
            <w:pPr>
              <w:jc w:val="center"/>
              <w:rPr>
                <w:rFonts w:ascii="Times New Roman" w:hAnsi="Times New Roman"/>
                <w:szCs w:val="21"/>
              </w:rPr>
            </w:pPr>
            <w:r>
              <w:rPr>
                <w:rFonts w:ascii="Times New Roman" w:hAnsi="Times New Roman"/>
                <w:szCs w:val="21"/>
              </w:rPr>
              <w:t>/</w:t>
            </w:r>
          </w:p>
        </w:tc>
        <w:tc>
          <w:tcPr>
            <w:tcW w:w="373" w:type="pct"/>
            <w:shd w:val="clear" w:color="auto" w:fill="auto"/>
            <w:vAlign w:val="center"/>
          </w:tcPr>
          <w:p w14:paraId="3912CA12">
            <w:pPr>
              <w:jc w:val="center"/>
              <w:rPr>
                <w:rFonts w:ascii="Times New Roman" w:hAnsi="Times New Roman"/>
                <w:szCs w:val="21"/>
              </w:rPr>
            </w:pPr>
            <w:r>
              <w:rPr>
                <w:rFonts w:ascii="Times New Roman" w:hAnsi="Times New Roman"/>
                <w:szCs w:val="21"/>
              </w:rPr>
              <w:t>/</w:t>
            </w:r>
          </w:p>
        </w:tc>
        <w:tc>
          <w:tcPr>
            <w:tcW w:w="493" w:type="pct"/>
            <w:shd w:val="clear" w:color="auto" w:fill="auto"/>
            <w:vAlign w:val="center"/>
          </w:tcPr>
          <w:p w14:paraId="20DEEA69">
            <w:pPr>
              <w:pStyle w:val="14"/>
              <w:jc w:val="center"/>
              <w:rPr>
                <w:rFonts w:ascii="Times New Roman" w:hAnsi="Times New Roman"/>
                <w:bCs/>
                <w:sz w:val="21"/>
                <w:szCs w:val="21"/>
              </w:rPr>
            </w:pPr>
            <w:r>
              <w:rPr>
                <w:rFonts w:ascii="Times New Roman" w:hAnsi="Times New Roman"/>
                <w:bCs/>
                <w:sz w:val="21"/>
                <w:szCs w:val="21"/>
              </w:rPr>
              <w:t>少量</w:t>
            </w:r>
          </w:p>
        </w:tc>
        <w:tc>
          <w:tcPr>
            <w:tcW w:w="473" w:type="pct"/>
            <w:shd w:val="clear" w:color="auto" w:fill="auto"/>
            <w:vAlign w:val="center"/>
          </w:tcPr>
          <w:p w14:paraId="22D377C4">
            <w:pPr>
              <w:pStyle w:val="14"/>
              <w:jc w:val="center"/>
              <w:rPr>
                <w:rFonts w:ascii="Times New Roman" w:hAnsi="Times New Roman"/>
                <w:bCs/>
                <w:sz w:val="21"/>
                <w:szCs w:val="21"/>
              </w:rPr>
            </w:pPr>
            <w:r>
              <w:rPr>
                <w:rFonts w:ascii="Times New Roman" w:hAnsi="Times New Roman"/>
                <w:bCs/>
                <w:sz w:val="21"/>
                <w:szCs w:val="21"/>
              </w:rPr>
              <w:t>少量</w:t>
            </w:r>
          </w:p>
        </w:tc>
        <w:tc>
          <w:tcPr>
            <w:tcW w:w="495" w:type="pct"/>
            <w:shd w:val="clear" w:color="auto" w:fill="auto"/>
            <w:vAlign w:val="center"/>
          </w:tcPr>
          <w:p w14:paraId="25A667D5">
            <w:pPr>
              <w:pStyle w:val="14"/>
              <w:jc w:val="center"/>
              <w:rPr>
                <w:rFonts w:ascii="Times New Roman" w:hAnsi="Times New Roman"/>
                <w:bCs/>
                <w:sz w:val="21"/>
                <w:szCs w:val="21"/>
              </w:rPr>
            </w:pPr>
            <w:r>
              <w:rPr>
                <w:rFonts w:ascii="Times New Roman" w:hAnsi="Times New Roman"/>
                <w:sz w:val="21"/>
                <w:szCs w:val="21"/>
              </w:rPr>
              <w:t>/</w:t>
            </w:r>
          </w:p>
        </w:tc>
        <w:tc>
          <w:tcPr>
            <w:tcW w:w="618" w:type="pct"/>
            <w:shd w:val="clear" w:color="auto" w:fill="auto"/>
            <w:vAlign w:val="center"/>
          </w:tcPr>
          <w:p w14:paraId="7BEA10BF">
            <w:pPr>
              <w:pStyle w:val="14"/>
              <w:jc w:val="center"/>
              <w:rPr>
                <w:rFonts w:ascii="Times New Roman" w:hAnsi="Times New Roman"/>
                <w:bCs/>
                <w:sz w:val="21"/>
                <w:szCs w:val="21"/>
              </w:rPr>
            </w:pPr>
            <w:r>
              <w:rPr>
                <w:rFonts w:ascii="Times New Roman" w:hAnsi="Times New Roman"/>
                <w:bCs/>
                <w:sz w:val="21"/>
                <w:szCs w:val="21"/>
              </w:rPr>
              <w:t>不暂存</w:t>
            </w:r>
          </w:p>
        </w:tc>
        <w:tc>
          <w:tcPr>
            <w:tcW w:w="754" w:type="pct"/>
            <w:shd w:val="clear" w:color="auto" w:fill="auto"/>
            <w:vAlign w:val="center"/>
          </w:tcPr>
          <w:p w14:paraId="5D915C55">
            <w:pPr>
              <w:pStyle w:val="14"/>
              <w:jc w:val="center"/>
              <w:rPr>
                <w:rFonts w:ascii="Times New Roman" w:hAnsi="Times New Roman"/>
                <w:bCs/>
                <w:sz w:val="21"/>
                <w:szCs w:val="21"/>
              </w:rPr>
            </w:pPr>
            <w:r>
              <w:rPr>
                <w:rFonts w:ascii="Times New Roman" w:hAnsi="Times New Roman"/>
                <w:bCs/>
                <w:sz w:val="21"/>
                <w:szCs w:val="21"/>
              </w:rPr>
              <w:t>大气环境</w:t>
            </w:r>
          </w:p>
        </w:tc>
      </w:tr>
      <w:tr w14:paraId="0EC4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2C661746">
            <w:pPr>
              <w:pStyle w:val="14"/>
              <w:jc w:val="center"/>
              <w:rPr>
                <w:rFonts w:ascii="Times New Roman" w:hAnsi="Times New Roman"/>
                <w:bCs/>
                <w:sz w:val="18"/>
                <w:szCs w:val="18"/>
              </w:rPr>
            </w:pPr>
          </w:p>
        </w:tc>
        <w:tc>
          <w:tcPr>
            <w:tcW w:w="403" w:type="pct"/>
            <w:shd w:val="clear" w:color="auto" w:fill="auto"/>
            <w:vAlign w:val="center"/>
          </w:tcPr>
          <w:p w14:paraId="6397B138">
            <w:pPr>
              <w:pStyle w:val="14"/>
              <w:jc w:val="center"/>
              <w:rPr>
                <w:rFonts w:ascii="Times New Roman" w:hAnsi="Times New Roman"/>
                <w:bCs/>
                <w:sz w:val="18"/>
                <w:szCs w:val="18"/>
              </w:rPr>
            </w:pPr>
          </w:p>
        </w:tc>
        <w:tc>
          <w:tcPr>
            <w:tcW w:w="631" w:type="pct"/>
            <w:shd w:val="clear" w:color="auto" w:fill="auto"/>
            <w:vAlign w:val="center"/>
          </w:tcPr>
          <w:p w14:paraId="4D76948C">
            <w:pPr>
              <w:pStyle w:val="14"/>
              <w:jc w:val="center"/>
              <w:rPr>
                <w:rFonts w:ascii="Times New Roman" w:hAnsi="Times New Roman"/>
                <w:bCs/>
                <w:sz w:val="18"/>
                <w:szCs w:val="18"/>
              </w:rPr>
            </w:pPr>
          </w:p>
        </w:tc>
        <w:tc>
          <w:tcPr>
            <w:tcW w:w="373" w:type="pct"/>
            <w:shd w:val="clear" w:color="auto" w:fill="auto"/>
            <w:vAlign w:val="center"/>
          </w:tcPr>
          <w:p w14:paraId="592DAB94">
            <w:pPr>
              <w:pStyle w:val="14"/>
              <w:jc w:val="center"/>
              <w:rPr>
                <w:rFonts w:ascii="Times New Roman" w:hAnsi="Times New Roman"/>
                <w:bCs/>
                <w:sz w:val="18"/>
                <w:szCs w:val="18"/>
              </w:rPr>
            </w:pPr>
          </w:p>
        </w:tc>
        <w:tc>
          <w:tcPr>
            <w:tcW w:w="493" w:type="pct"/>
            <w:shd w:val="clear" w:color="auto" w:fill="auto"/>
            <w:vAlign w:val="center"/>
          </w:tcPr>
          <w:p w14:paraId="481C3C1C">
            <w:pPr>
              <w:pStyle w:val="14"/>
              <w:jc w:val="center"/>
              <w:rPr>
                <w:rFonts w:ascii="Times New Roman" w:hAnsi="Times New Roman"/>
                <w:bCs/>
                <w:sz w:val="18"/>
                <w:szCs w:val="18"/>
              </w:rPr>
            </w:pPr>
          </w:p>
        </w:tc>
        <w:tc>
          <w:tcPr>
            <w:tcW w:w="473" w:type="pct"/>
            <w:shd w:val="clear" w:color="auto" w:fill="auto"/>
            <w:vAlign w:val="center"/>
          </w:tcPr>
          <w:p w14:paraId="7E3AD4DC">
            <w:pPr>
              <w:pStyle w:val="14"/>
              <w:jc w:val="center"/>
              <w:rPr>
                <w:rFonts w:ascii="Times New Roman" w:hAnsi="Times New Roman"/>
                <w:bCs/>
                <w:sz w:val="18"/>
                <w:szCs w:val="18"/>
              </w:rPr>
            </w:pPr>
          </w:p>
        </w:tc>
        <w:tc>
          <w:tcPr>
            <w:tcW w:w="495" w:type="pct"/>
            <w:shd w:val="clear" w:color="auto" w:fill="auto"/>
            <w:vAlign w:val="center"/>
          </w:tcPr>
          <w:p w14:paraId="32050232">
            <w:pPr>
              <w:pStyle w:val="14"/>
              <w:jc w:val="center"/>
              <w:rPr>
                <w:rFonts w:ascii="Times New Roman" w:hAnsi="Times New Roman"/>
                <w:bCs/>
                <w:sz w:val="18"/>
                <w:szCs w:val="18"/>
              </w:rPr>
            </w:pPr>
          </w:p>
        </w:tc>
        <w:tc>
          <w:tcPr>
            <w:tcW w:w="618" w:type="pct"/>
            <w:shd w:val="clear" w:color="auto" w:fill="auto"/>
            <w:vAlign w:val="center"/>
          </w:tcPr>
          <w:p w14:paraId="0531FED3">
            <w:pPr>
              <w:pStyle w:val="14"/>
              <w:jc w:val="center"/>
              <w:rPr>
                <w:rFonts w:ascii="Times New Roman" w:hAnsi="Times New Roman"/>
                <w:bCs/>
                <w:sz w:val="18"/>
                <w:szCs w:val="18"/>
              </w:rPr>
            </w:pPr>
          </w:p>
        </w:tc>
        <w:tc>
          <w:tcPr>
            <w:tcW w:w="754" w:type="pct"/>
            <w:shd w:val="clear" w:color="auto" w:fill="auto"/>
            <w:vAlign w:val="center"/>
          </w:tcPr>
          <w:p w14:paraId="6A09A324">
            <w:pPr>
              <w:pStyle w:val="14"/>
              <w:jc w:val="center"/>
              <w:rPr>
                <w:rFonts w:ascii="Times New Roman" w:hAnsi="Times New Roman"/>
                <w:bCs/>
                <w:sz w:val="18"/>
                <w:szCs w:val="18"/>
              </w:rPr>
            </w:pPr>
          </w:p>
        </w:tc>
      </w:tr>
      <w:tr w14:paraId="0C5F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24BB29B7">
            <w:pPr>
              <w:pStyle w:val="14"/>
              <w:jc w:val="center"/>
              <w:rPr>
                <w:rFonts w:ascii="Times New Roman" w:hAnsi="Times New Roman"/>
                <w:bCs/>
                <w:sz w:val="18"/>
                <w:szCs w:val="18"/>
              </w:rPr>
            </w:pPr>
          </w:p>
        </w:tc>
        <w:tc>
          <w:tcPr>
            <w:tcW w:w="403" w:type="pct"/>
            <w:shd w:val="clear" w:color="auto" w:fill="auto"/>
            <w:vAlign w:val="center"/>
          </w:tcPr>
          <w:p w14:paraId="3B3C0A0D">
            <w:pPr>
              <w:pStyle w:val="14"/>
              <w:jc w:val="center"/>
              <w:rPr>
                <w:rFonts w:ascii="Times New Roman" w:hAnsi="Times New Roman"/>
                <w:bCs/>
                <w:sz w:val="18"/>
                <w:szCs w:val="18"/>
              </w:rPr>
            </w:pPr>
          </w:p>
        </w:tc>
        <w:tc>
          <w:tcPr>
            <w:tcW w:w="631" w:type="pct"/>
            <w:shd w:val="clear" w:color="auto" w:fill="auto"/>
            <w:vAlign w:val="center"/>
          </w:tcPr>
          <w:p w14:paraId="095A73E3">
            <w:pPr>
              <w:pStyle w:val="14"/>
              <w:jc w:val="center"/>
              <w:rPr>
                <w:rFonts w:ascii="Times New Roman" w:hAnsi="Times New Roman"/>
                <w:bCs/>
                <w:sz w:val="18"/>
                <w:szCs w:val="18"/>
              </w:rPr>
            </w:pPr>
          </w:p>
        </w:tc>
        <w:tc>
          <w:tcPr>
            <w:tcW w:w="373" w:type="pct"/>
            <w:shd w:val="clear" w:color="auto" w:fill="auto"/>
            <w:vAlign w:val="center"/>
          </w:tcPr>
          <w:p w14:paraId="6E1C72CD">
            <w:pPr>
              <w:pStyle w:val="14"/>
              <w:jc w:val="center"/>
              <w:rPr>
                <w:rFonts w:ascii="Times New Roman" w:hAnsi="Times New Roman"/>
                <w:bCs/>
                <w:sz w:val="18"/>
                <w:szCs w:val="18"/>
              </w:rPr>
            </w:pPr>
          </w:p>
        </w:tc>
        <w:tc>
          <w:tcPr>
            <w:tcW w:w="493" w:type="pct"/>
            <w:shd w:val="clear" w:color="auto" w:fill="auto"/>
            <w:vAlign w:val="center"/>
          </w:tcPr>
          <w:p w14:paraId="546D0A2C">
            <w:pPr>
              <w:pStyle w:val="14"/>
              <w:jc w:val="center"/>
              <w:rPr>
                <w:rFonts w:ascii="Times New Roman" w:hAnsi="Times New Roman"/>
                <w:bCs/>
                <w:sz w:val="18"/>
                <w:szCs w:val="18"/>
              </w:rPr>
            </w:pPr>
          </w:p>
        </w:tc>
        <w:tc>
          <w:tcPr>
            <w:tcW w:w="473" w:type="pct"/>
            <w:shd w:val="clear" w:color="auto" w:fill="auto"/>
            <w:vAlign w:val="center"/>
          </w:tcPr>
          <w:p w14:paraId="762C22CE">
            <w:pPr>
              <w:pStyle w:val="14"/>
              <w:jc w:val="center"/>
              <w:rPr>
                <w:rFonts w:ascii="Times New Roman" w:hAnsi="Times New Roman"/>
                <w:bCs/>
                <w:sz w:val="18"/>
                <w:szCs w:val="18"/>
              </w:rPr>
            </w:pPr>
          </w:p>
        </w:tc>
        <w:tc>
          <w:tcPr>
            <w:tcW w:w="495" w:type="pct"/>
            <w:shd w:val="clear" w:color="auto" w:fill="auto"/>
            <w:vAlign w:val="center"/>
          </w:tcPr>
          <w:p w14:paraId="16403D76">
            <w:pPr>
              <w:pStyle w:val="14"/>
              <w:jc w:val="center"/>
              <w:rPr>
                <w:rFonts w:ascii="Times New Roman" w:hAnsi="Times New Roman"/>
                <w:bCs/>
                <w:sz w:val="18"/>
                <w:szCs w:val="18"/>
              </w:rPr>
            </w:pPr>
          </w:p>
        </w:tc>
        <w:tc>
          <w:tcPr>
            <w:tcW w:w="618" w:type="pct"/>
            <w:shd w:val="clear" w:color="auto" w:fill="auto"/>
            <w:vAlign w:val="center"/>
          </w:tcPr>
          <w:p w14:paraId="39829ED3">
            <w:pPr>
              <w:pStyle w:val="14"/>
              <w:jc w:val="center"/>
              <w:rPr>
                <w:rFonts w:ascii="Times New Roman" w:hAnsi="Times New Roman"/>
                <w:bCs/>
                <w:sz w:val="18"/>
                <w:szCs w:val="18"/>
              </w:rPr>
            </w:pPr>
          </w:p>
        </w:tc>
        <w:tc>
          <w:tcPr>
            <w:tcW w:w="754" w:type="pct"/>
            <w:shd w:val="clear" w:color="auto" w:fill="auto"/>
            <w:vAlign w:val="center"/>
          </w:tcPr>
          <w:p w14:paraId="6313DF04">
            <w:pPr>
              <w:pStyle w:val="14"/>
              <w:jc w:val="center"/>
              <w:rPr>
                <w:rFonts w:ascii="Times New Roman" w:hAnsi="Times New Roman"/>
                <w:bCs/>
                <w:sz w:val="18"/>
                <w:szCs w:val="18"/>
              </w:rPr>
            </w:pPr>
          </w:p>
        </w:tc>
      </w:tr>
      <w:tr w14:paraId="7EA0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45A0290A">
            <w:pPr>
              <w:pStyle w:val="14"/>
              <w:jc w:val="center"/>
              <w:rPr>
                <w:rFonts w:ascii="Times New Roman" w:hAnsi="Times New Roman"/>
                <w:bCs/>
                <w:sz w:val="18"/>
                <w:szCs w:val="18"/>
              </w:rPr>
            </w:pPr>
          </w:p>
        </w:tc>
        <w:tc>
          <w:tcPr>
            <w:tcW w:w="403" w:type="pct"/>
            <w:shd w:val="clear" w:color="auto" w:fill="auto"/>
            <w:vAlign w:val="center"/>
          </w:tcPr>
          <w:p w14:paraId="2C53357B">
            <w:pPr>
              <w:pStyle w:val="14"/>
              <w:jc w:val="center"/>
              <w:rPr>
                <w:rFonts w:ascii="Times New Roman" w:hAnsi="Times New Roman"/>
                <w:bCs/>
                <w:sz w:val="18"/>
                <w:szCs w:val="18"/>
              </w:rPr>
            </w:pPr>
          </w:p>
        </w:tc>
        <w:tc>
          <w:tcPr>
            <w:tcW w:w="631" w:type="pct"/>
            <w:shd w:val="clear" w:color="auto" w:fill="auto"/>
            <w:vAlign w:val="center"/>
          </w:tcPr>
          <w:p w14:paraId="0F378927">
            <w:pPr>
              <w:pStyle w:val="14"/>
              <w:jc w:val="center"/>
              <w:rPr>
                <w:rFonts w:ascii="Times New Roman" w:hAnsi="Times New Roman"/>
                <w:bCs/>
                <w:sz w:val="18"/>
                <w:szCs w:val="18"/>
              </w:rPr>
            </w:pPr>
          </w:p>
        </w:tc>
        <w:tc>
          <w:tcPr>
            <w:tcW w:w="373" w:type="pct"/>
            <w:shd w:val="clear" w:color="auto" w:fill="auto"/>
            <w:vAlign w:val="center"/>
          </w:tcPr>
          <w:p w14:paraId="60954BFF">
            <w:pPr>
              <w:pStyle w:val="14"/>
              <w:jc w:val="center"/>
              <w:rPr>
                <w:rFonts w:ascii="Times New Roman" w:hAnsi="Times New Roman"/>
                <w:bCs/>
                <w:sz w:val="18"/>
                <w:szCs w:val="18"/>
              </w:rPr>
            </w:pPr>
          </w:p>
        </w:tc>
        <w:tc>
          <w:tcPr>
            <w:tcW w:w="493" w:type="pct"/>
            <w:shd w:val="clear" w:color="auto" w:fill="auto"/>
            <w:vAlign w:val="center"/>
          </w:tcPr>
          <w:p w14:paraId="5A9163A1">
            <w:pPr>
              <w:pStyle w:val="14"/>
              <w:jc w:val="center"/>
              <w:rPr>
                <w:rFonts w:ascii="Times New Roman" w:hAnsi="Times New Roman"/>
                <w:bCs/>
                <w:sz w:val="18"/>
                <w:szCs w:val="18"/>
              </w:rPr>
            </w:pPr>
          </w:p>
        </w:tc>
        <w:tc>
          <w:tcPr>
            <w:tcW w:w="473" w:type="pct"/>
            <w:shd w:val="clear" w:color="auto" w:fill="auto"/>
            <w:vAlign w:val="center"/>
          </w:tcPr>
          <w:p w14:paraId="16A80A35">
            <w:pPr>
              <w:pStyle w:val="14"/>
              <w:jc w:val="center"/>
              <w:rPr>
                <w:rFonts w:ascii="Times New Roman" w:hAnsi="Times New Roman"/>
                <w:bCs/>
                <w:sz w:val="18"/>
                <w:szCs w:val="18"/>
              </w:rPr>
            </w:pPr>
          </w:p>
        </w:tc>
        <w:tc>
          <w:tcPr>
            <w:tcW w:w="495" w:type="pct"/>
            <w:shd w:val="clear" w:color="auto" w:fill="auto"/>
            <w:vAlign w:val="center"/>
          </w:tcPr>
          <w:p w14:paraId="479C4A40">
            <w:pPr>
              <w:pStyle w:val="14"/>
              <w:jc w:val="center"/>
              <w:rPr>
                <w:rFonts w:ascii="Times New Roman" w:hAnsi="Times New Roman"/>
                <w:bCs/>
                <w:sz w:val="18"/>
                <w:szCs w:val="18"/>
              </w:rPr>
            </w:pPr>
          </w:p>
        </w:tc>
        <w:tc>
          <w:tcPr>
            <w:tcW w:w="618" w:type="pct"/>
            <w:shd w:val="clear" w:color="auto" w:fill="auto"/>
            <w:vAlign w:val="center"/>
          </w:tcPr>
          <w:p w14:paraId="51D95F87">
            <w:pPr>
              <w:pStyle w:val="14"/>
              <w:jc w:val="center"/>
              <w:rPr>
                <w:rFonts w:ascii="Times New Roman" w:hAnsi="Times New Roman"/>
                <w:bCs/>
                <w:sz w:val="18"/>
                <w:szCs w:val="18"/>
              </w:rPr>
            </w:pPr>
          </w:p>
        </w:tc>
        <w:tc>
          <w:tcPr>
            <w:tcW w:w="754" w:type="pct"/>
            <w:shd w:val="clear" w:color="auto" w:fill="auto"/>
            <w:vAlign w:val="center"/>
          </w:tcPr>
          <w:p w14:paraId="1B329590">
            <w:pPr>
              <w:pStyle w:val="14"/>
              <w:jc w:val="center"/>
              <w:rPr>
                <w:rFonts w:ascii="Times New Roman" w:hAnsi="Times New Roman"/>
                <w:bCs/>
                <w:sz w:val="18"/>
                <w:szCs w:val="18"/>
              </w:rPr>
            </w:pPr>
          </w:p>
        </w:tc>
      </w:tr>
      <w:tr w14:paraId="0110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6BC6D4B5">
            <w:pPr>
              <w:pStyle w:val="14"/>
              <w:jc w:val="center"/>
              <w:rPr>
                <w:rFonts w:ascii="Times New Roman" w:hAnsi="Times New Roman"/>
                <w:bCs/>
                <w:sz w:val="18"/>
                <w:szCs w:val="18"/>
              </w:rPr>
            </w:pPr>
          </w:p>
        </w:tc>
        <w:tc>
          <w:tcPr>
            <w:tcW w:w="403" w:type="pct"/>
            <w:shd w:val="clear" w:color="auto" w:fill="auto"/>
            <w:vAlign w:val="center"/>
          </w:tcPr>
          <w:p w14:paraId="45DB0CE1">
            <w:pPr>
              <w:pStyle w:val="14"/>
              <w:jc w:val="center"/>
              <w:rPr>
                <w:rFonts w:ascii="Times New Roman" w:hAnsi="Times New Roman"/>
                <w:bCs/>
                <w:sz w:val="18"/>
                <w:szCs w:val="18"/>
              </w:rPr>
            </w:pPr>
          </w:p>
        </w:tc>
        <w:tc>
          <w:tcPr>
            <w:tcW w:w="631" w:type="pct"/>
            <w:shd w:val="clear" w:color="auto" w:fill="auto"/>
            <w:vAlign w:val="center"/>
          </w:tcPr>
          <w:p w14:paraId="7F89E794">
            <w:pPr>
              <w:pStyle w:val="14"/>
              <w:jc w:val="center"/>
              <w:rPr>
                <w:rFonts w:ascii="Times New Roman" w:hAnsi="Times New Roman"/>
                <w:bCs/>
                <w:sz w:val="18"/>
                <w:szCs w:val="18"/>
              </w:rPr>
            </w:pPr>
          </w:p>
        </w:tc>
        <w:tc>
          <w:tcPr>
            <w:tcW w:w="373" w:type="pct"/>
            <w:shd w:val="clear" w:color="auto" w:fill="auto"/>
            <w:vAlign w:val="center"/>
          </w:tcPr>
          <w:p w14:paraId="688622C8">
            <w:pPr>
              <w:pStyle w:val="14"/>
              <w:jc w:val="center"/>
              <w:rPr>
                <w:rFonts w:ascii="Times New Roman" w:hAnsi="Times New Roman"/>
                <w:bCs/>
                <w:sz w:val="18"/>
                <w:szCs w:val="18"/>
              </w:rPr>
            </w:pPr>
          </w:p>
        </w:tc>
        <w:tc>
          <w:tcPr>
            <w:tcW w:w="493" w:type="pct"/>
            <w:shd w:val="clear" w:color="auto" w:fill="auto"/>
            <w:vAlign w:val="center"/>
          </w:tcPr>
          <w:p w14:paraId="7CF142F8">
            <w:pPr>
              <w:pStyle w:val="14"/>
              <w:jc w:val="center"/>
              <w:rPr>
                <w:rFonts w:ascii="Times New Roman" w:hAnsi="Times New Roman"/>
                <w:bCs/>
                <w:sz w:val="18"/>
                <w:szCs w:val="18"/>
              </w:rPr>
            </w:pPr>
          </w:p>
        </w:tc>
        <w:tc>
          <w:tcPr>
            <w:tcW w:w="473" w:type="pct"/>
            <w:shd w:val="clear" w:color="auto" w:fill="auto"/>
            <w:vAlign w:val="center"/>
          </w:tcPr>
          <w:p w14:paraId="4EA32F03">
            <w:pPr>
              <w:pStyle w:val="14"/>
              <w:jc w:val="center"/>
              <w:rPr>
                <w:rFonts w:ascii="Times New Roman" w:hAnsi="Times New Roman"/>
                <w:bCs/>
                <w:sz w:val="18"/>
                <w:szCs w:val="18"/>
              </w:rPr>
            </w:pPr>
          </w:p>
        </w:tc>
        <w:tc>
          <w:tcPr>
            <w:tcW w:w="495" w:type="pct"/>
            <w:shd w:val="clear" w:color="auto" w:fill="auto"/>
            <w:vAlign w:val="center"/>
          </w:tcPr>
          <w:p w14:paraId="654F56EF">
            <w:pPr>
              <w:pStyle w:val="14"/>
              <w:jc w:val="center"/>
              <w:rPr>
                <w:rFonts w:ascii="Times New Roman" w:hAnsi="Times New Roman"/>
                <w:bCs/>
                <w:sz w:val="18"/>
                <w:szCs w:val="18"/>
              </w:rPr>
            </w:pPr>
          </w:p>
        </w:tc>
        <w:tc>
          <w:tcPr>
            <w:tcW w:w="618" w:type="pct"/>
            <w:shd w:val="clear" w:color="auto" w:fill="auto"/>
            <w:vAlign w:val="center"/>
          </w:tcPr>
          <w:p w14:paraId="2FC70EA7">
            <w:pPr>
              <w:pStyle w:val="14"/>
              <w:jc w:val="center"/>
              <w:rPr>
                <w:rFonts w:ascii="Times New Roman" w:hAnsi="Times New Roman"/>
                <w:bCs/>
                <w:sz w:val="18"/>
                <w:szCs w:val="18"/>
              </w:rPr>
            </w:pPr>
          </w:p>
        </w:tc>
        <w:tc>
          <w:tcPr>
            <w:tcW w:w="754" w:type="pct"/>
            <w:shd w:val="clear" w:color="auto" w:fill="auto"/>
            <w:vAlign w:val="center"/>
          </w:tcPr>
          <w:p w14:paraId="0289F1DE">
            <w:pPr>
              <w:pStyle w:val="14"/>
              <w:jc w:val="center"/>
              <w:rPr>
                <w:rFonts w:ascii="Times New Roman" w:hAnsi="Times New Roman"/>
                <w:bCs/>
                <w:sz w:val="18"/>
                <w:szCs w:val="18"/>
              </w:rPr>
            </w:pPr>
          </w:p>
        </w:tc>
      </w:tr>
      <w:tr w14:paraId="0A18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6F156DB9">
            <w:pPr>
              <w:pStyle w:val="14"/>
              <w:jc w:val="center"/>
              <w:rPr>
                <w:rFonts w:ascii="Times New Roman" w:hAnsi="Times New Roman"/>
                <w:bCs/>
                <w:sz w:val="18"/>
                <w:szCs w:val="18"/>
              </w:rPr>
            </w:pPr>
          </w:p>
        </w:tc>
        <w:tc>
          <w:tcPr>
            <w:tcW w:w="403" w:type="pct"/>
            <w:shd w:val="clear" w:color="auto" w:fill="auto"/>
            <w:vAlign w:val="center"/>
          </w:tcPr>
          <w:p w14:paraId="241F4691">
            <w:pPr>
              <w:pStyle w:val="14"/>
              <w:jc w:val="center"/>
              <w:rPr>
                <w:rFonts w:ascii="Times New Roman" w:hAnsi="Times New Roman"/>
                <w:bCs/>
                <w:sz w:val="18"/>
                <w:szCs w:val="18"/>
              </w:rPr>
            </w:pPr>
          </w:p>
        </w:tc>
        <w:tc>
          <w:tcPr>
            <w:tcW w:w="631" w:type="pct"/>
            <w:shd w:val="clear" w:color="auto" w:fill="auto"/>
            <w:vAlign w:val="center"/>
          </w:tcPr>
          <w:p w14:paraId="5EE2F2C7">
            <w:pPr>
              <w:pStyle w:val="14"/>
              <w:jc w:val="center"/>
              <w:rPr>
                <w:rFonts w:ascii="Times New Roman" w:hAnsi="Times New Roman"/>
                <w:bCs/>
                <w:sz w:val="18"/>
                <w:szCs w:val="18"/>
              </w:rPr>
            </w:pPr>
          </w:p>
        </w:tc>
        <w:tc>
          <w:tcPr>
            <w:tcW w:w="373" w:type="pct"/>
            <w:shd w:val="clear" w:color="auto" w:fill="auto"/>
            <w:vAlign w:val="center"/>
          </w:tcPr>
          <w:p w14:paraId="4388AEC9">
            <w:pPr>
              <w:pStyle w:val="14"/>
              <w:jc w:val="center"/>
              <w:rPr>
                <w:rFonts w:ascii="Times New Roman" w:hAnsi="Times New Roman"/>
                <w:bCs/>
                <w:sz w:val="18"/>
                <w:szCs w:val="18"/>
              </w:rPr>
            </w:pPr>
          </w:p>
        </w:tc>
        <w:tc>
          <w:tcPr>
            <w:tcW w:w="493" w:type="pct"/>
            <w:shd w:val="clear" w:color="auto" w:fill="auto"/>
            <w:vAlign w:val="center"/>
          </w:tcPr>
          <w:p w14:paraId="6DA61D79">
            <w:pPr>
              <w:pStyle w:val="14"/>
              <w:jc w:val="center"/>
              <w:rPr>
                <w:rFonts w:ascii="Times New Roman" w:hAnsi="Times New Roman"/>
                <w:bCs/>
                <w:sz w:val="18"/>
                <w:szCs w:val="18"/>
              </w:rPr>
            </w:pPr>
          </w:p>
        </w:tc>
        <w:tc>
          <w:tcPr>
            <w:tcW w:w="473" w:type="pct"/>
            <w:shd w:val="clear" w:color="auto" w:fill="auto"/>
            <w:vAlign w:val="center"/>
          </w:tcPr>
          <w:p w14:paraId="18C59D9A">
            <w:pPr>
              <w:pStyle w:val="14"/>
              <w:jc w:val="center"/>
              <w:rPr>
                <w:rFonts w:ascii="Times New Roman" w:hAnsi="Times New Roman"/>
                <w:bCs/>
                <w:sz w:val="18"/>
                <w:szCs w:val="18"/>
              </w:rPr>
            </w:pPr>
          </w:p>
        </w:tc>
        <w:tc>
          <w:tcPr>
            <w:tcW w:w="495" w:type="pct"/>
            <w:shd w:val="clear" w:color="auto" w:fill="auto"/>
            <w:vAlign w:val="center"/>
          </w:tcPr>
          <w:p w14:paraId="703BCD1F">
            <w:pPr>
              <w:pStyle w:val="14"/>
              <w:jc w:val="center"/>
              <w:rPr>
                <w:rFonts w:ascii="Times New Roman" w:hAnsi="Times New Roman"/>
                <w:bCs/>
                <w:sz w:val="18"/>
                <w:szCs w:val="18"/>
              </w:rPr>
            </w:pPr>
          </w:p>
        </w:tc>
        <w:tc>
          <w:tcPr>
            <w:tcW w:w="618" w:type="pct"/>
            <w:shd w:val="clear" w:color="auto" w:fill="auto"/>
            <w:vAlign w:val="center"/>
          </w:tcPr>
          <w:p w14:paraId="41391699">
            <w:pPr>
              <w:pStyle w:val="14"/>
              <w:jc w:val="center"/>
              <w:rPr>
                <w:rFonts w:ascii="Times New Roman" w:hAnsi="Times New Roman"/>
                <w:bCs/>
                <w:sz w:val="18"/>
                <w:szCs w:val="18"/>
              </w:rPr>
            </w:pPr>
          </w:p>
        </w:tc>
        <w:tc>
          <w:tcPr>
            <w:tcW w:w="754" w:type="pct"/>
            <w:shd w:val="clear" w:color="auto" w:fill="auto"/>
            <w:vAlign w:val="center"/>
          </w:tcPr>
          <w:p w14:paraId="4624BAA2">
            <w:pPr>
              <w:pStyle w:val="14"/>
              <w:jc w:val="center"/>
              <w:rPr>
                <w:rFonts w:ascii="Times New Roman" w:hAnsi="Times New Roman"/>
                <w:bCs/>
                <w:sz w:val="18"/>
                <w:szCs w:val="18"/>
              </w:rPr>
            </w:pPr>
          </w:p>
        </w:tc>
      </w:tr>
      <w:tr w14:paraId="325E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pct"/>
            <w:shd w:val="clear" w:color="auto" w:fill="auto"/>
            <w:vAlign w:val="center"/>
          </w:tcPr>
          <w:p w14:paraId="6E6CBA6A">
            <w:pPr>
              <w:pStyle w:val="14"/>
              <w:jc w:val="center"/>
              <w:rPr>
                <w:rFonts w:ascii="Times New Roman" w:hAnsi="Times New Roman"/>
                <w:bCs/>
                <w:sz w:val="18"/>
                <w:szCs w:val="18"/>
              </w:rPr>
            </w:pPr>
          </w:p>
        </w:tc>
        <w:tc>
          <w:tcPr>
            <w:tcW w:w="403" w:type="pct"/>
            <w:shd w:val="clear" w:color="auto" w:fill="auto"/>
            <w:vAlign w:val="center"/>
          </w:tcPr>
          <w:p w14:paraId="5C385982">
            <w:pPr>
              <w:pStyle w:val="14"/>
              <w:jc w:val="center"/>
              <w:rPr>
                <w:rFonts w:ascii="Times New Roman" w:hAnsi="Times New Roman"/>
                <w:bCs/>
                <w:sz w:val="18"/>
                <w:szCs w:val="18"/>
              </w:rPr>
            </w:pPr>
          </w:p>
        </w:tc>
        <w:tc>
          <w:tcPr>
            <w:tcW w:w="631" w:type="pct"/>
            <w:shd w:val="clear" w:color="auto" w:fill="auto"/>
            <w:vAlign w:val="center"/>
          </w:tcPr>
          <w:p w14:paraId="78CECABB">
            <w:pPr>
              <w:pStyle w:val="14"/>
              <w:jc w:val="center"/>
              <w:rPr>
                <w:rFonts w:ascii="Times New Roman" w:hAnsi="Times New Roman"/>
                <w:bCs/>
                <w:sz w:val="18"/>
                <w:szCs w:val="18"/>
              </w:rPr>
            </w:pPr>
          </w:p>
        </w:tc>
        <w:tc>
          <w:tcPr>
            <w:tcW w:w="373" w:type="pct"/>
            <w:shd w:val="clear" w:color="auto" w:fill="auto"/>
            <w:vAlign w:val="center"/>
          </w:tcPr>
          <w:p w14:paraId="30446776">
            <w:pPr>
              <w:pStyle w:val="14"/>
              <w:jc w:val="center"/>
              <w:rPr>
                <w:rFonts w:ascii="Times New Roman" w:hAnsi="Times New Roman"/>
                <w:bCs/>
                <w:sz w:val="18"/>
                <w:szCs w:val="18"/>
              </w:rPr>
            </w:pPr>
          </w:p>
        </w:tc>
        <w:tc>
          <w:tcPr>
            <w:tcW w:w="493" w:type="pct"/>
            <w:shd w:val="clear" w:color="auto" w:fill="auto"/>
            <w:vAlign w:val="center"/>
          </w:tcPr>
          <w:p w14:paraId="4B41F9B3">
            <w:pPr>
              <w:pStyle w:val="14"/>
              <w:jc w:val="center"/>
              <w:rPr>
                <w:rFonts w:ascii="Times New Roman" w:hAnsi="Times New Roman"/>
                <w:bCs/>
                <w:sz w:val="18"/>
                <w:szCs w:val="18"/>
              </w:rPr>
            </w:pPr>
          </w:p>
        </w:tc>
        <w:tc>
          <w:tcPr>
            <w:tcW w:w="473" w:type="pct"/>
            <w:shd w:val="clear" w:color="auto" w:fill="auto"/>
            <w:vAlign w:val="center"/>
          </w:tcPr>
          <w:p w14:paraId="3D152E15">
            <w:pPr>
              <w:pStyle w:val="14"/>
              <w:jc w:val="center"/>
              <w:rPr>
                <w:rFonts w:ascii="Times New Roman" w:hAnsi="Times New Roman"/>
                <w:bCs/>
                <w:sz w:val="18"/>
                <w:szCs w:val="18"/>
              </w:rPr>
            </w:pPr>
          </w:p>
        </w:tc>
        <w:tc>
          <w:tcPr>
            <w:tcW w:w="495" w:type="pct"/>
            <w:shd w:val="clear" w:color="auto" w:fill="auto"/>
            <w:vAlign w:val="center"/>
          </w:tcPr>
          <w:p w14:paraId="70959E3D">
            <w:pPr>
              <w:pStyle w:val="14"/>
              <w:jc w:val="center"/>
              <w:rPr>
                <w:rFonts w:ascii="Times New Roman" w:hAnsi="Times New Roman"/>
                <w:bCs/>
                <w:sz w:val="18"/>
                <w:szCs w:val="18"/>
              </w:rPr>
            </w:pPr>
          </w:p>
        </w:tc>
        <w:tc>
          <w:tcPr>
            <w:tcW w:w="618" w:type="pct"/>
            <w:shd w:val="clear" w:color="auto" w:fill="auto"/>
            <w:vAlign w:val="center"/>
          </w:tcPr>
          <w:p w14:paraId="36E4765C">
            <w:pPr>
              <w:pStyle w:val="14"/>
              <w:jc w:val="center"/>
              <w:rPr>
                <w:rFonts w:ascii="Times New Roman" w:hAnsi="Times New Roman"/>
                <w:bCs/>
                <w:sz w:val="18"/>
                <w:szCs w:val="18"/>
              </w:rPr>
            </w:pPr>
          </w:p>
        </w:tc>
        <w:tc>
          <w:tcPr>
            <w:tcW w:w="754" w:type="pct"/>
            <w:shd w:val="clear" w:color="auto" w:fill="auto"/>
            <w:vAlign w:val="center"/>
          </w:tcPr>
          <w:p w14:paraId="759D65FC">
            <w:pPr>
              <w:pStyle w:val="14"/>
              <w:jc w:val="center"/>
              <w:rPr>
                <w:rFonts w:ascii="Times New Roman" w:hAnsi="Times New Roman"/>
                <w:bCs/>
                <w:sz w:val="18"/>
                <w:szCs w:val="18"/>
              </w:rPr>
            </w:pPr>
          </w:p>
        </w:tc>
      </w:tr>
    </w:tbl>
    <w:p w14:paraId="6ACBF16D">
      <w:pPr>
        <w:pStyle w:val="14"/>
        <w:rPr>
          <w:rFonts w:ascii="Times New Roman" w:hAnsi="Times New Roman"/>
          <w:bCs/>
          <w:sz w:val="18"/>
          <w:szCs w:val="18"/>
        </w:rPr>
      </w:pPr>
      <w:r>
        <w:rPr>
          <w:rFonts w:ascii="Times New Roman" w:hAnsi="Times New Roman"/>
          <w:bCs/>
          <w:sz w:val="18"/>
          <w:szCs w:val="18"/>
        </w:rPr>
        <w:t>注：1.常规废弃物排放浓度，对于液态单位为mg/L，固体为mg/kg，气体为mg/m</w:t>
      </w:r>
      <w:r>
        <w:rPr>
          <w:rFonts w:ascii="Times New Roman" w:hAnsi="Times New Roman"/>
          <w:bCs/>
          <w:sz w:val="18"/>
          <w:szCs w:val="18"/>
          <w:vertAlign w:val="superscript"/>
        </w:rPr>
        <w:t>3</w:t>
      </w:r>
      <w:r>
        <w:rPr>
          <w:rFonts w:ascii="Times New Roman" w:hAnsi="Times New Roman"/>
          <w:bCs/>
          <w:sz w:val="18"/>
          <w:szCs w:val="18"/>
        </w:rPr>
        <w:t>；年排放总量用kg。</w:t>
      </w:r>
    </w:p>
    <w:p w14:paraId="2CF9CFD8">
      <w:pPr>
        <w:pStyle w:val="14"/>
        <w:ind w:firstLine="360" w:firstLineChars="200"/>
        <w:rPr>
          <w:rFonts w:ascii="Times New Roman" w:hAnsi="Times New Roman"/>
          <w:bCs/>
          <w:sz w:val="18"/>
          <w:szCs w:val="18"/>
        </w:rPr>
      </w:pPr>
      <w:r>
        <w:rPr>
          <w:rFonts w:ascii="Times New Roman" w:hAnsi="Times New Roman"/>
          <w:bCs/>
          <w:sz w:val="18"/>
          <w:szCs w:val="18"/>
        </w:rPr>
        <w:t>2.含有放射性的废物要注明，其排放浓度、年排放总量分别用比活度（Bq/L或Bq/kg或Bq/m</w:t>
      </w:r>
      <w:r>
        <w:rPr>
          <w:rFonts w:ascii="Times New Roman" w:hAnsi="Times New Roman"/>
          <w:bCs/>
          <w:sz w:val="18"/>
          <w:szCs w:val="18"/>
          <w:vertAlign w:val="superscript"/>
        </w:rPr>
        <w:t>3</w:t>
      </w:r>
      <w:r>
        <w:rPr>
          <w:rFonts w:ascii="Times New Roman" w:hAnsi="Times New Roman"/>
          <w:bCs/>
          <w:sz w:val="18"/>
          <w:szCs w:val="18"/>
        </w:rPr>
        <w:t>）和活度（Bq）。</w:t>
      </w:r>
    </w:p>
    <w:p w14:paraId="08A278B8">
      <w:pPr>
        <w:tabs>
          <w:tab w:val="center" w:pos="4535"/>
        </w:tabs>
        <w:rPr>
          <w:rFonts w:ascii="Times New Roman" w:hAnsi="Times New Roman"/>
        </w:rPr>
        <w:sectPr>
          <w:footerReference r:id="rId5" w:type="default"/>
          <w:pgSz w:w="11906" w:h="16838"/>
          <w:pgMar w:top="1134" w:right="1134" w:bottom="1134" w:left="1701" w:header="851" w:footer="851" w:gutter="0"/>
          <w:cols w:space="720" w:num="1"/>
          <w:docGrid w:linePitch="312" w:charSpace="0"/>
        </w:sectPr>
      </w:pPr>
      <w:r>
        <w:rPr>
          <w:rFonts w:ascii="Times New Roman" w:hAnsi="Times New Roman"/>
        </w:rPr>
        <w:tab/>
      </w:r>
    </w:p>
    <w:p w14:paraId="6F244298">
      <w:pPr>
        <w:pStyle w:val="14"/>
        <w:outlineLvl w:val="0"/>
        <w:rPr>
          <w:rFonts w:ascii="Times New Roman" w:hAnsi="Times New Roman"/>
          <w:b/>
          <w:bCs/>
          <w:szCs w:val="28"/>
        </w:rPr>
      </w:pPr>
      <w:bookmarkStart w:id="25" w:name="_Toc188277743"/>
      <w:r>
        <w:rPr>
          <w:rFonts w:ascii="Times New Roman" w:hAnsi="Times New Roman"/>
          <w:b/>
          <w:bCs/>
          <w:szCs w:val="28"/>
        </w:rPr>
        <w:t>表6 评价依据</w:t>
      </w:r>
      <w:bookmarkEnd w:id="25"/>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557"/>
      </w:tblGrid>
      <w:tr w14:paraId="657D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5D1BA8D8">
            <w:pPr>
              <w:pStyle w:val="14"/>
              <w:jc w:val="center"/>
              <w:rPr>
                <w:rFonts w:ascii="Times New Roman" w:hAnsi="Times New Roman"/>
                <w:bCs/>
                <w:sz w:val="24"/>
              </w:rPr>
            </w:pPr>
            <w:r>
              <w:rPr>
                <w:rFonts w:ascii="Times New Roman" w:hAnsi="Times New Roman"/>
                <w:bCs/>
                <w:sz w:val="24"/>
              </w:rPr>
              <w:t>法规</w:t>
            </w:r>
          </w:p>
          <w:p w14:paraId="09294867">
            <w:pPr>
              <w:pStyle w:val="14"/>
              <w:jc w:val="center"/>
              <w:rPr>
                <w:rFonts w:ascii="Times New Roman" w:hAnsi="Times New Roman"/>
                <w:bCs/>
                <w:sz w:val="24"/>
              </w:rPr>
            </w:pPr>
            <w:r>
              <w:rPr>
                <w:rFonts w:ascii="Times New Roman" w:hAnsi="Times New Roman"/>
                <w:bCs/>
                <w:sz w:val="24"/>
              </w:rPr>
              <w:t>文件</w:t>
            </w:r>
          </w:p>
        </w:tc>
        <w:tc>
          <w:tcPr>
            <w:tcW w:w="8557" w:type="dxa"/>
          </w:tcPr>
          <w:p w14:paraId="0FCB5A68">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（1）《中华人民共和国环境保护法》，2015年1月1日；</w:t>
            </w:r>
          </w:p>
          <w:p w14:paraId="07580A19">
            <w:pPr>
              <w:adjustRightInd w:val="0"/>
              <w:snapToGrid w:val="0"/>
              <w:spacing w:line="360" w:lineRule="auto"/>
              <w:rPr>
                <w:rFonts w:ascii="Times New Roman" w:hAnsi="Times New Roman"/>
                <w:kern w:val="0"/>
                <w:sz w:val="24"/>
              </w:rPr>
            </w:pPr>
            <w:r>
              <w:rPr>
                <w:rFonts w:ascii="Times New Roman" w:hAnsi="Times New Roman"/>
                <w:kern w:val="0"/>
                <w:sz w:val="24"/>
              </w:rPr>
              <w:t>（2）《中华人民共和国放射性污染防治法》，2003年10月1日；</w:t>
            </w:r>
          </w:p>
          <w:p w14:paraId="57880B0A">
            <w:pPr>
              <w:adjustRightInd w:val="0"/>
              <w:snapToGrid w:val="0"/>
              <w:spacing w:line="360" w:lineRule="auto"/>
              <w:rPr>
                <w:rFonts w:ascii="Times New Roman" w:hAnsi="Times New Roman"/>
                <w:kern w:val="0"/>
                <w:sz w:val="24"/>
              </w:rPr>
            </w:pPr>
            <w:r>
              <w:rPr>
                <w:rFonts w:ascii="Times New Roman" w:hAnsi="Times New Roman"/>
                <w:kern w:val="0"/>
                <w:sz w:val="24"/>
              </w:rPr>
              <w:t>（3）《中华人民共和国环境影响评价法》，2018年12月29日修订；</w:t>
            </w:r>
          </w:p>
          <w:p w14:paraId="191C740C">
            <w:pPr>
              <w:adjustRightInd w:val="0"/>
              <w:snapToGrid w:val="0"/>
              <w:spacing w:line="360" w:lineRule="auto"/>
              <w:rPr>
                <w:rFonts w:ascii="Times New Roman" w:hAnsi="Times New Roman"/>
                <w:kern w:val="0"/>
                <w:sz w:val="24"/>
              </w:rPr>
            </w:pPr>
            <w:r>
              <w:rPr>
                <w:rFonts w:ascii="Times New Roman" w:hAnsi="Times New Roman"/>
                <w:kern w:val="0"/>
                <w:sz w:val="24"/>
              </w:rPr>
              <w:t>（4）《建设项目环境保护管理条例》国务院令第682号，2017年10月1日；</w:t>
            </w:r>
          </w:p>
          <w:p w14:paraId="739CBC09">
            <w:pPr>
              <w:adjustRightInd w:val="0"/>
              <w:snapToGrid w:val="0"/>
              <w:spacing w:line="360" w:lineRule="auto"/>
              <w:rPr>
                <w:rFonts w:ascii="Times New Roman" w:hAnsi="Times New Roman"/>
                <w:sz w:val="24"/>
              </w:rPr>
            </w:pPr>
            <w:r>
              <w:rPr>
                <w:rFonts w:ascii="Times New Roman" w:hAnsi="Times New Roman"/>
                <w:bCs/>
                <w:kern w:val="0"/>
                <w:sz w:val="24"/>
              </w:rPr>
              <w:t>（5）</w:t>
            </w:r>
            <w:r>
              <w:rPr>
                <w:rFonts w:ascii="Times New Roman" w:hAnsi="Times New Roman"/>
                <w:sz w:val="24"/>
              </w:rPr>
              <w:t>《建设项目环境影响评价分类管理名录（2021年版）》（2021年1月1日实施）；</w:t>
            </w:r>
          </w:p>
          <w:p w14:paraId="5EE690A4">
            <w:pPr>
              <w:adjustRightInd w:val="0"/>
              <w:snapToGrid w:val="0"/>
              <w:spacing w:line="360" w:lineRule="auto"/>
              <w:rPr>
                <w:rFonts w:ascii="Times New Roman" w:hAnsi="Times New Roman"/>
                <w:sz w:val="24"/>
              </w:rPr>
            </w:pPr>
            <w:r>
              <w:rPr>
                <w:rFonts w:ascii="Times New Roman" w:hAnsi="Times New Roman"/>
                <w:sz w:val="24"/>
              </w:rPr>
              <w:t>（6）《放射性同位素与射线装置安全和防护条例》，国务院令第709号，2019年3月2日；</w:t>
            </w:r>
          </w:p>
          <w:p w14:paraId="4E47C8A8">
            <w:pPr>
              <w:adjustRightInd w:val="0"/>
              <w:snapToGrid w:val="0"/>
              <w:spacing w:line="360" w:lineRule="auto"/>
              <w:rPr>
                <w:rFonts w:ascii="Times New Roman" w:hAnsi="Times New Roman"/>
                <w:sz w:val="24"/>
              </w:rPr>
            </w:pPr>
            <w:r>
              <w:rPr>
                <w:rFonts w:ascii="Times New Roman" w:hAnsi="Times New Roman"/>
                <w:sz w:val="24"/>
              </w:rPr>
              <w:t>（7）《放射性同位素与射线装置安全许可管理办法》（2019年修正版），生态环境部令第7号，2019年8月22日实施；</w:t>
            </w:r>
          </w:p>
          <w:p w14:paraId="32E9B025">
            <w:pPr>
              <w:adjustRightInd w:val="0"/>
              <w:snapToGrid w:val="0"/>
              <w:spacing w:line="360" w:lineRule="auto"/>
              <w:rPr>
                <w:rFonts w:ascii="Times New Roman" w:hAnsi="Times New Roman"/>
                <w:kern w:val="0"/>
                <w:sz w:val="24"/>
              </w:rPr>
            </w:pPr>
            <w:r>
              <w:rPr>
                <w:rFonts w:ascii="Times New Roman" w:hAnsi="Times New Roman"/>
                <w:bCs/>
                <w:kern w:val="0"/>
                <w:sz w:val="24"/>
              </w:rPr>
              <w:t>（8）《</w:t>
            </w:r>
            <w:r>
              <w:rPr>
                <w:rFonts w:ascii="Times New Roman" w:hAnsi="Times New Roman"/>
                <w:kern w:val="0"/>
                <w:sz w:val="24"/>
              </w:rPr>
              <w:t>放射性同位素与射线装置安全和防护管理办法</w:t>
            </w:r>
            <w:r>
              <w:rPr>
                <w:rFonts w:ascii="Times New Roman" w:hAnsi="Times New Roman"/>
                <w:bCs/>
                <w:kern w:val="0"/>
                <w:sz w:val="24"/>
              </w:rPr>
              <w:t>》，原环保部第18号令，2011年04月18日；</w:t>
            </w:r>
          </w:p>
          <w:p w14:paraId="2C644DA3">
            <w:pPr>
              <w:adjustRightInd w:val="0"/>
              <w:snapToGrid w:val="0"/>
              <w:spacing w:line="360" w:lineRule="auto"/>
              <w:rPr>
                <w:rFonts w:ascii="Times New Roman" w:hAnsi="Times New Roman"/>
                <w:sz w:val="24"/>
              </w:rPr>
            </w:pPr>
            <w:r>
              <w:rPr>
                <w:rFonts w:ascii="Times New Roman" w:hAnsi="Times New Roman"/>
                <w:sz w:val="24"/>
              </w:rPr>
              <w:t>（9）《中华人民共和国固体废物污染环境防治法》，2020年9月1日；</w:t>
            </w:r>
          </w:p>
          <w:p w14:paraId="7B77851A">
            <w:pPr>
              <w:adjustRightInd w:val="0"/>
              <w:snapToGrid w:val="0"/>
              <w:spacing w:line="360" w:lineRule="auto"/>
              <w:rPr>
                <w:rFonts w:ascii="Times New Roman" w:hAnsi="Times New Roman"/>
                <w:sz w:val="24"/>
              </w:rPr>
            </w:pPr>
            <w:r>
              <w:rPr>
                <w:rFonts w:ascii="Times New Roman" w:hAnsi="Times New Roman"/>
                <w:sz w:val="24"/>
              </w:rPr>
              <w:t>（10）《关于明确核技术利用辐射安全监管有关事项的通知（环办辐射函［2016］）430号》；</w:t>
            </w:r>
          </w:p>
          <w:p w14:paraId="333A3167">
            <w:pPr>
              <w:adjustRightInd w:val="0"/>
              <w:snapToGrid w:val="0"/>
              <w:spacing w:line="360" w:lineRule="auto"/>
              <w:rPr>
                <w:rFonts w:ascii="Times New Roman" w:hAnsi="Times New Roman"/>
                <w:sz w:val="24"/>
              </w:rPr>
            </w:pPr>
            <w:r>
              <w:rPr>
                <w:rFonts w:ascii="Times New Roman" w:hAnsi="Times New Roman"/>
                <w:sz w:val="24"/>
              </w:rPr>
              <w:t>（11）《关于发布射线装置分类的公告》，2017年12月5日；</w:t>
            </w:r>
          </w:p>
          <w:p w14:paraId="0AD0D9B8">
            <w:pPr>
              <w:adjustRightInd w:val="0"/>
              <w:snapToGrid w:val="0"/>
              <w:spacing w:line="360" w:lineRule="auto"/>
              <w:rPr>
                <w:rFonts w:ascii="Times New Roman" w:hAnsi="Times New Roman"/>
                <w:sz w:val="24"/>
              </w:rPr>
            </w:pPr>
            <w:r>
              <w:rPr>
                <w:rFonts w:ascii="Times New Roman" w:hAnsi="Times New Roman"/>
                <w:sz w:val="24"/>
              </w:rPr>
              <w:t>（12）《关于核技术利用辐射安全与防护培训和考核有关事项的公告（生态环境部公告），2019年第57号》；</w:t>
            </w:r>
          </w:p>
          <w:p w14:paraId="4481993B">
            <w:pPr>
              <w:adjustRightInd w:val="0"/>
              <w:snapToGrid w:val="0"/>
              <w:spacing w:line="360" w:lineRule="auto"/>
              <w:rPr>
                <w:rFonts w:ascii="Times New Roman" w:hAnsi="Times New Roman"/>
                <w:sz w:val="24"/>
              </w:rPr>
            </w:pPr>
            <w:r>
              <w:rPr>
                <w:rFonts w:ascii="Times New Roman" w:hAnsi="Times New Roman"/>
                <w:sz w:val="24"/>
              </w:rPr>
              <w:t>（13）《关于进一步优化辐射安全考核的公告》（生态环境部公告2021年第9号》；</w:t>
            </w:r>
          </w:p>
          <w:p w14:paraId="41B597A5">
            <w:pPr>
              <w:adjustRightInd w:val="0"/>
              <w:snapToGrid w:val="0"/>
              <w:spacing w:line="360" w:lineRule="auto"/>
              <w:rPr>
                <w:rFonts w:ascii="Times New Roman" w:hAnsi="Times New Roman"/>
                <w:sz w:val="24"/>
              </w:rPr>
            </w:pPr>
            <w:r>
              <w:rPr>
                <w:rFonts w:ascii="Times New Roman" w:hAnsi="Times New Roman"/>
                <w:sz w:val="24"/>
              </w:rPr>
              <w:t>（14）《建设项目环境影响报告书（表）编制监督管理办法》，生态环境部令第9号，2019年11月1日实施；</w:t>
            </w:r>
          </w:p>
          <w:p w14:paraId="204B1EEB">
            <w:pPr>
              <w:adjustRightInd w:val="0"/>
              <w:snapToGrid w:val="0"/>
              <w:spacing w:line="360" w:lineRule="auto"/>
              <w:rPr>
                <w:rFonts w:ascii="Times New Roman" w:hAnsi="Times New Roman"/>
                <w:sz w:val="24"/>
              </w:rPr>
            </w:pPr>
            <w:r>
              <w:rPr>
                <w:rFonts w:ascii="Times New Roman" w:hAnsi="Times New Roman"/>
                <w:sz w:val="24"/>
              </w:rPr>
              <w:t>（15）</w:t>
            </w:r>
            <w:r>
              <w:rPr>
                <w:rFonts w:ascii="Times New Roman" w:hAnsi="Times New Roman"/>
                <w:kern w:val="0"/>
                <w:sz w:val="24"/>
              </w:rPr>
              <w:t>《建设项目危险废物环境影响评价指南》(环保部公告2017年第43号)；</w:t>
            </w:r>
            <w:r>
              <w:rPr>
                <w:rFonts w:ascii="Times New Roman" w:hAnsi="Times New Roman"/>
                <w:sz w:val="24"/>
              </w:rPr>
              <w:t xml:space="preserve"> </w:t>
            </w:r>
          </w:p>
          <w:p w14:paraId="57547F58">
            <w:pPr>
              <w:adjustRightInd w:val="0"/>
              <w:snapToGrid w:val="0"/>
              <w:spacing w:line="360" w:lineRule="auto"/>
              <w:rPr>
                <w:rFonts w:ascii="Times New Roman" w:hAnsi="Times New Roman"/>
                <w:sz w:val="24"/>
              </w:rPr>
            </w:pPr>
            <w:r>
              <w:rPr>
                <w:rFonts w:ascii="Times New Roman" w:hAnsi="Times New Roman"/>
                <w:sz w:val="24"/>
              </w:rPr>
              <w:t>（16）</w:t>
            </w:r>
            <w:r>
              <w:rPr>
                <w:rFonts w:ascii="Times New Roman" w:hAnsi="Times New Roman"/>
                <w:kern w:val="0"/>
                <w:sz w:val="24"/>
              </w:rPr>
              <w:t>《河北省生态环境保护条例</w:t>
            </w:r>
            <w:r>
              <w:rPr>
                <w:rFonts w:ascii="Times New Roman" w:hAnsi="Times New Roman"/>
                <w:sz w:val="24"/>
              </w:rPr>
              <w:t>》，2020年7月1日修订；</w:t>
            </w:r>
          </w:p>
          <w:p w14:paraId="5A86191A">
            <w:pPr>
              <w:adjustRightInd w:val="0"/>
              <w:snapToGrid w:val="0"/>
              <w:spacing w:line="360" w:lineRule="auto"/>
              <w:rPr>
                <w:rFonts w:ascii="Times New Roman" w:hAnsi="Times New Roman"/>
                <w:sz w:val="24"/>
              </w:rPr>
            </w:pPr>
            <w:r>
              <w:rPr>
                <w:rFonts w:ascii="Times New Roman" w:hAnsi="Times New Roman"/>
                <w:sz w:val="24"/>
              </w:rPr>
              <w:t>（17）《河北省辐射污染防治条例》（2020年7月30日修改）。</w:t>
            </w:r>
          </w:p>
        </w:tc>
      </w:tr>
      <w:tr w14:paraId="6A7C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2B3C788A">
            <w:pPr>
              <w:pStyle w:val="14"/>
              <w:jc w:val="center"/>
              <w:rPr>
                <w:rFonts w:ascii="Times New Roman" w:hAnsi="Times New Roman"/>
                <w:bCs/>
                <w:sz w:val="24"/>
              </w:rPr>
            </w:pPr>
            <w:r>
              <w:rPr>
                <w:rFonts w:ascii="Times New Roman" w:hAnsi="Times New Roman"/>
                <w:bCs/>
                <w:sz w:val="24"/>
              </w:rPr>
              <w:t>技术</w:t>
            </w:r>
          </w:p>
          <w:p w14:paraId="49E92298">
            <w:pPr>
              <w:pStyle w:val="14"/>
              <w:jc w:val="center"/>
              <w:rPr>
                <w:rFonts w:ascii="Times New Roman" w:hAnsi="Times New Roman"/>
                <w:bCs/>
                <w:sz w:val="24"/>
              </w:rPr>
            </w:pPr>
            <w:r>
              <w:rPr>
                <w:rFonts w:ascii="Times New Roman" w:hAnsi="Times New Roman"/>
                <w:bCs/>
                <w:sz w:val="24"/>
              </w:rPr>
              <w:t>标准</w:t>
            </w:r>
          </w:p>
        </w:tc>
        <w:tc>
          <w:tcPr>
            <w:tcW w:w="8557" w:type="dxa"/>
          </w:tcPr>
          <w:p w14:paraId="0FE1009B">
            <w:pPr>
              <w:adjustRightInd w:val="0"/>
              <w:snapToGrid w:val="0"/>
              <w:spacing w:line="360" w:lineRule="auto"/>
              <w:rPr>
                <w:rFonts w:ascii="Times New Roman" w:hAnsi="Times New Roman"/>
                <w:kern w:val="0"/>
                <w:sz w:val="24"/>
              </w:rPr>
            </w:pPr>
            <w:r>
              <w:rPr>
                <w:rFonts w:ascii="Times New Roman" w:hAnsi="Times New Roman"/>
                <w:kern w:val="0"/>
                <w:sz w:val="24"/>
              </w:rPr>
              <w:t>（1）《电离辐射防护与辐射源安全基本标准》（GB 18871-2002）；</w:t>
            </w:r>
          </w:p>
          <w:p w14:paraId="45E0F68D">
            <w:pPr>
              <w:adjustRightInd w:val="0"/>
              <w:snapToGrid w:val="0"/>
              <w:spacing w:line="360" w:lineRule="auto"/>
              <w:rPr>
                <w:rFonts w:ascii="Times New Roman" w:hAnsi="Times New Roman"/>
                <w:kern w:val="0"/>
                <w:sz w:val="24"/>
              </w:rPr>
            </w:pPr>
            <w:r>
              <w:rPr>
                <w:rFonts w:ascii="Times New Roman" w:hAnsi="Times New Roman"/>
                <w:kern w:val="0"/>
                <w:sz w:val="24"/>
              </w:rPr>
              <w:t>（2）《辐射环境保护管理导则 核技术利用建设项目环境影响评价文件的内容和格式》（HJ 10.1-2016）；</w:t>
            </w:r>
          </w:p>
          <w:p w14:paraId="625F5A8F">
            <w:pPr>
              <w:adjustRightInd w:val="0"/>
              <w:snapToGrid w:val="0"/>
              <w:spacing w:line="360" w:lineRule="auto"/>
              <w:rPr>
                <w:rFonts w:ascii="Times New Roman" w:hAnsi="Times New Roman"/>
                <w:kern w:val="0"/>
                <w:sz w:val="24"/>
              </w:rPr>
            </w:pPr>
            <w:r>
              <w:rPr>
                <w:rFonts w:ascii="Times New Roman" w:hAnsi="Times New Roman"/>
                <w:kern w:val="0"/>
                <w:sz w:val="24"/>
              </w:rPr>
              <w:t>（3）《环境γ辐射剂量率测量技术规范》（HJ 1157-2021）；</w:t>
            </w:r>
          </w:p>
          <w:p w14:paraId="7F2209E5">
            <w:pPr>
              <w:adjustRightInd w:val="0"/>
              <w:snapToGrid w:val="0"/>
              <w:spacing w:line="360" w:lineRule="auto"/>
              <w:rPr>
                <w:rFonts w:ascii="Times New Roman" w:hAnsi="Times New Roman"/>
                <w:kern w:val="0"/>
                <w:sz w:val="24"/>
              </w:rPr>
            </w:pPr>
            <w:r>
              <w:rPr>
                <w:rFonts w:ascii="Times New Roman" w:hAnsi="Times New Roman"/>
                <w:kern w:val="0"/>
                <w:sz w:val="24"/>
              </w:rPr>
              <w:t>（4）《辐射环境监测技术规范》（HJ 61-2021）</w:t>
            </w:r>
            <w:r>
              <w:rPr>
                <w:rFonts w:ascii="Times New Roman" w:hAnsi="Times New Roman"/>
                <w:sz w:val="24"/>
              </w:rPr>
              <w:t>；</w:t>
            </w:r>
          </w:p>
          <w:p w14:paraId="57E29040">
            <w:pPr>
              <w:adjustRightInd w:val="0"/>
              <w:snapToGrid w:val="0"/>
              <w:spacing w:line="360" w:lineRule="auto"/>
              <w:rPr>
                <w:rFonts w:ascii="Times New Roman" w:hAnsi="Times New Roman"/>
                <w:kern w:val="0"/>
                <w:sz w:val="24"/>
              </w:rPr>
            </w:pPr>
            <w:r>
              <w:rPr>
                <w:rFonts w:ascii="Times New Roman" w:hAnsi="Times New Roman"/>
                <w:kern w:val="0"/>
                <w:sz w:val="24"/>
              </w:rPr>
              <w:t>（5）《工业探伤放射防护标准》（GBZ 117-2022）；</w:t>
            </w:r>
          </w:p>
          <w:p w14:paraId="29C4BD0B">
            <w:pPr>
              <w:adjustRightInd w:val="0"/>
              <w:snapToGrid w:val="0"/>
              <w:spacing w:line="360" w:lineRule="auto"/>
              <w:rPr>
                <w:rFonts w:ascii="Times New Roman" w:hAnsi="Times New Roman"/>
                <w:kern w:val="0"/>
                <w:sz w:val="24"/>
              </w:rPr>
            </w:pPr>
            <w:r>
              <w:rPr>
                <w:rFonts w:ascii="Times New Roman" w:hAnsi="Times New Roman"/>
                <w:kern w:val="0"/>
                <w:sz w:val="24"/>
              </w:rPr>
              <w:t>（6）《工业X射线探伤室辐射屏蔽规范》（GBZ/T 250-2014）</w:t>
            </w:r>
          </w:p>
          <w:p w14:paraId="7B952802">
            <w:pPr>
              <w:adjustRightInd w:val="0"/>
              <w:snapToGrid w:val="0"/>
              <w:spacing w:line="360" w:lineRule="auto"/>
              <w:rPr>
                <w:rFonts w:ascii="Times New Roman" w:hAnsi="Times New Roman"/>
                <w:kern w:val="0"/>
                <w:sz w:val="24"/>
              </w:rPr>
            </w:pPr>
            <w:r>
              <w:rPr>
                <w:rFonts w:ascii="Times New Roman" w:hAnsi="Times New Roman"/>
                <w:kern w:val="0"/>
                <w:sz w:val="24"/>
              </w:rPr>
              <w:t>（7）《国家危险废物名录》（2025版）；</w:t>
            </w:r>
          </w:p>
          <w:p w14:paraId="242CCCD7">
            <w:pPr>
              <w:adjustRightInd w:val="0"/>
              <w:snapToGrid w:val="0"/>
              <w:spacing w:line="360" w:lineRule="auto"/>
              <w:rPr>
                <w:rFonts w:ascii="Times New Roman" w:hAnsi="Times New Roman"/>
                <w:kern w:val="0"/>
                <w:sz w:val="24"/>
              </w:rPr>
            </w:pPr>
            <w:r>
              <w:rPr>
                <w:rFonts w:ascii="Times New Roman" w:hAnsi="Times New Roman"/>
                <w:kern w:val="0"/>
                <w:sz w:val="24"/>
              </w:rPr>
              <w:t>（8）《射线装置分类》（原环境保护部[2017]66号公告）；</w:t>
            </w:r>
          </w:p>
          <w:p w14:paraId="65BB0E2C">
            <w:pPr>
              <w:adjustRightInd w:val="0"/>
              <w:snapToGrid w:val="0"/>
              <w:spacing w:line="360" w:lineRule="auto"/>
              <w:rPr>
                <w:rFonts w:ascii="Times New Roman" w:hAnsi="Times New Roman"/>
                <w:kern w:val="0"/>
                <w:sz w:val="24"/>
              </w:rPr>
            </w:pPr>
            <w:r>
              <w:rPr>
                <w:rFonts w:ascii="Times New Roman" w:hAnsi="Times New Roman"/>
                <w:kern w:val="0"/>
                <w:sz w:val="24"/>
              </w:rPr>
              <w:t>（9）《500kV以下工业X射线探伤机防护原则》（GB 22448-2008）；</w:t>
            </w:r>
          </w:p>
          <w:p w14:paraId="541BA56B">
            <w:pPr>
              <w:adjustRightInd w:val="0"/>
              <w:snapToGrid w:val="0"/>
              <w:spacing w:line="360" w:lineRule="auto"/>
              <w:rPr>
                <w:rFonts w:ascii="Times New Roman" w:hAnsi="Times New Roman"/>
                <w:kern w:val="0"/>
                <w:sz w:val="24"/>
              </w:rPr>
            </w:pPr>
            <w:r>
              <w:rPr>
                <w:rFonts w:ascii="Times New Roman" w:hAnsi="Times New Roman"/>
                <w:kern w:val="0"/>
                <w:sz w:val="24"/>
              </w:rPr>
              <w:t>（10）《辐射事故应急监测技术规范》（HJ 1155-2020）；</w:t>
            </w:r>
          </w:p>
          <w:p w14:paraId="43A5E83E">
            <w:pPr>
              <w:adjustRightInd w:val="0"/>
              <w:snapToGrid w:val="0"/>
              <w:spacing w:line="360" w:lineRule="auto"/>
              <w:rPr>
                <w:rFonts w:ascii="Times New Roman" w:hAnsi="Times New Roman"/>
                <w:kern w:val="0"/>
                <w:sz w:val="24"/>
              </w:rPr>
            </w:pPr>
            <w:r>
              <w:rPr>
                <w:rFonts w:ascii="Times New Roman" w:hAnsi="Times New Roman"/>
                <w:kern w:val="0"/>
                <w:sz w:val="24"/>
              </w:rPr>
              <w:t>（11）《放射工作人员健康要求及监护规范》（GBZ 98-2020）；</w:t>
            </w:r>
          </w:p>
          <w:p w14:paraId="147104D8">
            <w:pPr>
              <w:adjustRightInd w:val="0"/>
              <w:snapToGrid w:val="0"/>
              <w:spacing w:line="360" w:lineRule="auto"/>
              <w:rPr>
                <w:rFonts w:ascii="Times New Roman" w:hAnsi="Times New Roman"/>
                <w:kern w:val="0"/>
                <w:sz w:val="24"/>
              </w:rPr>
            </w:pPr>
            <w:r>
              <w:rPr>
                <w:rFonts w:ascii="Times New Roman" w:hAnsi="Times New Roman"/>
                <w:kern w:val="0"/>
                <w:sz w:val="24"/>
              </w:rPr>
              <w:t>（12）《职业性外照射个人监测规范》（GBZ 128-2019）；</w:t>
            </w:r>
          </w:p>
          <w:p w14:paraId="700B4D8C">
            <w:pPr>
              <w:pStyle w:val="2"/>
              <w:spacing w:after="0" w:line="360" w:lineRule="auto"/>
              <w:ind w:left="0" w:leftChars="0" w:firstLine="0" w:firstLineChars="0"/>
              <w:rPr>
                <w:kern w:val="0"/>
                <w:sz w:val="24"/>
              </w:rPr>
            </w:pPr>
            <w:r>
              <w:rPr>
                <w:kern w:val="0"/>
                <w:sz w:val="24"/>
              </w:rPr>
              <w:t>（13）《工作场所有害因素职业接触限值第1部分：化学有害因素》（GBZ 2.1-2019）；</w:t>
            </w:r>
          </w:p>
          <w:p w14:paraId="25B08A26">
            <w:pPr>
              <w:adjustRightInd w:val="0"/>
              <w:snapToGrid w:val="0"/>
              <w:spacing w:line="360" w:lineRule="auto"/>
              <w:rPr>
                <w:rFonts w:ascii="Times New Roman" w:hAnsi="Times New Roman"/>
                <w:kern w:val="0"/>
                <w:sz w:val="24"/>
              </w:rPr>
            </w:pPr>
            <w:r>
              <w:rPr>
                <w:rFonts w:ascii="Times New Roman" w:hAnsi="Times New Roman"/>
                <w:kern w:val="0"/>
                <w:sz w:val="24"/>
              </w:rPr>
              <w:t>（14）《危险废物贮存污染控制标准》（GB 18597-2023）；</w:t>
            </w:r>
          </w:p>
          <w:p w14:paraId="4ECB5B5A">
            <w:pPr>
              <w:pStyle w:val="2"/>
              <w:spacing w:after="0" w:line="360" w:lineRule="auto"/>
              <w:ind w:left="0" w:leftChars="0" w:firstLine="0" w:firstLineChars="0"/>
            </w:pPr>
            <w:r>
              <w:rPr>
                <w:kern w:val="0"/>
                <w:sz w:val="24"/>
              </w:rPr>
              <w:t>（15）《危险废物收集、贮存、运输技术规范》（HJ 2025-2012）。</w:t>
            </w:r>
          </w:p>
        </w:tc>
      </w:tr>
      <w:tr w14:paraId="62CF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2" w:hRule="atLeast"/>
          <w:jc w:val="center"/>
        </w:trPr>
        <w:tc>
          <w:tcPr>
            <w:tcW w:w="623" w:type="dxa"/>
            <w:vAlign w:val="center"/>
          </w:tcPr>
          <w:p w14:paraId="448065B6">
            <w:pPr>
              <w:pStyle w:val="14"/>
              <w:spacing w:line="360" w:lineRule="auto"/>
              <w:jc w:val="center"/>
              <w:rPr>
                <w:rFonts w:ascii="Times New Roman" w:hAnsi="Times New Roman"/>
                <w:bCs/>
                <w:sz w:val="24"/>
              </w:rPr>
            </w:pPr>
            <w:r>
              <w:rPr>
                <w:rFonts w:ascii="Times New Roman" w:hAnsi="Times New Roman"/>
                <w:bCs/>
                <w:sz w:val="24"/>
              </w:rPr>
              <w:t>其他</w:t>
            </w:r>
          </w:p>
        </w:tc>
        <w:tc>
          <w:tcPr>
            <w:tcW w:w="8557" w:type="dxa"/>
          </w:tcPr>
          <w:p w14:paraId="0CCAE364">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（1）委托书；</w:t>
            </w:r>
          </w:p>
          <w:p w14:paraId="5E8238DC">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（2）《辐射防护导论》方杰，1991年6月第一版；</w:t>
            </w:r>
          </w:p>
          <w:p w14:paraId="44CC3F57">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（3）</w:t>
            </w:r>
            <w:r>
              <w:rPr>
                <w:rFonts w:ascii="Times New Roman" w:hAnsi="Times New Roman"/>
                <w:sz w:val="24"/>
              </w:rPr>
              <w:t>《放射性和辐射的安全使用》（范深根、娄云编著）</w:t>
            </w:r>
            <w:r>
              <w:rPr>
                <w:rFonts w:ascii="Times New Roman" w:hAnsi="Times New Roman"/>
                <w:kern w:val="0"/>
                <w:sz w:val="24"/>
              </w:rPr>
              <w:t>；</w:t>
            </w:r>
          </w:p>
          <w:p w14:paraId="6AA6CA43">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（4）《中国环境天然放射性水平》（中国原子能出版社，2015年）；</w:t>
            </w:r>
          </w:p>
          <w:p w14:paraId="1BAA6E7E">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 xml:space="preserve">（5）《核技术利用辐射安全和防护监督检查大纲》生态环境部（国家核安全局）； </w:t>
            </w:r>
          </w:p>
          <w:p w14:paraId="745D9ECD">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（6）射线装置参数及其他相关资料；</w:t>
            </w:r>
          </w:p>
          <w:p w14:paraId="2FBFFBBB">
            <w:pPr>
              <w:adjustRightInd w:val="0"/>
              <w:snapToGrid w:val="0"/>
              <w:spacing w:before="120" w:beforeLines="50" w:line="360" w:lineRule="auto"/>
              <w:rPr>
                <w:rFonts w:ascii="Times New Roman" w:hAnsi="Times New Roman"/>
                <w:kern w:val="0"/>
                <w:sz w:val="24"/>
              </w:rPr>
            </w:pPr>
            <w:r>
              <w:rPr>
                <w:rFonts w:ascii="Times New Roman" w:hAnsi="Times New Roman"/>
                <w:kern w:val="0"/>
                <w:sz w:val="24"/>
              </w:rPr>
              <w:t>（7）公司辐射安全防护和管理等各项工作制度。</w:t>
            </w:r>
          </w:p>
          <w:p w14:paraId="601BCA2F">
            <w:pPr>
              <w:pStyle w:val="2"/>
              <w:ind w:left="0" w:leftChars="0" w:firstLine="0" w:firstLineChars="0"/>
            </w:pPr>
          </w:p>
          <w:p w14:paraId="252848CA">
            <w:pPr>
              <w:pStyle w:val="2"/>
              <w:ind w:left="0" w:leftChars="0" w:firstLine="0" w:firstLineChars="0"/>
            </w:pPr>
          </w:p>
          <w:p w14:paraId="157D2D73">
            <w:pPr>
              <w:pStyle w:val="2"/>
              <w:ind w:left="0" w:leftChars="0" w:firstLine="0" w:firstLineChars="0"/>
            </w:pPr>
          </w:p>
          <w:p w14:paraId="7E4553DD">
            <w:pPr>
              <w:pStyle w:val="2"/>
              <w:ind w:left="0" w:leftChars="0" w:firstLine="0" w:firstLineChars="0"/>
            </w:pPr>
          </w:p>
          <w:p w14:paraId="44AF433D">
            <w:pPr>
              <w:pStyle w:val="2"/>
              <w:ind w:left="0" w:leftChars="0" w:firstLine="0" w:firstLineChars="0"/>
            </w:pPr>
          </w:p>
          <w:p w14:paraId="12B3620A">
            <w:pPr>
              <w:pStyle w:val="2"/>
              <w:ind w:left="0" w:leftChars="0" w:firstLine="0" w:firstLineChars="0"/>
            </w:pPr>
          </w:p>
          <w:p w14:paraId="06C4DC2C">
            <w:pPr>
              <w:pStyle w:val="2"/>
              <w:ind w:left="0" w:leftChars="0" w:firstLine="0" w:firstLineChars="0"/>
            </w:pPr>
          </w:p>
          <w:p w14:paraId="493F42D9">
            <w:pPr>
              <w:pStyle w:val="2"/>
              <w:ind w:left="0" w:leftChars="0" w:firstLine="0" w:firstLineChars="0"/>
            </w:pPr>
          </w:p>
          <w:p w14:paraId="1AF467E2">
            <w:pPr>
              <w:pStyle w:val="2"/>
              <w:ind w:left="0" w:leftChars="0" w:firstLine="0" w:firstLineChars="0"/>
            </w:pPr>
          </w:p>
          <w:p w14:paraId="2D4215E8">
            <w:pPr>
              <w:pStyle w:val="2"/>
              <w:ind w:left="0" w:leftChars="0" w:firstLine="0" w:firstLineChars="0"/>
            </w:pPr>
          </w:p>
          <w:p w14:paraId="5B4F1FB9">
            <w:pPr>
              <w:pStyle w:val="2"/>
              <w:ind w:left="0" w:leftChars="0" w:firstLine="0" w:firstLineChars="0"/>
            </w:pPr>
          </w:p>
          <w:p w14:paraId="0580F020">
            <w:pPr>
              <w:pStyle w:val="2"/>
              <w:ind w:left="0" w:leftChars="0" w:firstLine="0" w:firstLineChars="0"/>
            </w:pPr>
          </w:p>
          <w:p w14:paraId="5835418C">
            <w:pPr>
              <w:pStyle w:val="2"/>
              <w:ind w:left="0" w:leftChars="0" w:firstLine="0" w:firstLineChars="0"/>
            </w:pPr>
          </w:p>
          <w:p w14:paraId="4C6BE8D2">
            <w:pPr>
              <w:pStyle w:val="2"/>
              <w:ind w:left="0" w:leftChars="0" w:firstLine="0" w:firstLineChars="0"/>
            </w:pPr>
          </w:p>
        </w:tc>
      </w:tr>
    </w:tbl>
    <w:p w14:paraId="3D829897">
      <w:pPr>
        <w:pStyle w:val="14"/>
        <w:jc w:val="center"/>
        <w:rPr>
          <w:rFonts w:ascii="Times New Roman" w:hAnsi="Times New Roman"/>
          <w:b/>
          <w:bCs/>
          <w:sz w:val="32"/>
        </w:rPr>
        <w:sectPr>
          <w:pgSz w:w="11906" w:h="16838"/>
          <w:pgMar w:top="1134" w:right="1134" w:bottom="1134" w:left="1701" w:header="851" w:footer="851" w:gutter="0"/>
          <w:cols w:space="720" w:num="1"/>
          <w:docGrid w:linePitch="312" w:charSpace="0"/>
        </w:sectPr>
      </w:pPr>
    </w:p>
    <w:p w14:paraId="3DD5ACA7">
      <w:pPr>
        <w:pStyle w:val="14"/>
        <w:outlineLvl w:val="0"/>
        <w:rPr>
          <w:rFonts w:ascii="Times New Roman" w:hAnsi="Times New Roman"/>
          <w:b/>
          <w:bCs/>
          <w:szCs w:val="28"/>
        </w:rPr>
      </w:pPr>
      <w:bookmarkStart w:id="26" w:name="_Toc436229749"/>
      <w:bookmarkStart w:id="27" w:name="_Toc188277744"/>
      <w:r>
        <w:rPr>
          <w:rFonts w:ascii="Times New Roman" w:hAnsi="Times New Roman"/>
          <w:b/>
          <w:bCs/>
          <w:szCs w:val="28"/>
        </w:rPr>
        <w:t>表7</w:t>
      </w:r>
      <w:bookmarkEnd w:id="26"/>
      <w:r>
        <w:rPr>
          <w:rFonts w:ascii="Times New Roman" w:hAnsi="Times New Roman"/>
          <w:b/>
          <w:bCs/>
          <w:szCs w:val="28"/>
        </w:rPr>
        <w:t xml:space="preserve"> 保护目标与评价标准</w:t>
      </w:r>
      <w:bookmarkEnd w:id="27"/>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1"/>
      </w:tblGrid>
      <w:tr w14:paraId="79D8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1" w:type="dxa"/>
          </w:tcPr>
          <w:p w14:paraId="494D6AAB">
            <w:pPr>
              <w:adjustRightInd w:val="0"/>
              <w:snapToGrid w:val="0"/>
              <w:spacing w:before="120" w:beforeLines="50" w:line="360" w:lineRule="auto"/>
              <w:rPr>
                <w:rFonts w:ascii="Times New Roman" w:hAnsi="Times New Roman"/>
                <w:b/>
                <w:bCs/>
                <w:sz w:val="28"/>
                <w:szCs w:val="28"/>
              </w:rPr>
            </w:pPr>
            <w:r>
              <w:rPr>
                <w:rFonts w:ascii="Times New Roman" w:hAnsi="Times New Roman"/>
                <w:b/>
                <w:bCs/>
                <w:sz w:val="28"/>
                <w:szCs w:val="28"/>
              </w:rPr>
              <w:t>评价范围</w:t>
            </w:r>
          </w:p>
          <w:p w14:paraId="3A020075">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根据本项目X射线探伤的情况，按照《辐射环境保护管理导则核技术利用建设项目 环境影响评价文件的内容和格式》（HJ 10.1-2016）中第1.5款评价范围和保护目标的要求，“放射源和射线装置应用项目的评价范围，通常取装置所在场所实体屏蔽物边界外50m的范围（无实体边界项目视具体情况而定，应不低于100m的范围），对于Ⅰ类放射源或Ⅰ类射线装置的项目可根据环境影响的范围适当扩大”，本项目使用II类射线装置，因此，确定本项目野外（室外）探伤评价范围为各型号X射线探伤机监督区边界，</w:t>
            </w:r>
            <w:r>
              <w:rPr>
                <w:rFonts w:hint="eastAsia" w:ascii="Times New Roman" w:hAnsi="Times New Roman"/>
                <w:kern w:val="0"/>
                <w:sz w:val="24"/>
              </w:rPr>
              <w:t>剂量率达到监督区边界要求的区域（监督区边界距离探伤机少于</w:t>
            </w:r>
            <w:r>
              <w:rPr>
                <w:rFonts w:ascii="Times New Roman" w:hAnsi="Times New Roman"/>
                <w:kern w:val="0"/>
                <w:sz w:val="24"/>
              </w:rPr>
              <w:t>100m</w:t>
            </w:r>
            <w:r>
              <w:rPr>
                <w:rFonts w:hint="eastAsia" w:ascii="Times New Roman" w:hAnsi="Times New Roman"/>
                <w:kern w:val="0"/>
                <w:sz w:val="24"/>
              </w:rPr>
              <w:t>的，应取以探伤机所在位置为中心外</w:t>
            </w:r>
            <w:r>
              <w:rPr>
                <w:rFonts w:ascii="Times New Roman" w:hAnsi="Times New Roman"/>
                <w:kern w:val="0"/>
                <w:sz w:val="24"/>
              </w:rPr>
              <w:t>100m</w:t>
            </w:r>
            <w:r>
              <w:rPr>
                <w:rFonts w:hint="eastAsia" w:ascii="Times New Roman" w:hAnsi="Times New Roman"/>
                <w:kern w:val="0"/>
                <w:sz w:val="24"/>
              </w:rPr>
              <w:t>的范围作为评价范围）</w:t>
            </w:r>
            <w:r>
              <w:rPr>
                <w:rFonts w:ascii="Times New Roman" w:hAnsi="Times New Roman"/>
                <w:kern w:val="0"/>
                <w:sz w:val="24"/>
              </w:rPr>
              <w:t>。</w:t>
            </w:r>
          </w:p>
        </w:tc>
      </w:tr>
      <w:tr w14:paraId="1121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1" w:type="dxa"/>
            <w:vAlign w:val="center"/>
          </w:tcPr>
          <w:p w14:paraId="7B72D075">
            <w:pPr>
              <w:adjustRightInd w:val="0"/>
              <w:snapToGrid w:val="0"/>
              <w:spacing w:before="120" w:beforeLines="50" w:line="360" w:lineRule="auto"/>
              <w:jc w:val="left"/>
              <w:rPr>
                <w:rFonts w:ascii="Times New Roman" w:hAnsi="Times New Roman"/>
                <w:b/>
                <w:bCs/>
                <w:sz w:val="28"/>
                <w:szCs w:val="28"/>
              </w:rPr>
            </w:pPr>
            <w:r>
              <w:rPr>
                <w:rFonts w:ascii="Times New Roman" w:hAnsi="Times New Roman"/>
                <w:b/>
                <w:bCs/>
                <w:sz w:val="28"/>
                <w:szCs w:val="28"/>
              </w:rPr>
              <w:t>保护目标</w:t>
            </w:r>
          </w:p>
          <w:p w14:paraId="7EB423A4">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本项目野外（室外）探伤地点为野外、管道线路或其他企业的厂区内（具体使用地点不固定）。在野外、其他企业的厂区内，周围人口密度较小；在暖气管道或燃气管道等位于室外但距离居民住宅区较近的区域，人口密度较大。</w:t>
            </w:r>
            <w:r>
              <w:rPr>
                <w:rFonts w:hint="eastAsia" w:ascii="Times New Roman" w:hAnsi="Times New Roman"/>
                <w:kern w:val="0"/>
                <w:sz w:val="24"/>
              </w:rPr>
              <w:t>本项目环境保护目标为现场探伤时评价范围内活动的工作人员以及探伤机周边的非放射性工作人员和公众。主要考虑工业</w:t>
            </w:r>
            <w:r>
              <w:rPr>
                <w:rFonts w:ascii="Times New Roman" w:hAnsi="Times New Roman"/>
                <w:kern w:val="0"/>
                <w:sz w:val="24"/>
              </w:rPr>
              <w:t>X</w:t>
            </w:r>
            <w:r>
              <w:rPr>
                <w:rFonts w:hint="eastAsia" w:ascii="Times New Roman" w:hAnsi="Times New Roman"/>
                <w:kern w:val="0"/>
                <w:sz w:val="24"/>
              </w:rPr>
              <w:t>射线探伤机运行过程中泄漏的</w:t>
            </w:r>
            <w:r>
              <w:rPr>
                <w:rFonts w:ascii="Times New Roman" w:hAnsi="Times New Roman"/>
                <w:kern w:val="0"/>
                <w:sz w:val="24"/>
              </w:rPr>
              <w:t>X</w:t>
            </w:r>
            <w:r>
              <w:rPr>
                <w:rFonts w:hint="eastAsia" w:ascii="Times New Roman" w:hAnsi="Times New Roman"/>
                <w:kern w:val="0"/>
                <w:sz w:val="24"/>
              </w:rPr>
              <w:t>射线对工作人员、周围公众及周围环境的影响，确保项目运行时，工作人员及周围公众受照剂量尽可能低。</w:t>
            </w:r>
            <w:r>
              <w:rPr>
                <w:rFonts w:ascii="Times New Roman" w:hAnsi="Times New Roman"/>
                <w:kern w:val="0"/>
                <w:sz w:val="24"/>
              </w:rPr>
              <w:t>因此控制区外监督区内的辐射工作人员，监督区外评价范围的公众均为环境保护目标。</w:t>
            </w:r>
          </w:p>
          <w:p w14:paraId="5FC8569E">
            <w:pPr>
              <w:pStyle w:val="90"/>
              <w:widowControl w:val="0"/>
              <w:rPr>
                <w:b/>
              </w:rPr>
            </w:pPr>
            <w:r>
              <w:rPr>
                <w:b/>
              </w:rPr>
              <w:t xml:space="preserve">表7-1 </w:t>
            </w:r>
            <w:r>
              <w:rPr>
                <w:b/>
                <w:bCs/>
              </w:rPr>
              <w:t>野外（室外）探伤环境保护目标一览表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644"/>
              <w:gridCol w:w="1472"/>
              <w:gridCol w:w="1473"/>
              <w:gridCol w:w="1473"/>
              <w:gridCol w:w="1473"/>
            </w:tblGrid>
            <w:tr w14:paraId="3F33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23AFD7F9">
                  <w:pPr>
                    <w:pStyle w:val="90"/>
                    <w:widowControl w:val="0"/>
                    <w:rPr>
                      <w:b/>
                    </w:rPr>
                  </w:pPr>
                  <w:bookmarkStart w:id="28" w:name="OLE_LINK20"/>
                  <w:bookmarkStart w:id="29" w:name="OLE_LINK17"/>
                  <w:r>
                    <w:rPr>
                      <w:b/>
                      <w:szCs w:val="21"/>
                    </w:rPr>
                    <w:t>保护目标</w:t>
                  </w:r>
                </w:p>
              </w:tc>
              <w:tc>
                <w:tcPr>
                  <w:tcW w:w="1644" w:type="dxa"/>
                  <w:vAlign w:val="center"/>
                </w:tcPr>
                <w:p w14:paraId="2BFD2681">
                  <w:pPr>
                    <w:pStyle w:val="90"/>
                    <w:widowControl w:val="0"/>
                    <w:rPr>
                      <w:b/>
                    </w:rPr>
                  </w:pPr>
                  <w:r>
                    <w:rPr>
                      <w:b/>
                      <w:szCs w:val="21"/>
                    </w:rPr>
                    <w:t>相对设备方位</w:t>
                  </w:r>
                </w:p>
              </w:tc>
              <w:tc>
                <w:tcPr>
                  <w:tcW w:w="1472" w:type="dxa"/>
                  <w:vAlign w:val="center"/>
                </w:tcPr>
                <w:p w14:paraId="29BADB70">
                  <w:pPr>
                    <w:pStyle w:val="90"/>
                    <w:widowControl w:val="0"/>
                    <w:rPr>
                      <w:b/>
                    </w:rPr>
                  </w:pPr>
                  <w:r>
                    <w:rPr>
                      <w:b/>
                      <w:szCs w:val="21"/>
                    </w:rPr>
                    <w:t>与辐射源最近距离（m）</w:t>
                  </w:r>
                </w:p>
              </w:tc>
              <w:tc>
                <w:tcPr>
                  <w:tcW w:w="1473" w:type="dxa"/>
                  <w:vAlign w:val="center"/>
                </w:tcPr>
                <w:p w14:paraId="0081107D">
                  <w:pPr>
                    <w:pStyle w:val="90"/>
                    <w:widowControl w:val="0"/>
                    <w:rPr>
                      <w:b/>
                    </w:rPr>
                  </w:pPr>
                  <w:r>
                    <w:rPr>
                      <w:b/>
                      <w:szCs w:val="21"/>
                    </w:rPr>
                    <w:t>最大人流量（人次/d）</w:t>
                  </w:r>
                </w:p>
              </w:tc>
              <w:tc>
                <w:tcPr>
                  <w:tcW w:w="1473" w:type="dxa"/>
                  <w:vAlign w:val="center"/>
                </w:tcPr>
                <w:p w14:paraId="726232BF">
                  <w:pPr>
                    <w:pStyle w:val="90"/>
                    <w:widowControl w:val="0"/>
                    <w:rPr>
                      <w:b/>
                    </w:rPr>
                  </w:pPr>
                  <w:r>
                    <w:rPr>
                      <w:b/>
                      <w:szCs w:val="21"/>
                    </w:rPr>
                    <w:t>照射类型</w:t>
                  </w:r>
                </w:p>
              </w:tc>
              <w:tc>
                <w:tcPr>
                  <w:tcW w:w="1473" w:type="dxa"/>
                  <w:vAlign w:val="center"/>
                </w:tcPr>
                <w:p w14:paraId="3C41B117">
                  <w:pPr>
                    <w:pStyle w:val="90"/>
                    <w:widowControl w:val="0"/>
                    <w:rPr>
                      <w:b/>
                    </w:rPr>
                  </w:pPr>
                  <w:r>
                    <w:rPr>
                      <w:b/>
                      <w:szCs w:val="21"/>
                    </w:rPr>
                    <w:t>年剂量约束值（mSv）</w:t>
                  </w:r>
                </w:p>
              </w:tc>
            </w:tr>
            <w:tr w14:paraId="2B0B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37C2B945">
                  <w:pPr>
                    <w:pStyle w:val="90"/>
                    <w:widowControl w:val="0"/>
                  </w:pPr>
                  <w:r>
                    <w:rPr>
                      <w:szCs w:val="21"/>
                    </w:rPr>
                    <w:t>职业人员</w:t>
                  </w:r>
                </w:p>
              </w:tc>
              <w:tc>
                <w:tcPr>
                  <w:tcW w:w="1644" w:type="dxa"/>
                  <w:vAlign w:val="center"/>
                </w:tcPr>
                <w:p w14:paraId="444A6468">
                  <w:pPr>
                    <w:pStyle w:val="90"/>
                    <w:widowControl w:val="0"/>
                  </w:pPr>
                  <w:r>
                    <w:rPr>
                      <w:szCs w:val="21"/>
                    </w:rPr>
                    <w:t>非主射方向</w:t>
                  </w:r>
                </w:p>
              </w:tc>
              <w:tc>
                <w:tcPr>
                  <w:tcW w:w="1472" w:type="dxa"/>
                  <w:vAlign w:val="center"/>
                </w:tcPr>
                <w:p w14:paraId="74FAC989">
                  <w:pPr>
                    <w:pStyle w:val="90"/>
                    <w:widowControl w:val="0"/>
                  </w:pPr>
                  <w:r>
                    <w:rPr>
                      <w:szCs w:val="21"/>
                    </w:rPr>
                    <w:t>控制区外，监督区内</w:t>
                  </w:r>
                </w:p>
              </w:tc>
              <w:tc>
                <w:tcPr>
                  <w:tcW w:w="1473" w:type="dxa"/>
                  <w:vAlign w:val="center"/>
                </w:tcPr>
                <w:p w14:paraId="54129237">
                  <w:pPr>
                    <w:pStyle w:val="90"/>
                    <w:widowControl w:val="0"/>
                  </w:pPr>
                  <w:r>
                    <w:t>4</w:t>
                  </w:r>
                </w:p>
              </w:tc>
              <w:tc>
                <w:tcPr>
                  <w:tcW w:w="1473" w:type="dxa"/>
                  <w:vAlign w:val="center"/>
                </w:tcPr>
                <w:p w14:paraId="67803526">
                  <w:pPr>
                    <w:pStyle w:val="90"/>
                    <w:widowControl w:val="0"/>
                  </w:pPr>
                  <w:r>
                    <w:rPr>
                      <w:szCs w:val="21"/>
                    </w:rPr>
                    <w:t>职业照射</w:t>
                  </w:r>
                </w:p>
              </w:tc>
              <w:tc>
                <w:tcPr>
                  <w:tcW w:w="1473" w:type="dxa"/>
                  <w:vAlign w:val="center"/>
                </w:tcPr>
                <w:p w14:paraId="3C83E598">
                  <w:pPr>
                    <w:pStyle w:val="90"/>
                    <w:widowControl w:val="0"/>
                  </w:pPr>
                  <w:r>
                    <w:t>5.0</w:t>
                  </w:r>
                </w:p>
              </w:tc>
            </w:tr>
            <w:tr w14:paraId="3D0E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0118C905">
                  <w:pPr>
                    <w:pStyle w:val="90"/>
                    <w:widowControl w:val="0"/>
                  </w:pPr>
                  <w:r>
                    <w:rPr>
                      <w:szCs w:val="21"/>
                    </w:rPr>
                    <w:t>公众</w:t>
                  </w:r>
                </w:p>
              </w:tc>
              <w:tc>
                <w:tcPr>
                  <w:tcW w:w="1644" w:type="dxa"/>
                  <w:vAlign w:val="center"/>
                </w:tcPr>
                <w:p w14:paraId="2EE47658">
                  <w:pPr>
                    <w:pStyle w:val="90"/>
                    <w:widowControl w:val="0"/>
                  </w:pPr>
                  <w:r>
                    <w:rPr>
                      <w:szCs w:val="21"/>
                    </w:rPr>
                    <w:t>不定</w:t>
                  </w:r>
                </w:p>
              </w:tc>
              <w:tc>
                <w:tcPr>
                  <w:tcW w:w="1472" w:type="dxa"/>
                  <w:vAlign w:val="center"/>
                </w:tcPr>
                <w:p w14:paraId="0D9CEA49">
                  <w:pPr>
                    <w:pStyle w:val="90"/>
                    <w:widowControl w:val="0"/>
                  </w:pPr>
                  <w:r>
                    <w:rPr>
                      <w:szCs w:val="21"/>
                    </w:rPr>
                    <w:t>监督区外，评价范围内</w:t>
                  </w:r>
                </w:p>
              </w:tc>
              <w:tc>
                <w:tcPr>
                  <w:tcW w:w="1473" w:type="dxa"/>
                  <w:vAlign w:val="center"/>
                </w:tcPr>
                <w:p w14:paraId="57D4A91B">
                  <w:pPr>
                    <w:pStyle w:val="90"/>
                    <w:widowControl w:val="0"/>
                  </w:pPr>
                  <w:r>
                    <w:rPr>
                      <w:szCs w:val="21"/>
                    </w:rPr>
                    <w:t>不定</w:t>
                  </w:r>
                </w:p>
              </w:tc>
              <w:tc>
                <w:tcPr>
                  <w:tcW w:w="1473" w:type="dxa"/>
                  <w:vAlign w:val="center"/>
                </w:tcPr>
                <w:p w14:paraId="146843F2">
                  <w:pPr>
                    <w:pStyle w:val="90"/>
                    <w:widowControl w:val="0"/>
                  </w:pPr>
                  <w:r>
                    <w:rPr>
                      <w:szCs w:val="21"/>
                    </w:rPr>
                    <w:t>公众照射</w:t>
                  </w:r>
                </w:p>
              </w:tc>
              <w:tc>
                <w:tcPr>
                  <w:tcW w:w="1473" w:type="dxa"/>
                  <w:vAlign w:val="center"/>
                </w:tcPr>
                <w:p w14:paraId="7F034F83">
                  <w:pPr>
                    <w:pStyle w:val="90"/>
                    <w:widowControl w:val="0"/>
                  </w:pPr>
                  <w:r>
                    <w:t>0.25</w:t>
                  </w:r>
                </w:p>
              </w:tc>
            </w:tr>
            <w:bookmarkEnd w:id="28"/>
            <w:bookmarkEnd w:id="29"/>
          </w:tbl>
          <w:p w14:paraId="670921D3">
            <w:pPr>
              <w:pStyle w:val="90"/>
              <w:widowControl w:val="0"/>
            </w:pPr>
          </w:p>
          <w:p w14:paraId="64637677">
            <w:pPr>
              <w:pStyle w:val="90"/>
              <w:widowControl w:val="0"/>
            </w:pPr>
          </w:p>
          <w:p w14:paraId="56C492C3">
            <w:pPr>
              <w:pStyle w:val="90"/>
              <w:widowControl w:val="0"/>
            </w:pPr>
          </w:p>
          <w:p w14:paraId="4E3F3362">
            <w:pPr>
              <w:pStyle w:val="90"/>
              <w:widowControl w:val="0"/>
            </w:pPr>
          </w:p>
          <w:p w14:paraId="69A309B2">
            <w:pPr>
              <w:pStyle w:val="90"/>
              <w:widowControl w:val="0"/>
            </w:pPr>
          </w:p>
          <w:p w14:paraId="2EB7DC5D">
            <w:pPr>
              <w:pStyle w:val="90"/>
              <w:widowControl w:val="0"/>
            </w:pPr>
          </w:p>
          <w:p w14:paraId="5E8DA86F">
            <w:pPr>
              <w:pStyle w:val="90"/>
              <w:widowControl w:val="0"/>
            </w:pPr>
          </w:p>
          <w:p w14:paraId="7B83A38E">
            <w:pPr>
              <w:pStyle w:val="90"/>
              <w:widowControl w:val="0"/>
            </w:pPr>
          </w:p>
          <w:p w14:paraId="04267ABF">
            <w:pPr>
              <w:pStyle w:val="90"/>
              <w:widowControl w:val="0"/>
            </w:pPr>
          </w:p>
          <w:p w14:paraId="533FA41D">
            <w:pPr>
              <w:pStyle w:val="90"/>
              <w:widowControl w:val="0"/>
            </w:pPr>
          </w:p>
          <w:p w14:paraId="4B87C540">
            <w:pPr>
              <w:pStyle w:val="90"/>
              <w:widowControl w:val="0"/>
            </w:pPr>
          </w:p>
          <w:p w14:paraId="32A7047D">
            <w:pPr>
              <w:pStyle w:val="90"/>
              <w:widowControl w:val="0"/>
            </w:pPr>
          </w:p>
          <w:p w14:paraId="4C63F9E3">
            <w:pPr>
              <w:pStyle w:val="90"/>
              <w:widowControl w:val="0"/>
            </w:pPr>
          </w:p>
          <w:p w14:paraId="3276686F">
            <w:pPr>
              <w:pStyle w:val="90"/>
              <w:widowControl w:val="0"/>
            </w:pPr>
          </w:p>
          <w:p w14:paraId="5C373186">
            <w:pPr>
              <w:pStyle w:val="90"/>
              <w:widowControl w:val="0"/>
              <w:jc w:val="both"/>
            </w:pPr>
          </w:p>
          <w:p w14:paraId="4C73CA34">
            <w:pPr>
              <w:pStyle w:val="90"/>
              <w:widowControl w:val="0"/>
              <w:jc w:val="both"/>
              <w:rPr>
                <w:sz w:val="18"/>
              </w:rPr>
            </w:pPr>
          </w:p>
        </w:tc>
      </w:tr>
      <w:tr w14:paraId="5AD3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8" w:hRule="atLeast"/>
          <w:jc w:val="center"/>
        </w:trPr>
        <w:tc>
          <w:tcPr>
            <w:tcW w:w="9161" w:type="dxa"/>
          </w:tcPr>
          <w:p w14:paraId="3D480BDF">
            <w:pPr>
              <w:adjustRightInd w:val="0"/>
              <w:snapToGrid w:val="0"/>
              <w:spacing w:before="120" w:beforeLines="50" w:line="360" w:lineRule="auto"/>
              <w:jc w:val="left"/>
              <w:rPr>
                <w:rFonts w:ascii="Times New Roman" w:hAnsi="Times New Roman"/>
                <w:b/>
                <w:bCs/>
                <w:sz w:val="28"/>
                <w:szCs w:val="28"/>
              </w:rPr>
            </w:pPr>
            <w:r>
              <w:rPr>
                <w:rFonts w:ascii="Times New Roman" w:hAnsi="Times New Roman"/>
                <w:b/>
                <w:bCs/>
                <w:sz w:val="28"/>
                <w:szCs w:val="28"/>
              </w:rPr>
              <w:t>评价标准</w:t>
            </w:r>
          </w:p>
          <w:p w14:paraId="0FFC34F1">
            <w:pPr>
              <w:pStyle w:val="14"/>
              <w:spacing w:line="360" w:lineRule="auto"/>
              <w:rPr>
                <w:rFonts w:ascii="Times New Roman" w:hAnsi="Times New Roman"/>
                <w:b/>
                <w:kern w:val="0"/>
                <w:sz w:val="24"/>
              </w:rPr>
            </w:pPr>
            <w:r>
              <w:rPr>
                <w:rFonts w:ascii="Times New Roman" w:hAnsi="Times New Roman"/>
                <w:b/>
                <w:kern w:val="0"/>
                <w:sz w:val="24"/>
              </w:rPr>
              <w:t>一、人员受照剂量</w:t>
            </w:r>
          </w:p>
          <w:p w14:paraId="5987CD9A">
            <w:pPr>
              <w:pStyle w:val="14"/>
              <w:spacing w:line="360" w:lineRule="auto"/>
              <w:ind w:firstLine="482" w:firstLineChars="200"/>
              <w:rPr>
                <w:rFonts w:ascii="Times New Roman" w:hAnsi="Times New Roman"/>
                <w:b/>
                <w:kern w:val="0"/>
                <w:sz w:val="24"/>
              </w:rPr>
            </w:pPr>
            <w:r>
              <w:rPr>
                <w:rFonts w:ascii="Times New Roman" w:hAnsi="Times New Roman"/>
                <w:b/>
                <w:kern w:val="0"/>
                <w:sz w:val="24"/>
              </w:rPr>
              <w:t>《电离辐射防护与辐射源安全基本标准》（GB 18871-2002）</w:t>
            </w:r>
          </w:p>
          <w:p w14:paraId="49E774CC">
            <w:pPr>
              <w:overflowPunct w:val="0"/>
              <w:autoSpaceDE w:val="0"/>
              <w:spacing w:line="360" w:lineRule="auto"/>
              <w:ind w:firstLine="480" w:firstLineChars="200"/>
              <w:rPr>
                <w:rFonts w:ascii="Times New Roman" w:hAnsi="Times New Roman"/>
                <w:sz w:val="24"/>
              </w:rPr>
            </w:pPr>
            <w:r>
              <w:rPr>
                <w:rFonts w:ascii="Times New Roman" w:hAnsi="Times New Roman"/>
                <w:sz w:val="24"/>
              </w:rPr>
              <w:t>B1.1.1 应对任何工作人员的职业照射水平进行控制，使之不超过下述限制：</w:t>
            </w:r>
          </w:p>
          <w:p w14:paraId="4F788682">
            <w:pPr>
              <w:overflowPunct w:val="0"/>
              <w:autoSpaceDE w:val="0"/>
              <w:spacing w:line="360" w:lineRule="auto"/>
              <w:ind w:firstLine="480" w:firstLineChars="200"/>
              <w:rPr>
                <w:rFonts w:ascii="Times New Roman" w:hAnsi="Times New Roman"/>
                <w:sz w:val="24"/>
              </w:rPr>
            </w:pPr>
            <w:r>
              <w:rPr>
                <w:rFonts w:ascii="Times New Roman" w:hAnsi="Times New Roman"/>
                <w:sz w:val="24"/>
              </w:rPr>
              <w:t>a）由审管部门决定的连续5年的年平均有效剂量（但不可做任何追溯平均），20mSv；（取其四分之一即5mSv作为职业工作人员的年有效剂量约束值）。</w:t>
            </w:r>
          </w:p>
          <w:p w14:paraId="5DCCFF3E">
            <w:pPr>
              <w:overflowPunct w:val="0"/>
              <w:autoSpaceDE w:val="0"/>
              <w:spacing w:line="360" w:lineRule="auto"/>
              <w:ind w:firstLine="480" w:firstLineChars="200"/>
              <w:rPr>
                <w:rFonts w:ascii="Times New Roman" w:hAnsi="Times New Roman"/>
                <w:sz w:val="24"/>
              </w:rPr>
            </w:pPr>
            <w:r>
              <w:rPr>
                <w:rFonts w:ascii="Times New Roman" w:hAnsi="Times New Roman"/>
                <w:sz w:val="24"/>
              </w:rPr>
              <w:t>B1.2.1 剂量限值实践使公众中有关关键人群组的成员所受到的平均剂量估计值不应超过下述限值：</w:t>
            </w:r>
          </w:p>
          <w:p w14:paraId="1C68DB72">
            <w:pPr>
              <w:overflowPunct w:val="0"/>
              <w:autoSpaceDE w:val="0"/>
              <w:spacing w:line="360" w:lineRule="auto"/>
              <w:ind w:firstLine="480" w:firstLineChars="200"/>
              <w:rPr>
                <w:rFonts w:ascii="Times New Roman" w:hAnsi="Times New Roman"/>
                <w:sz w:val="24"/>
              </w:rPr>
            </w:pPr>
            <w:r>
              <w:rPr>
                <w:rFonts w:ascii="Times New Roman" w:hAnsi="Times New Roman"/>
                <w:sz w:val="24"/>
              </w:rPr>
              <w:t>a）年有效剂量，1mSv；（取其四分之一即0.25mSv作为公众人员的年有效剂量约束值）。</w:t>
            </w:r>
          </w:p>
          <w:p w14:paraId="7DB769CB">
            <w:pPr>
              <w:overflowPunct w:val="0"/>
              <w:spacing w:line="360" w:lineRule="auto"/>
              <w:rPr>
                <w:rFonts w:ascii="Times New Roman" w:hAnsi="Times New Roman"/>
                <w:b/>
                <w:sz w:val="24"/>
              </w:rPr>
            </w:pPr>
            <w:r>
              <w:rPr>
                <w:rFonts w:ascii="Times New Roman" w:hAnsi="Times New Roman"/>
                <w:b/>
                <w:sz w:val="24"/>
                <w:lang w:bidi="ar"/>
              </w:rPr>
              <w:t>二、探伤相关标准</w:t>
            </w:r>
          </w:p>
          <w:p w14:paraId="00629898">
            <w:pPr>
              <w:overflowPunct w:val="0"/>
              <w:spacing w:line="360" w:lineRule="auto"/>
              <w:ind w:firstLine="482" w:firstLineChars="200"/>
              <w:rPr>
                <w:rFonts w:ascii="Times New Roman" w:hAnsi="Times New Roman"/>
                <w:b/>
                <w:bCs/>
                <w:sz w:val="24"/>
              </w:rPr>
            </w:pPr>
            <w:r>
              <w:rPr>
                <w:rFonts w:hint="eastAsia" w:ascii="Times New Roman" w:hAnsi="Times New Roman"/>
                <w:b/>
                <w:bCs/>
                <w:sz w:val="24"/>
                <w:lang w:bidi="ar"/>
              </w:rPr>
              <w:t>1、</w:t>
            </w:r>
            <w:r>
              <w:rPr>
                <w:rFonts w:ascii="Times New Roman" w:hAnsi="Times New Roman"/>
                <w:b/>
                <w:bCs/>
                <w:sz w:val="24"/>
                <w:lang w:bidi="ar"/>
              </w:rPr>
              <w:t>根据《工业探伤放射防护标准》（GBZ 117-2022）要求：</w:t>
            </w:r>
          </w:p>
          <w:p w14:paraId="1F36F7EF">
            <w:pPr>
              <w:overflowPunct w:val="0"/>
              <w:spacing w:line="360" w:lineRule="auto"/>
              <w:ind w:firstLine="482" w:firstLineChars="200"/>
              <w:rPr>
                <w:rFonts w:ascii="Times New Roman" w:hAnsi="Times New Roman"/>
                <w:b/>
                <w:sz w:val="24"/>
                <w:lang w:bidi="ar"/>
              </w:rPr>
            </w:pPr>
            <w:r>
              <w:rPr>
                <w:rFonts w:ascii="Times New Roman" w:hAnsi="Times New Roman"/>
                <w:b/>
                <w:sz w:val="24"/>
                <w:lang w:bidi="ar"/>
              </w:rPr>
              <w:t>（1）作业前准备</w:t>
            </w:r>
          </w:p>
          <w:p w14:paraId="74079DFC">
            <w:pPr>
              <w:overflowPunct w:val="0"/>
              <w:spacing w:line="360" w:lineRule="auto"/>
              <w:ind w:firstLine="480" w:firstLineChars="200"/>
              <w:rPr>
                <w:rFonts w:ascii="Times New Roman" w:hAnsi="Times New Roman"/>
                <w:sz w:val="24"/>
                <w:lang w:bidi="ar"/>
              </w:rPr>
            </w:pPr>
            <w:r>
              <w:rPr>
                <w:rFonts w:ascii="Times New Roman" w:hAnsi="Times New Roman"/>
                <w:sz w:val="24"/>
                <w:lang w:bidi="ar"/>
              </w:rPr>
              <w:t>在实施移动式探伤工作之前，使用单位应对工作环境进行全面评估，以保证实现安全操作。评估内容至少应包括工作地点的选择、接触的工人与附近的公众、天气条件、探伤时间、是否高空作业、作业空间等。应考虑移动式探伤对工作场所内其他的辐射探测系统带来的影响（如烟雾报警器等）。</w:t>
            </w:r>
          </w:p>
          <w:p w14:paraId="4EDB4A59">
            <w:pPr>
              <w:overflowPunct w:val="0"/>
              <w:spacing w:line="360" w:lineRule="auto"/>
              <w:ind w:firstLine="480" w:firstLineChars="200"/>
              <w:rPr>
                <w:rFonts w:ascii="Times New Roman" w:hAnsi="Times New Roman"/>
                <w:sz w:val="24"/>
                <w:lang w:bidi="ar"/>
              </w:rPr>
            </w:pPr>
            <w:r>
              <w:rPr>
                <w:rFonts w:ascii="Times New Roman" w:hAnsi="Times New Roman"/>
                <w:sz w:val="24"/>
                <w:lang w:bidi="ar"/>
              </w:rPr>
              <w:t>使用单位应确保开展移动式探伤工作的每台探伤机至少应配备两名专职工作人员。</w:t>
            </w:r>
          </w:p>
          <w:p w14:paraId="6186B276">
            <w:pPr>
              <w:overflowPunct w:val="0"/>
              <w:spacing w:line="360" w:lineRule="auto"/>
              <w:ind w:firstLine="480" w:firstLineChars="200"/>
              <w:rPr>
                <w:rFonts w:ascii="Times New Roman" w:hAnsi="Times New Roman"/>
                <w:sz w:val="24"/>
                <w:lang w:bidi="ar"/>
              </w:rPr>
            </w:pPr>
            <w:r>
              <w:rPr>
                <w:rFonts w:ascii="Times New Roman" w:hAnsi="Times New Roman"/>
                <w:sz w:val="24"/>
                <w:lang w:bidi="ar"/>
              </w:rPr>
              <w:t>移动式探伤工作如在委托单位的工作场地实施准备和规划，使用单位应与委托单位协商适当的探伤地点和探伤时间、现场的通告、警告标识和报警信号等，避免造成混淆。委托单位应给予探伤作业人员充足的时间以确保探伤工作的安全开展和所需安全措施的实施。</w:t>
            </w:r>
          </w:p>
          <w:p w14:paraId="6184BED5">
            <w:pPr>
              <w:overflowPunct w:val="0"/>
              <w:spacing w:line="360" w:lineRule="auto"/>
              <w:ind w:firstLine="482" w:firstLineChars="200"/>
              <w:rPr>
                <w:rFonts w:ascii="Times New Roman" w:hAnsi="Times New Roman"/>
                <w:b/>
                <w:sz w:val="24"/>
              </w:rPr>
            </w:pPr>
            <w:r>
              <w:rPr>
                <w:rFonts w:ascii="Times New Roman" w:hAnsi="Times New Roman"/>
                <w:b/>
                <w:sz w:val="24"/>
                <w:lang w:bidi="ar"/>
              </w:rPr>
              <w:t>（2）探伤作业分区设置要求</w:t>
            </w:r>
          </w:p>
          <w:p w14:paraId="3C99D363">
            <w:pPr>
              <w:pStyle w:val="32"/>
              <w:widowControl w:val="0"/>
              <w:spacing w:before="0" w:beforeAutospacing="0" w:after="0" w:afterAutospacing="0" w:line="360" w:lineRule="auto"/>
              <w:ind w:firstLine="480" w:firstLineChars="200"/>
              <w:jc w:val="both"/>
              <w:rPr>
                <w:rFonts w:ascii="Times New Roman" w:hAnsi="Times New Roman" w:cs="Times New Roman"/>
                <w:lang w:bidi="ar"/>
              </w:rPr>
            </w:pPr>
            <w:r>
              <w:rPr>
                <w:rFonts w:ascii="Times New Roman" w:hAnsi="Times New Roman" w:cs="Times New Roman"/>
                <w:lang w:bidi="ar"/>
              </w:rPr>
              <w:t>应对探伤工作场所实行分区管理，分区管理应符合GB 18871的要求。</w:t>
            </w:r>
          </w:p>
          <w:p w14:paraId="744F554D">
            <w:pPr>
              <w:pStyle w:val="32"/>
              <w:widowControl w:val="0"/>
              <w:spacing w:before="0" w:beforeAutospacing="0" w:after="0" w:afterAutospacing="0" w:line="360" w:lineRule="auto"/>
              <w:ind w:firstLine="420"/>
              <w:jc w:val="both"/>
              <w:rPr>
                <w:rFonts w:ascii="Times New Roman" w:hAnsi="Times New Roman" w:cs="Times New Roman"/>
              </w:rPr>
            </w:pPr>
            <w:r>
              <w:rPr>
                <w:rFonts w:hint="eastAsia"/>
                <w:lang w:bidi="ar"/>
              </w:rPr>
              <w:t>①</w:t>
            </w:r>
            <w:r>
              <w:rPr>
                <w:rFonts w:ascii="Times New Roman" w:hAnsi="Times New Roman" w:cs="Times New Roman"/>
              </w:rPr>
              <w:t>一般应将作业场所中周围剂量当量率大于15μSv/h的区域划为控制区</w:t>
            </w:r>
          </w:p>
          <w:p w14:paraId="22887119">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lang w:bidi="ar"/>
              </w:rPr>
              <w:t>②</w:t>
            </w:r>
            <w:r>
              <w:rPr>
                <w:rFonts w:ascii="Times New Roman" w:hAnsi="Times New Roman" w:cs="Times New Roman"/>
              </w:rPr>
              <w:t>应将控制区边界外、作业时周围剂量当量率大于2.5μSv/h的范围划为监督区，并在其边界上悬挂清晰可见的“无关人员禁止入内”警告牌，必要时设专人警戒。</w:t>
            </w:r>
          </w:p>
          <w:p w14:paraId="676784F3">
            <w:pPr>
              <w:pStyle w:val="32"/>
              <w:widowControl w:val="0"/>
              <w:spacing w:before="0" w:beforeAutospacing="0" w:after="0" w:afterAutospacing="0" w:line="360" w:lineRule="auto"/>
              <w:ind w:firstLine="482" w:firstLineChars="200"/>
              <w:jc w:val="both"/>
              <w:rPr>
                <w:rFonts w:ascii="Times New Roman" w:hAnsi="Times New Roman" w:cs="Times New Roman"/>
                <w:b/>
                <w:lang w:bidi="ar"/>
              </w:rPr>
            </w:pPr>
            <w:r>
              <w:rPr>
                <w:rFonts w:ascii="Times New Roman" w:hAnsi="Times New Roman" w:cs="Times New Roman"/>
                <w:b/>
                <w:kern w:val="2"/>
                <w:lang w:bidi="ar"/>
              </w:rPr>
              <w:t>（3）</w:t>
            </w:r>
            <w:r>
              <w:rPr>
                <w:rFonts w:ascii="Times New Roman" w:hAnsi="Times New Roman" w:cs="Times New Roman"/>
                <w:b/>
                <w:lang w:bidi="ar"/>
              </w:rPr>
              <w:t>防护要求</w:t>
            </w:r>
          </w:p>
          <w:p w14:paraId="09645950">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①</w:t>
            </w:r>
            <w:r>
              <w:rPr>
                <w:rFonts w:ascii="Times New Roman" w:hAnsi="Times New Roman" w:cs="Times New Roman"/>
              </w:rPr>
              <w:t>控制区边界上合适的位置应设置电离辐射警告标志并悬挂清晰可见的“禁止进入射线工作区”警告牌，探伤作业人员应在控制区边界外操作，否则应采取专门的防护措施。</w:t>
            </w:r>
          </w:p>
          <w:p w14:paraId="69C30F47">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②</w:t>
            </w:r>
            <w:r>
              <w:rPr>
                <w:rFonts w:ascii="Times New Roman" w:hAnsi="Times New Roman" w:cs="Times New Roman"/>
              </w:rPr>
              <w:t>控制区的边界尽可能设定实体屏障，包括利用现有结构（如墙体）、临时屏障或临时拉起警戒线（绳）等。</w:t>
            </w:r>
          </w:p>
          <w:p w14:paraId="7B2DFFFD">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③</w:t>
            </w:r>
            <w:r>
              <w:rPr>
                <w:rFonts w:ascii="Times New Roman" w:hAnsi="Times New Roman" w:cs="Times New Roman"/>
              </w:rPr>
              <w:t>移动式探伤作业工作过程中，控制区内不应同时进行其他工作。为了使控制区的范围尽量小，应使用合适的准直器并充分考虑探伤机和被检物体的距离、照射方向、时间和现场屏蔽等条件。视情况采用局部屏蔽措施。</w:t>
            </w:r>
          </w:p>
          <w:p w14:paraId="2EC28E03">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④</w:t>
            </w:r>
            <w:r>
              <w:rPr>
                <w:rFonts w:ascii="Times New Roman" w:hAnsi="Times New Roman" w:cs="Times New Roman"/>
              </w:rPr>
              <w:t>每一个探伤作业班组应至少配备一台便携式X-γ剂量率仪，并定期对其开展检定/校准工作。应配备能在现场环境条件下可听见、看见或产生震动信号的个人剂量报警仪。</w:t>
            </w:r>
          </w:p>
          <w:p w14:paraId="78CEE1BA">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⑤</w:t>
            </w:r>
            <w:r>
              <w:rPr>
                <w:rFonts w:ascii="Times New Roman" w:hAnsi="Times New Roman" w:cs="Times New Roman"/>
              </w:rPr>
              <w:t>探伤作业期间还应对控制区边界上代表点的剂量率进行检测，尤其是探伤的位置在此方向或射线束的方向发生改变时，适时调整控制区的边界。</w:t>
            </w:r>
          </w:p>
          <w:p w14:paraId="33B69834">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⑥</w:t>
            </w:r>
            <w:r>
              <w:rPr>
                <w:rFonts w:ascii="Times New Roman" w:hAnsi="Times New Roman" w:cs="Times New Roman"/>
              </w:rPr>
              <w:t>移动式探伤工作在多楼层的工厂或工地实施时，应防止移动式探伤工作区上层或下层的人员通过楼梯进入控制区。</w:t>
            </w:r>
          </w:p>
          <w:p w14:paraId="7EF9D1A3">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hint="eastAsia"/>
              </w:rPr>
              <w:t>⑦</w:t>
            </w:r>
            <w:r>
              <w:rPr>
                <w:rFonts w:ascii="Times New Roman" w:hAnsi="Times New Roman" w:cs="Times New Roman"/>
              </w:rPr>
              <w:t>探伤机控制台（X射线发生器控制面板）应设置在合适位置或设有延时开机装置，以便尽可能降低操作人员的受照剂量。</w:t>
            </w:r>
          </w:p>
          <w:p w14:paraId="069A2D11">
            <w:pPr>
              <w:pStyle w:val="32"/>
              <w:widowControl w:val="0"/>
              <w:spacing w:before="0" w:beforeAutospacing="0" w:after="0" w:afterAutospacing="0" w:line="360" w:lineRule="auto"/>
              <w:ind w:firstLine="482" w:firstLineChars="200"/>
              <w:jc w:val="both"/>
              <w:rPr>
                <w:rFonts w:ascii="Times New Roman" w:hAnsi="Times New Roman" w:cs="Times New Roman" w:eastAsiaTheme="minorEastAsia"/>
                <w:b/>
                <w:bCs/>
                <w:color w:val="000000"/>
              </w:rPr>
            </w:pPr>
            <w:r>
              <w:rPr>
                <w:rFonts w:ascii="Times New Roman" w:hAnsi="Times New Roman" w:cs="Times New Roman" w:eastAsiaTheme="minorEastAsia"/>
                <w:b/>
              </w:rPr>
              <w:t>2、</w:t>
            </w:r>
            <w:r>
              <w:rPr>
                <w:rFonts w:ascii="Times New Roman" w:hAnsi="Times New Roman" w:cs="Times New Roman" w:eastAsiaTheme="minorEastAsia"/>
                <w:b/>
                <w:bCs/>
                <w:color w:val="000000"/>
              </w:rPr>
              <w:t>《</w:t>
            </w:r>
            <w:r>
              <w:rPr>
                <w:rFonts w:ascii="Times New Roman" w:hAnsi="Times New Roman" w:cs="Times New Roman" w:eastAsiaTheme="minorEastAsia"/>
                <w:b/>
                <w:color w:val="000000"/>
              </w:rPr>
              <w:t>500kV</w:t>
            </w:r>
            <w:r>
              <w:rPr>
                <w:rFonts w:ascii="Times New Roman" w:hAnsi="Times New Roman" w:cs="Times New Roman" w:eastAsiaTheme="minorEastAsia"/>
                <w:b/>
                <w:bCs/>
                <w:color w:val="000000"/>
              </w:rPr>
              <w:t>以下工业</w:t>
            </w:r>
            <w:r>
              <w:rPr>
                <w:rFonts w:ascii="Times New Roman" w:hAnsi="Times New Roman" w:cs="Times New Roman" w:eastAsiaTheme="minorEastAsia"/>
                <w:b/>
                <w:color w:val="000000"/>
              </w:rPr>
              <w:t>X</w:t>
            </w:r>
            <w:r>
              <w:rPr>
                <w:rFonts w:ascii="Times New Roman" w:hAnsi="Times New Roman" w:cs="Times New Roman" w:eastAsiaTheme="minorEastAsia"/>
                <w:b/>
                <w:bCs/>
                <w:color w:val="000000"/>
              </w:rPr>
              <w:t>射线探伤机防护规则》（</w:t>
            </w:r>
            <w:r>
              <w:rPr>
                <w:rFonts w:ascii="Times New Roman" w:hAnsi="Times New Roman" w:cs="Times New Roman" w:eastAsiaTheme="minorEastAsia"/>
                <w:b/>
                <w:color w:val="000000"/>
              </w:rPr>
              <w:t>GB 22448-2008</w:t>
            </w:r>
            <w:r>
              <w:rPr>
                <w:rFonts w:ascii="Times New Roman" w:hAnsi="Times New Roman" w:cs="Times New Roman" w:eastAsiaTheme="minorEastAsia"/>
                <w:b/>
                <w:bCs/>
                <w:color w:val="000000"/>
              </w:rPr>
              <w:t>）</w:t>
            </w:r>
          </w:p>
          <w:p w14:paraId="2883100B">
            <w:pPr>
              <w:pStyle w:val="32"/>
              <w:widowControl w:val="0"/>
              <w:spacing w:before="0" w:beforeAutospacing="0" w:after="0" w:afterAutospacing="0" w:line="360" w:lineRule="auto"/>
              <w:ind w:firstLine="480" w:firstLineChars="200"/>
              <w:jc w:val="both"/>
              <w:rPr>
                <w:color w:val="000000"/>
              </w:rPr>
            </w:pPr>
            <w:r>
              <w:rPr>
                <w:rFonts w:hint="eastAsia"/>
                <w:color w:val="000000"/>
              </w:rPr>
              <w:t>在设立控制区时，应按下列步骤：</w:t>
            </w:r>
          </w:p>
          <w:p w14:paraId="64018913">
            <w:pPr>
              <w:pStyle w:val="32"/>
              <w:widowControl w:val="0"/>
              <w:spacing w:before="0" w:beforeAutospacing="0" w:after="0" w:afterAutospacing="0" w:line="360" w:lineRule="auto"/>
              <w:ind w:firstLine="480" w:firstLineChars="200"/>
              <w:jc w:val="both"/>
              <w:rPr>
                <w:color w:val="000000"/>
              </w:rPr>
            </w:pPr>
            <w:r>
              <w:rPr>
                <w:rFonts w:ascii="TimesNewRomanPSMT" w:hAnsi="TimesNewRomanPSMT"/>
                <w:color w:val="000000"/>
              </w:rPr>
              <w:t>1.</w:t>
            </w:r>
            <w:r>
              <w:rPr>
                <w:rFonts w:hint="eastAsia"/>
                <w:color w:val="000000"/>
              </w:rPr>
              <w:t>估计控制区的范围；</w:t>
            </w:r>
          </w:p>
          <w:p w14:paraId="163A9DF6">
            <w:pPr>
              <w:pStyle w:val="32"/>
              <w:widowControl w:val="0"/>
              <w:spacing w:before="0" w:beforeAutospacing="0" w:after="0" w:afterAutospacing="0" w:line="360" w:lineRule="auto"/>
              <w:ind w:firstLine="480" w:firstLineChars="200"/>
              <w:jc w:val="both"/>
              <w:rPr>
                <w:color w:val="000000"/>
              </w:rPr>
            </w:pPr>
            <w:r>
              <w:rPr>
                <w:rFonts w:ascii="TimesNewRomanPSMT" w:hAnsi="TimesNewRomanPSMT"/>
                <w:color w:val="000000"/>
              </w:rPr>
              <w:t>2.</w:t>
            </w:r>
            <w:r>
              <w:rPr>
                <w:rFonts w:hint="eastAsia"/>
                <w:color w:val="000000"/>
              </w:rPr>
              <w:t>确定控制区的边界；</w:t>
            </w:r>
          </w:p>
          <w:p w14:paraId="25FC3CDF">
            <w:pPr>
              <w:pStyle w:val="32"/>
              <w:widowControl w:val="0"/>
              <w:spacing w:before="0" w:beforeAutospacing="0" w:after="0" w:afterAutospacing="0" w:line="360" w:lineRule="auto"/>
              <w:ind w:firstLine="480" w:firstLineChars="200"/>
              <w:jc w:val="both"/>
              <w:rPr>
                <w:color w:val="000000"/>
              </w:rPr>
            </w:pPr>
            <w:r>
              <w:rPr>
                <w:rFonts w:ascii="TimesNewRomanPSMT" w:hAnsi="TimesNewRomanPSMT"/>
                <w:color w:val="000000"/>
              </w:rPr>
              <w:t>3.</w:t>
            </w:r>
            <w:r>
              <w:rPr>
                <w:rFonts w:hint="eastAsia"/>
                <w:color w:val="000000"/>
              </w:rPr>
              <w:t>标明控制区。</w:t>
            </w:r>
          </w:p>
          <w:p w14:paraId="6B67AD56">
            <w:pPr>
              <w:pStyle w:val="32"/>
              <w:widowControl w:val="0"/>
              <w:spacing w:before="0" w:beforeAutospacing="0" w:after="0" w:afterAutospacing="0" w:line="360" w:lineRule="auto"/>
              <w:ind w:firstLine="480" w:firstLineChars="200"/>
              <w:jc w:val="both"/>
              <w:rPr>
                <w:rFonts w:ascii="Times New Roman" w:hAnsi="Times New Roman" w:cs="Times New Roman"/>
                <w:b/>
              </w:rPr>
            </w:pPr>
            <w:r>
              <w:rPr>
                <w:rFonts w:hint="eastAsia"/>
                <w:color w:val="000000"/>
              </w:rPr>
              <w:t>不允许在接通</w:t>
            </w:r>
            <w:r>
              <w:rPr>
                <w:rFonts w:ascii="TimesNewRomanPSMT" w:hAnsi="TimesNewRomanPSMT"/>
                <w:color w:val="000000"/>
              </w:rPr>
              <w:t>X</w:t>
            </w:r>
            <w:r>
              <w:rPr>
                <w:rFonts w:hint="eastAsia"/>
                <w:color w:val="000000"/>
              </w:rPr>
              <w:t>射线机后用测得的剂量率来确定控制区边界。在第一次工作开始前要根据估计和经验划定并标志出控制区边界。在第一次工作期间要借助剂量率测量仪进行检测或修正。应用绳索或条带来隔离或由保安人员阻止非工作人员进入控制区。所有入口应用警戒牌标明，现场的监视人员应配备有射线监测仪器。应委托专门人员在</w:t>
            </w:r>
            <w:r>
              <w:rPr>
                <w:rFonts w:ascii="TimesNewRomanPSMT" w:hAnsi="TimesNewRomanPSMT"/>
                <w:color w:val="000000"/>
              </w:rPr>
              <w:t>X</w:t>
            </w:r>
            <w:r>
              <w:rPr>
                <w:rFonts w:hint="eastAsia"/>
                <w:color w:val="000000"/>
              </w:rPr>
              <w:t>射线辐射场前指路。</w:t>
            </w:r>
          </w:p>
          <w:p w14:paraId="50EC56BF">
            <w:pPr>
              <w:pStyle w:val="32"/>
              <w:widowControl w:val="0"/>
              <w:spacing w:before="0" w:beforeAutospacing="0" w:after="0" w:afterAutospacing="0" w:line="360" w:lineRule="auto"/>
              <w:jc w:val="both"/>
              <w:rPr>
                <w:rFonts w:ascii="Times New Roman" w:hAnsi="Times New Roman" w:eastAsia="黑体" w:cs="Times New Roman"/>
                <w:b/>
                <w:sz w:val="28"/>
                <w:szCs w:val="28"/>
              </w:rPr>
            </w:pPr>
            <w:r>
              <w:rPr>
                <w:rFonts w:ascii="Times New Roman" w:hAnsi="Times New Roman" w:cs="Times New Roman"/>
                <w:b/>
                <w:lang w:bidi="ar"/>
              </w:rPr>
              <w:t>三、</w:t>
            </w:r>
            <w:r>
              <w:rPr>
                <w:rFonts w:ascii="Times New Roman" w:hAnsi="Times New Roman" w:eastAsia="黑体" w:cs="Times New Roman"/>
                <w:b/>
                <w:sz w:val="28"/>
                <w:szCs w:val="28"/>
              </w:rPr>
              <w:t>环境质量标准</w:t>
            </w:r>
          </w:p>
          <w:p w14:paraId="15C8B308">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（1）大气：《环境空气质量标准》（GB 3095-2012）中相应标准。</w:t>
            </w:r>
          </w:p>
          <w:p w14:paraId="4F8904FC">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（2）地表水：《地表水环境质量标准》（GB 3838-2002）中相应标准。</w:t>
            </w:r>
          </w:p>
          <w:p w14:paraId="56911189">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（3）声环境：《声环境质量标准》（GB 3096-2008）中相应标准。</w:t>
            </w:r>
          </w:p>
          <w:p w14:paraId="165A9462">
            <w:pPr>
              <w:pStyle w:val="81"/>
              <w:widowControl w:val="0"/>
              <w:spacing w:line="360" w:lineRule="auto"/>
              <w:ind w:firstLine="0" w:firstLineChars="0"/>
              <w:rPr>
                <w:rFonts w:eastAsia="黑体"/>
                <w:sz w:val="28"/>
                <w:szCs w:val="28"/>
              </w:rPr>
            </w:pPr>
            <w:r>
              <w:rPr>
                <w:rFonts w:eastAsia="黑体"/>
                <w:sz w:val="28"/>
                <w:szCs w:val="28"/>
              </w:rPr>
              <w:t>四、污染物排放标准</w:t>
            </w:r>
          </w:p>
          <w:p w14:paraId="2BFB1E63">
            <w:pPr>
              <w:pStyle w:val="81"/>
              <w:widowControl w:val="0"/>
              <w:spacing w:line="360" w:lineRule="auto"/>
            </w:pPr>
            <w:r>
              <w:t>（1）废气：《大气污染物综合排放标准》（GB 16297-1996）中相应标准；</w:t>
            </w:r>
          </w:p>
          <w:p w14:paraId="5BC98AF0">
            <w:pPr>
              <w:pStyle w:val="81"/>
              <w:widowControl w:val="0"/>
              <w:spacing w:line="360" w:lineRule="auto"/>
            </w:pPr>
            <w:r>
              <w:t>（2）废水：污水执行《污水综合排放标准》（GB 8978-1996）中相应标准；</w:t>
            </w:r>
          </w:p>
          <w:p w14:paraId="5DE40442">
            <w:pPr>
              <w:pStyle w:val="81"/>
              <w:widowControl w:val="0"/>
              <w:spacing w:line="360" w:lineRule="auto"/>
            </w:pPr>
            <w:r>
              <w:t>（3）噪声：根据检测地点所处声功能区执行相应标准；</w:t>
            </w:r>
          </w:p>
          <w:p w14:paraId="0F844779">
            <w:pPr>
              <w:pStyle w:val="81"/>
              <w:widowControl w:val="0"/>
              <w:spacing w:line="360" w:lineRule="auto"/>
              <w:rPr>
                <w:b/>
                <w:szCs w:val="20"/>
              </w:rPr>
            </w:pPr>
            <w:r>
              <w:t>（4）一般固废执行《一般工业固体废物贮存和填埋污染控制标准》（GB 18599-2020）；危险废物执行《</w:t>
            </w:r>
            <w:bookmarkStart w:id="30" w:name="OLE_LINK9"/>
            <w:bookmarkStart w:id="31" w:name="OLE_LINK10"/>
            <w:r>
              <w:t>危险废物贮存污染控制标准</w:t>
            </w:r>
            <w:bookmarkEnd w:id="30"/>
            <w:bookmarkEnd w:id="31"/>
            <w:r>
              <w:t>》（GB 18597-2023）。</w:t>
            </w:r>
          </w:p>
          <w:p w14:paraId="60B6AB39">
            <w:pPr>
              <w:pStyle w:val="81"/>
              <w:widowControl w:val="0"/>
              <w:spacing w:line="360" w:lineRule="auto"/>
              <w:ind w:firstLine="482"/>
              <w:rPr>
                <w:b/>
                <w:bCs/>
              </w:rPr>
            </w:pPr>
            <w:r>
              <w:rPr>
                <w:b/>
                <w:szCs w:val="20"/>
              </w:rPr>
              <w:t>本评价采用5mSv/a作为职业人员的剂量约束值，0.25mSv/a作为公众成员的剂量约束值。</w:t>
            </w:r>
          </w:p>
        </w:tc>
      </w:tr>
    </w:tbl>
    <w:p w14:paraId="216DE318">
      <w:pPr>
        <w:pStyle w:val="14"/>
        <w:jc w:val="left"/>
        <w:outlineLvl w:val="0"/>
        <w:rPr>
          <w:rFonts w:ascii="Times New Roman" w:hAnsi="Times New Roman"/>
          <w:b/>
          <w:bCs/>
          <w:szCs w:val="28"/>
        </w:rPr>
        <w:sectPr>
          <w:pgSz w:w="11906" w:h="16838"/>
          <w:pgMar w:top="1134" w:right="1134" w:bottom="1134" w:left="1701" w:header="851" w:footer="851" w:gutter="0"/>
          <w:cols w:space="720" w:num="1"/>
          <w:docGrid w:linePitch="312" w:charSpace="0"/>
        </w:sectPr>
      </w:pPr>
    </w:p>
    <w:p w14:paraId="317F32F8">
      <w:pPr>
        <w:pStyle w:val="14"/>
        <w:jc w:val="left"/>
        <w:outlineLvl w:val="0"/>
        <w:rPr>
          <w:rFonts w:ascii="Times New Roman" w:hAnsi="Times New Roman"/>
          <w:b/>
          <w:bCs/>
          <w:szCs w:val="28"/>
        </w:rPr>
      </w:pPr>
      <w:bookmarkStart w:id="32" w:name="_Toc188277745"/>
      <w:r>
        <w:rPr>
          <w:rFonts w:ascii="Times New Roman" w:hAnsi="Times New Roman"/>
          <w:b/>
          <w:bCs/>
          <w:szCs w:val="28"/>
        </w:rPr>
        <w:t>表8 环境质量和辐射现状</w:t>
      </w:r>
      <w:bookmarkEnd w:id="32"/>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14:paraId="383A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tcPr>
          <w:p w14:paraId="7D8439CE">
            <w:pPr>
              <w:pStyle w:val="2"/>
              <w:numPr>
                <w:ilvl w:val="0"/>
                <w:numId w:val="1"/>
              </w:numPr>
              <w:spacing w:before="120" w:beforeLines="50" w:after="0" w:line="360" w:lineRule="auto"/>
              <w:ind w:leftChars="0" w:firstLineChars="0"/>
              <w:rPr>
                <w:rFonts w:eastAsiaTheme="minorEastAsia"/>
                <w:bCs/>
                <w:sz w:val="24"/>
              </w:rPr>
            </w:pPr>
            <w:r>
              <w:rPr>
                <w:rFonts w:hint="eastAsia" w:eastAsiaTheme="minorEastAsia"/>
                <w:bCs/>
                <w:sz w:val="24"/>
              </w:rPr>
              <w:t>项目地理和场所位置</w:t>
            </w:r>
          </w:p>
          <w:p w14:paraId="31D42B13">
            <w:pPr>
              <w:pStyle w:val="2"/>
              <w:spacing w:after="0" w:line="360" w:lineRule="auto"/>
              <w:ind w:left="0" w:leftChars="0" w:firstLine="480"/>
              <w:rPr>
                <w:rFonts w:eastAsiaTheme="minorEastAsia"/>
                <w:bCs/>
                <w:sz w:val="24"/>
              </w:rPr>
            </w:pPr>
            <w:r>
              <w:rPr>
                <w:bCs/>
                <w:sz w:val="24"/>
              </w:rPr>
              <w:t>公司位于</w:t>
            </w:r>
            <w:r>
              <w:rPr>
                <w:rFonts w:hint="eastAsia"/>
                <w:bCs/>
                <w:sz w:val="24"/>
              </w:rPr>
              <w:t>河北省承德市双滦区双塔山镇大三岔口村地质四队东侧（承德中天建设工程检测试验有限公司办公楼），</w:t>
            </w:r>
            <w:r>
              <w:rPr>
                <w:bCs/>
                <w:sz w:val="24"/>
              </w:rPr>
              <w:t>地理位置中心坐标为</w:t>
            </w:r>
            <w:r>
              <w:rPr>
                <w:rFonts w:hint="eastAsia"/>
                <w:bCs/>
                <w:sz w:val="24"/>
              </w:rPr>
              <w:t>北纬</w:t>
            </w:r>
            <w:r>
              <w:rPr>
                <w:bCs/>
                <w:sz w:val="24"/>
              </w:rPr>
              <w:t>40°59′38.456″，东经117°49′37.445″。公司西邻</w:t>
            </w:r>
            <w:r>
              <w:rPr>
                <w:rFonts w:hint="eastAsia"/>
                <w:bCs/>
                <w:sz w:val="24"/>
              </w:rPr>
              <w:t>国</w:t>
            </w:r>
            <w:r>
              <w:rPr>
                <w:bCs/>
                <w:sz w:val="24"/>
              </w:rPr>
              <w:t>道</w:t>
            </w:r>
            <w:r>
              <w:rPr>
                <w:rFonts w:hint="eastAsia"/>
                <w:bCs/>
                <w:sz w:val="24"/>
              </w:rPr>
              <w:t>G</w:t>
            </w:r>
            <w:r>
              <w:rPr>
                <w:bCs/>
                <w:sz w:val="24"/>
              </w:rPr>
              <w:t>233（通宝路），隔牤牛河与省道</w:t>
            </w:r>
            <w:r>
              <w:rPr>
                <w:rFonts w:hint="eastAsia"/>
                <w:bCs/>
                <w:sz w:val="24"/>
              </w:rPr>
              <w:t>S</w:t>
            </w:r>
            <w:r>
              <w:rPr>
                <w:bCs/>
                <w:sz w:val="24"/>
              </w:rPr>
              <w:t>256（通宝路）相邻，交通便利，</w:t>
            </w:r>
            <w:r>
              <w:rPr>
                <w:rFonts w:hint="eastAsia"/>
                <w:bCs/>
                <w:sz w:val="24"/>
              </w:rPr>
              <w:t>西北</w:t>
            </w:r>
            <w:r>
              <w:rPr>
                <w:bCs/>
                <w:sz w:val="24"/>
              </w:rPr>
              <w:t>为承德兴厦水泥公司，西南为兰欧国际酒店，南侧为小人沟，东侧为山区，北侧为上白庙。</w:t>
            </w:r>
          </w:p>
          <w:p w14:paraId="51DC97A4">
            <w:pPr>
              <w:pStyle w:val="2"/>
              <w:spacing w:after="0" w:line="360" w:lineRule="auto"/>
              <w:ind w:left="0" w:leftChars="0" w:firstLine="480"/>
              <w:rPr>
                <w:rFonts w:eastAsiaTheme="minorEastAsia"/>
                <w:sz w:val="24"/>
              </w:rPr>
            </w:pPr>
            <w:r>
              <w:rPr>
                <w:rFonts w:eastAsiaTheme="minorEastAsia"/>
                <w:bCs/>
                <w:sz w:val="24"/>
              </w:rPr>
              <w:t>2</w:t>
            </w:r>
            <w:r>
              <w:rPr>
                <w:rFonts w:hint="eastAsia" w:eastAsiaTheme="minorEastAsia"/>
                <w:bCs/>
                <w:sz w:val="24"/>
              </w:rPr>
              <w:t>、</w:t>
            </w:r>
            <w:r>
              <w:rPr>
                <w:rFonts w:eastAsiaTheme="minorEastAsia"/>
                <w:bCs/>
                <w:sz w:val="24"/>
              </w:rPr>
              <w:t>环境现状评价的对象、监测因子和监测点位</w:t>
            </w:r>
          </w:p>
          <w:p w14:paraId="5E2E727F">
            <w:pPr>
              <w:pStyle w:val="2"/>
              <w:spacing w:after="0" w:line="360" w:lineRule="auto"/>
              <w:ind w:left="0" w:leftChars="0" w:firstLine="480"/>
              <w:rPr>
                <w:rFonts w:eastAsiaTheme="minorEastAsia"/>
                <w:sz w:val="24"/>
              </w:rPr>
            </w:pPr>
            <w:r>
              <w:rPr>
                <w:rFonts w:eastAsiaTheme="minorEastAsia"/>
                <w:sz w:val="24"/>
              </w:rPr>
              <w:t>本项目为工业X射线探伤机野外（室外）探伤项目，使用Ⅱ类射线装置。本项目依托公司已有厂区，不存在施工期；在运营期对环境空气、水环境和声环境质量影响较小，主要影响为对周围的电离辐射影响。因本项目探伤机储存时不产生电离辐射，进行野外（室外）探伤时地点遍布全国各地，探伤地点不固定，因此本次环评未进行环境现状监测。</w:t>
            </w:r>
          </w:p>
          <w:p w14:paraId="3EF681BD">
            <w:pPr>
              <w:pStyle w:val="2"/>
              <w:spacing w:after="0" w:line="360" w:lineRule="auto"/>
              <w:ind w:left="0" w:leftChars="0" w:firstLine="480"/>
              <w:rPr>
                <w:rFonts w:eastAsiaTheme="minorEastAsia"/>
                <w:sz w:val="24"/>
              </w:rPr>
            </w:pPr>
            <w:r>
              <w:rPr>
                <w:rFonts w:eastAsiaTheme="minorEastAsia"/>
                <w:bCs/>
                <w:sz w:val="24"/>
              </w:rPr>
              <w:t>3、环境质量和辐射现状</w:t>
            </w:r>
          </w:p>
          <w:p w14:paraId="0959F97B">
            <w:pPr>
              <w:pStyle w:val="2"/>
              <w:spacing w:after="0" w:line="360" w:lineRule="auto"/>
              <w:ind w:left="0" w:leftChars="0" w:firstLine="480"/>
              <w:rPr>
                <w:rFonts w:eastAsiaTheme="minorEastAsia"/>
                <w:bCs/>
                <w:sz w:val="24"/>
              </w:rPr>
            </w:pPr>
            <w:r>
              <w:rPr>
                <w:rFonts w:eastAsiaTheme="minorEastAsia"/>
                <w:bCs/>
                <w:sz w:val="24"/>
              </w:rPr>
              <w:t>项目探伤地址为野外探伤，野外（室外）探伤地点遍布全国各地，根据生态环境部发布的《2021年全国辐射环境质量报告》，环境γ辐射剂量率监测结果处于当地本底涨落范围内，年均值范围为（45.5-248）nGy/h，主要分布区间为（75.4-132）nGy/h。</w:t>
            </w:r>
          </w:p>
          <w:p w14:paraId="2F7EACC4">
            <w:pPr>
              <w:pStyle w:val="2"/>
              <w:spacing w:after="0" w:line="360" w:lineRule="auto"/>
              <w:ind w:left="0" w:leftChars="0" w:firstLine="480"/>
              <w:rPr>
                <w:bCs/>
                <w:sz w:val="24"/>
              </w:rPr>
            </w:pPr>
          </w:p>
          <w:p w14:paraId="5EEAD415">
            <w:pPr>
              <w:pStyle w:val="2"/>
              <w:spacing w:after="0" w:line="360" w:lineRule="exact"/>
              <w:ind w:left="0" w:leftChars="0" w:firstLine="480"/>
              <w:rPr>
                <w:sz w:val="24"/>
              </w:rPr>
            </w:pPr>
          </w:p>
          <w:p w14:paraId="71D720B0">
            <w:pPr>
              <w:pStyle w:val="2"/>
              <w:spacing w:after="0" w:line="360" w:lineRule="exact"/>
              <w:ind w:left="0" w:leftChars="0" w:firstLine="480"/>
              <w:rPr>
                <w:sz w:val="24"/>
              </w:rPr>
            </w:pPr>
          </w:p>
          <w:p w14:paraId="650DF1D4">
            <w:pPr>
              <w:pStyle w:val="2"/>
              <w:spacing w:after="0" w:line="360" w:lineRule="exact"/>
              <w:ind w:left="0" w:leftChars="0" w:firstLine="480"/>
              <w:rPr>
                <w:sz w:val="24"/>
              </w:rPr>
            </w:pPr>
          </w:p>
          <w:p w14:paraId="63032F73">
            <w:pPr>
              <w:pStyle w:val="2"/>
              <w:spacing w:after="0" w:line="360" w:lineRule="exact"/>
              <w:ind w:left="0" w:leftChars="0" w:firstLine="480"/>
              <w:rPr>
                <w:sz w:val="24"/>
              </w:rPr>
            </w:pPr>
          </w:p>
          <w:p w14:paraId="0C403C07">
            <w:pPr>
              <w:pStyle w:val="2"/>
              <w:spacing w:after="0" w:line="360" w:lineRule="exact"/>
              <w:ind w:left="0" w:leftChars="0" w:firstLine="480"/>
              <w:rPr>
                <w:sz w:val="24"/>
              </w:rPr>
            </w:pPr>
          </w:p>
          <w:p w14:paraId="174B8594">
            <w:pPr>
              <w:pStyle w:val="2"/>
              <w:spacing w:after="0" w:line="360" w:lineRule="exact"/>
              <w:ind w:left="0" w:leftChars="0" w:firstLine="480"/>
              <w:rPr>
                <w:sz w:val="24"/>
              </w:rPr>
            </w:pPr>
          </w:p>
          <w:p w14:paraId="4750389C">
            <w:pPr>
              <w:pStyle w:val="2"/>
              <w:spacing w:after="0" w:line="360" w:lineRule="exact"/>
              <w:ind w:left="0" w:leftChars="0" w:firstLine="480"/>
              <w:rPr>
                <w:sz w:val="24"/>
              </w:rPr>
            </w:pPr>
          </w:p>
          <w:p w14:paraId="6B989B33">
            <w:pPr>
              <w:pStyle w:val="2"/>
              <w:spacing w:after="0" w:line="360" w:lineRule="exact"/>
              <w:ind w:left="0" w:leftChars="0" w:firstLine="480"/>
              <w:rPr>
                <w:sz w:val="24"/>
              </w:rPr>
            </w:pPr>
          </w:p>
          <w:p w14:paraId="5886EE42">
            <w:pPr>
              <w:pStyle w:val="2"/>
              <w:spacing w:after="0" w:line="360" w:lineRule="exact"/>
              <w:ind w:left="0" w:leftChars="0" w:firstLine="480"/>
              <w:rPr>
                <w:sz w:val="24"/>
              </w:rPr>
            </w:pPr>
          </w:p>
          <w:p w14:paraId="4B6F4832">
            <w:pPr>
              <w:pStyle w:val="2"/>
              <w:spacing w:after="0" w:line="360" w:lineRule="exact"/>
              <w:ind w:left="0" w:leftChars="0" w:firstLine="480"/>
              <w:rPr>
                <w:sz w:val="24"/>
              </w:rPr>
            </w:pPr>
          </w:p>
          <w:p w14:paraId="0731876D">
            <w:pPr>
              <w:pStyle w:val="2"/>
              <w:spacing w:after="0" w:line="360" w:lineRule="exact"/>
              <w:ind w:left="0" w:leftChars="0" w:firstLine="480"/>
              <w:rPr>
                <w:sz w:val="24"/>
              </w:rPr>
            </w:pPr>
          </w:p>
          <w:p w14:paraId="12250B3C">
            <w:pPr>
              <w:pStyle w:val="2"/>
              <w:spacing w:after="0" w:line="360" w:lineRule="exact"/>
              <w:ind w:left="0" w:leftChars="0" w:firstLine="480"/>
              <w:rPr>
                <w:sz w:val="24"/>
              </w:rPr>
            </w:pPr>
          </w:p>
          <w:p w14:paraId="322CBDD6">
            <w:pPr>
              <w:pStyle w:val="2"/>
              <w:spacing w:after="0" w:line="360" w:lineRule="exact"/>
              <w:ind w:left="0" w:leftChars="0" w:firstLine="480"/>
              <w:rPr>
                <w:sz w:val="24"/>
              </w:rPr>
            </w:pPr>
          </w:p>
          <w:p w14:paraId="797B87B1">
            <w:pPr>
              <w:pStyle w:val="2"/>
              <w:spacing w:after="0" w:line="360" w:lineRule="exact"/>
              <w:ind w:left="0" w:leftChars="0" w:firstLine="480"/>
              <w:rPr>
                <w:sz w:val="24"/>
              </w:rPr>
            </w:pPr>
          </w:p>
          <w:p w14:paraId="1311800C">
            <w:pPr>
              <w:pStyle w:val="2"/>
              <w:spacing w:after="0" w:line="360" w:lineRule="exact"/>
              <w:ind w:left="0" w:leftChars="0" w:firstLine="480"/>
              <w:rPr>
                <w:sz w:val="24"/>
              </w:rPr>
            </w:pPr>
          </w:p>
          <w:p w14:paraId="216A11D2">
            <w:pPr>
              <w:pStyle w:val="2"/>
              <w:spacing w:after="0" w:line="360" w:lineRule="exact"/>
              <w:ind w:left="0" w:leftChars="0" w:firstLine="480"/>
              <w:rPr>
                <w:sz w:val="24"/>
              </w:rPr>
            </w:pPr>
          </w:p>
          <w:p w14:paraId="1094D1A2">
            <w:pPr>
              <w:pStyle w:val="2"/>
              <w:spacing w:after="0" w:line="360" w:lineRule="exact"/>
              <w:ind w:left="0" w:leftChars="0" w:firstLine="0" w:firstLineChars="0"/>
            </w:pPr>
          </w:p>
        </w:tc>
      </w:tr>
    </w:tbl>
    <w:p w14:paraId="4844C21E">
      <w:pPr>
        <w:pStyle w:val="14"/>
        <w:outlineLvl w:val="0"/>
        <w:rPr>
          <w:rFonts w:ascii="Times New Roman" w:hAnsi="Times New Roman"/>
        </w:rPr>
      </w:pPr>
      <w:r>
        <w:rPr>
          <w:rFonts w:ascii="Times New Roman" w:hAnsi="Times New Roman"/>
        </w:rPr>
        <w:br w:type="page"/>
      </w:r>
      <w:bookmarkStart w:id="33" w:name="_Toc188277746"/>
      <w:r>
        <w:rPr>
          <w:rFonts w:ascii="Times New Roman" w:hAnsi="Times New Roman"/>
          <w:b/>
          <w:bCs/>
          <w:szCs w:val="28"/>
        </w:rPr>
        <w:t>表9 项目工程分析和源项</w:t>
      </w:r>
      <w:bookmarkEnd w:id="33"/>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3"/>
      </w:tblGrid>
      <w:tr w14:paraId="2B9B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3" w:type="dxa"/>
          </w:tcPr>
          <w:p w14:paraId="10D7CB66">
            <w:pPr>
              <w:adjustRightInd w:val="0"/>
              <w:snapToGrid w:val="0"/>
              <w:spacing w:line="360" w:lineRule="auto"/>
              <w:rPr>
                <w:rFonts w:ascii="Times New Roman" w:hAnsi="Times New Roman"/>
                <w:b/>
                <w:bCs/>
                <w:sz w:val="28"/>
                <w:szCs w:val="28"/>
              </w:rPr>
            </w:pPr>
            <w:r>
              <w:rPr>
                <w:rFonts w:ascii="Times New Roman" w:hAnsi="Times New Roman"/>
                <w:b/>
                <w:bCs/>
                <w:sz w:val="28"/>
                <w:szCs w:val="28"/>
              </w:rPr>
              <w:t>工程设备和工艺分析</w:t>
            </w:r>
          </w:p>
          <w:p w14:paraId="41A2BB02">
            <w:pPr>
              <w:pStyle w:val="105"/>
              <w:numPr>
                <w:ilvl w:val="0"/>
                <w:numId w:val="2"/>
              </w:numPr>
              <w:spacing w:line="360" w:lineRule="auto"/>
              <w:ind w:firstLineChars="0"/>
              <w:rPr>
                <w:rFonts w:ascii="Times New Roman" w:hAnsi="Times New Roman"/>
                <w:b/>
                <w:bCs/>
                <w:spacing w:val="-4"/>
                <w:kern w:val="0"/>
                <w:sz w:val="24"/>
                <w:szCs w:val="20"/>
              </w:rPr>
            </w:pPr>
            <w:r>
              <w:rPr>
                <w:rFonts w:ascii="Times New Roman" w:hAnsi="Times New Roman"/>
                <w:b/>
                <w:bCs/>
                <w:spacing w:val="-4"/>
                <w:kern w:val="0"/>
                <w:sz w:val="24"/>
                <w:szCs w:val="20"/>
              </w:rPr>
              <w:t>X射线野外（室外）探伤</w:t>
            </w:r>
          </w:p>
          <w:p w14:paraId="1AED02FC">
            <w:pPr>
              <w:pStyle w:val="14"/>
              <w:spacing w:line="360" w:lineRule="auto"/>
              <w:ind w:firstLine="466" w:firstLineChars="200"/>
              <w:rPr>
                <w:rFonts w:ascii="Times New Roman" w:hAnsi="Times New Roman"/>
                <w:b/>
                <w:spacing w:val="-4"/>
                <w:sz w:val="24"/>
              </w:rPr>
            </w:pPr>
            <w:r>
              <w:rPr>
                <w:rFonts w:ascii="Times New Roman" w:hAnsi="Times New Roman"/>
                <w:b/>
                <w:spacing w:val="-4"/>
                <w:sz w:val="24"/>
              </w:rPr>
              <w:t>1、X射线探伤机工作原理</w:t>
            </w:r>
          </w:p>
          <w:p w14:paraId="11984D6C">
            <w:pPr>
              <w:pStyle w:val="81"/>
              <w:widowControl w:val="0"/>
              <w:spacing w:line="360" w:lineRule="auto"/>
            </w:pPr>
            <w:r>
              <w:t>（1）构造组成</w:t>
            </w:r>
          </w:p>
          <w:p w14:paraId="1ADEF3D7">
            <w:pPr>
              <w:pStyle w:val="81"/>
              <w:widowControl w:val="0"/>
              <w:spacing w:line="360" w:lineRule="auto"/>
            </w:pPr>
            <w:r>
              <w:t>工业X射线探伤机由X射线管和高压电源组成，核心部件是X射线管。它是一个内真空的玻璃管，由阴极和阳极组成，阴极通常是装在聚焦杯中的钨制灯丝，阳极靶则根据应用的需要，由不同材料制成各种形状，一般采用高原子序数的难熔金属如钨、铂、金等制成。当灯丝通电加热时，电子就“蒸发”出来，而聚焦杯使这些电子聚焦成束，直接向嵌在金属阳极中的靶体射击。靶体高电压加在X射线管的两极之间，使电子在射到靶体之前被加速达到很高的速度，这些高速电子到达靶面被靶突然阻挡而产生X射线。</w:t>
            </w:r>
          </w:p>
          <w:p w14:paraId="763D3D25">
            <w:pPr>
              <w:pStyle w:val="81"/>
              <w:widowControl w:val="0"/>
              <w:spacing w:line="360" w:lineRule="auto"/>
            </w:pPr>
            <w:r>
              <w:t>典型的X射线管结构见图9-1。</w:t>
            </w:r>
          </w:p>
          <w:p w14:paraId="265F9D91">
            <w:pPr>
              <w:pStyle w:val="81"/>
              <w:widowControl w:val="0"/>
              <w:spacing w:line="360" w:lineRule="auto"/>
              <w:ind w:firstLine="0" w:firstLineChars="0"/>
              <w:jc w:val="center"/>
            </w:pPr>
            <w:r>
              <w:drawing>
                <wp:inline distT="0" distB="0" distL="0" distR="0">
                  <wp:extent cx="3060700" cy="19304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060746" cy="1930417"/>
                          </a:xfrm>
                          <a:prstGeom prst="rect">
                            <a:avLst/>
                          </a:prstGeom>
                        </pic:spPr>
                      </pic:pic>
                    </a:graphicData>
                  </a:graphic>
                </wp:inline>
              </w:drawing>
            </w:r>
          </w:p>
          <w:p w14:paraId="3D2C9785">
            <w:pPr>
              <w:pStyle w:val="81"/>
              <w:widowControl w:val="0"/>
              <w:spacing w:line="360" w:lineRule="auto"/>
              <w:ind w:firstLine="0" w:firstLineChars="0"/>
              <w:jc w:val="center"/>
              <w:rPr>
                <w:b/>
                <w:szCs w:val="32"/>
              </w:rPr>
            </w:pPr>
            <w:r>
              <w:rPr>
                <w:b/>
                <w:sz w:val="21"/>
                <w:szCs w:val="32"/>
              </w:rPr>
              <w:t>图9-1  常见的X射线探伤机</w:t>
            </w:r>
          </w:p>
          <w:p w14:paraId="72BDACF8">
            <w:pPr>
              <w:pStyle w:val="81"/>
              <w:widowControl w:val="0"/>
              <w:spacing w:line="360" w:lineRule="auto"/>
            </w:pPr>
            <w:r>
              <w:t>（2）工作原理</w:t>
            </w:r>
          </w:p>
          <w:p w14:paraId="71A19642">
            <w:pPr>
              <w:pStyle w:val="81"/>
              <w:widowControl w:val="0"/>
              <w:spacing w:line="360" w:lineRule="auto"/>
            </w:pPr>
            <w:r>
              <w:t>工业X射线探伤机包括实时成像和胶片成像系统两种形式，本项目所用X射线探伤机采用胶片成像系统，是利用X射线穿透试件、以胶片作为记录信息的无损检测方法。通过X射线对受检部位进行透照，当X射线穿过有缺陷部位时，由于被检工件内部结构密度不同，其对X射线的阻挡能力也不一样，物质的密度越大、X射线强度减弱越大，底部感光量就越小。当工件内部存在气孔、裂缝夹渣等缺陷时，X射线穿过有缺陷的路径比没有缺陷的路径所透过的物质密度要小得多，其强度减弱较小，即透过的X射线强度较大，底片感光量较大，从而可以从底片曝光强度的差异判断焊接的质量、缺陷位置和被检样品内部的细微结构等。如有焊接质量问题，在显影后的胶片上产生一个较强的图像显示裂缝所在的位置，X射线探伤机据此实现探伤目的。</w:t>
            </w:r>
          </w:p>
          <w:p w14:paraId="5F0E5F08">
            <w:pPr>
              <w:pStyle w:val="81"/>
              <w:widowControl w:val="0"/>
              <w:spacing w:line="360" w:lineRule="auto"/>
              <w:jc w:val="center"/>
              <w:rPr>
                <w:b/>
                <w:spacing w:val="-4"/>
              </w:rPr>
            </w:pPr>
            <w:r>
              <w:drawing>
                <wp:inline distT="0" distB="0" distL="0" distR="0">
                  <wp:extent cx="2832100" cy="20955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2832470" cy="2095749"/>
                          </a:xfrm>
                          <a:prstGeom prst="rect">
                            <a:avLst/>
                          </a:prstGeom>
                        </pic:spPr>
                      </pic:pic>
                    </a:graphicData>
                  </a:graphic>
                </wp:inline>
              </w:drawing>
            </w:r>
          </w:p>
          <w:p w14:paraId="456095E4">
            <w:pPr>
              <w:pStyle w:val="81"/>
              <w:widowControl w:val="0"/>
              <w:spacing w:line="360" w:lineRule="auto"/>
              <w:ind w:firstLine="422"/>
              <w:jc w:val="center"/>
              <w:rPr>
                <w:b/>
                <w:spacing w:val="-4"/>
                <w:sz w:val="21"/>
                <w:szCs w:val="21"/>
              </w:rPr>
            </w:pPr>
            <w:r>
              <w:rPr>
                <w:b/>
                <w:bCs/>
                <w:sz w:val="21"/>
                <w:szCs w:val="21"/>
              </w:rPr>
              <w:t>图</w:t>
            </w:r>
            <w:r>
              <w:rPr>
                <w:sz w:val="21"/>
                <w:szCs w:val="21"/>
              </w:rPr>
              <w:t>9-2  X</w:t>
            </w:r>
            <w:r>
              <w:rPr>
                <w:b/>
                <w:bCs/>
                <w:sz w:val="21"/>
                <w:szCs w:val="21"/>
              </w:rPr>
              <w:t>射线探伤机工作原理示意图</w:t>
            </w:r>
          </w:p>
          <w:p w14:paraId="25631975">
            <w:pPr>
              <w:pStyle w:val="81"/>
              <w:widowControl w:val="0"/>
              <w:spacing w:line="360" w:lineRule="auto"/>
              <w:ind w:firstLine="466"/>
              <w:rPr>
                <w:b/>
                <w:spacing w:val="-4"/>
              </w:rPr>
            </w:pPr>
            <w:r>
              <w:rPr>
                <w:b/>
                <w:spacing w:val="-4"/>
              </w:rPr>
              <w:t>2、野外（室外）探伤工作流程及产污环节</w:t>
            </w:r>
          </w:p>
          <w:p w14:paraId="65D457DF">
            <w:pPr>
              <w:spacing w:line="360" w:lineRule="auto"/>
              <w:ind w:firstLine="470" w:firstLineChars="196"/>
              <w:rPr>
                <w:rFonts w:ascii="Times New Roman" w:hAnsi="Times New Roman"/>
                <w:sz w:val="24"/>
              </w:rPr>
            </w:pPr>
            <w:r>
              <w:rPr>
                <w:rFonts w:ascii="Times New Roman" w:hAnsi="Times New Roman"/>
                <w:sz w:val="24"/>
              </w:rPr>
              <w:t>（1）承德市内探伤：</w:t>
            </w:r>
          </w:p>
          <w:p w14:paraId="1E3BF2F6">
            <w:pPr>
              <w:spacing w:line="360" w:lineRule="auto"/>
              <w:ind w:firstLine="470" w:firstLineChars="196"/>
              <w:rPr>
                <w:rFonts w:ascii="Times New Roman" w:hAnsi="Times New Roman"/>
                <w:sz w:val="24"/>
              </w:rPr>
            </w:pPr>
            <w:r>
              <w:rPr>
                <w:rFonts w:hint="eastAsia" w:ascii="宋体" w:hAnsi="宋体" w:cs="宋体"/>
                <w:sz w:val="24"/>
              </w:rPr>
              <w:t>①</w:t>
            </w:r>
            <w:r>
              <w:rPr>
                <w:rFonts w:ascii="Times New Roman" w:hAnsi="Times New Roman"/>
                <w:sz w:val="24"/>
              </w:rPr>
              <w:t>接受探伤任务后，制定探伤作业方案，该作业方案应包括工况、时间、地点、探制区范围、监测方案、清场方式等，明确探伤人员、防护人员、运输人员、保卫人员的职责和分工等。</w:t>
            </w:r>
          </w:p>
          <w:p w14:paraId="7CE47EE3">
            <w:pPr>
              <w:spacing w:line="360" w:lineRule="auto"/>
              <w:ind w:firstLine="470" w:firstLineChars="196"/>
              <w:rPr>
                <w:rFonts w:ascii="Times New Roman" w:hAnsi="Times New Roman"/>
                <w:sz w:val="24"/>
              </w:rPr>
            </w:pPr>
            <w:r>
              <w:rPr>
                <w:rFonts w:hint="eastAsia" w:ascii="宋体" w:hAnsi="宋体" w:cs="宋体"/>
                <w:sz w:val="24"/>
              </w:rPr>
              <w:t>②</w:t>
            </w:r>
            <w:r>
              <w:rPr>
                <w:rFonts w:ascii="Times New Roman" w:hAnsi="Times New Roman"/>
                <w:sz w:val="24"/>
              </w:rPr>
              <w:t>设备出库。根据X射线探伤机管理制度，工作人员持任务单，经过管理员确认后，领取X射线探伤机，并在出入库台账上登记。</w:t>
            </w:r>
          </w:p>
          <w:p w14:paraId="64E4BB28">
            <w:pPr>
              <w:spacing w:line="360" w:lineRule="auto"/>
              <w:ind w:firstLine="470" w:firstLineChars="196"/>
              <w:rPr>
                <w:rFonts w:ascii="Times New Roman" w:hAnsi="Times New Roman"/>
                <w:sz w:val="24"/>
              </w:rPr>
            </w:pPr>
            <w:r>
              <w:rPr>
                <w:rFonts w:hint="eastAsia" w:ascii="宋体" w:hAnsi="宋体" w:cs="宋体"/>
                <w:sz w:val="24"/>
              </w:rPr>
              <w:t>③</w:t>
            </w:r>
            <w:r>
              <w:rPr>
                <w:rFonts w:ascii="Times New Roman" w:hAnsi="Times New Roman"/>
                <w:sz w:val="24"/>
              </w:rPr>
              <w:t>设备运输。采用单位车辆将设备运送至探伤作业场所，至少1名操作人员随车押运，确保运输过程中设备的安全。</w:t>
            </w:r>
          </w:p>
          <w:p w14:paraId="35ECCE90">
            <w:pPr>
              <w:spacing w:line="360" w:lineRule="auto"/>
              <w:ind w:firstLine="470" w:firstLineChars="196"/>
              <w:rPr>
                <w:rFonts w:ascii="Times New Roman" w:hAnsi="Times New Roman"/>
                <w:sz w:val="24"/>
              </w:rPr>
            </w:pPr>
            <w:r>
              <w:rPr>
                <w:rFonts w:hint="eastAsia" w:ascii="宋体" w:hAnsi="宋体" w:cs="宋体"/>
                <w:sz w:val="24"/>
              </w:rPr>
              <w:t>④</w:t>
            </w:r>
            <w:r>
              <w:rPr>
                <w:rFonts w:ascii="Times New Roman" w:hAnsi="Times New Roman"/>
                <w:sz w:val="24"/>
              </w:rPr>
              <w:t>探伤作业前需要进行公告，公告内容包括：探伤作业的性质、时间、地点、控制监督区范围、探伤单位名称、负责人、联系电话、辐射事故报警电话等内容。同时对工作场所进行分区管理，在控制区边界拉起临时警戒线并设“禁止进入射线探伤区”，在监督区边界上设警戒线、“无关人员禁止入内”的警示牌，由辐射工作人员负责现场巡查及监督检查，清除控制区和监督区范围内的非探伤工作人员，确保探伤作业时公众成员撤离监督区范围。</w:t>
            </w:r>
          </w:p>
          <w:p w14:paraId="58BD4CC4">
            <w:pPr>
              <w:spacing w:line="360" w:lineRule="auto"/>
              <w:ind w:firstLine="470" w:firstLineChars="196"/>
              <w:rPr>
                <w:rFonts w:ascii="Times New Roman" w:hAnsi="Times New Roman"/>
                <w:sz w:val="24"/>
              </w:rPr>
            </w:pPr>
            <w:r>
              <w:rPr>
                <w:rFonts w:hint="eastAsia" w:ascii="宋体" w:hAnsi="宋体" w:cs="宋体"/>
                <w:sz w:val="24"/>
              </w:rPr>
              <w:t>⑤</w:t>
            </w:r>
            <w:r>
              <w:rPr>
                <w:rFonts w:ascii="Times New Roman" w:hAnsi="Times New Roman"/>
                <w:sz w:val="24"/>
              </w:rPr>
              <w:t>设备操作人员检查设备，确认无误后，对设备进行安装。在开展探伤前，将探伤机放置到探伤工件旁。在设备安装完毕后，再在探伤机周围采用可拆卸的屏蔽材料进行屏蔽（如移动式铅屏风）。</w:t>
            </w:r>
          </w:p>
          <w:p w14:paraId="7136EEF7">
            <w:pPr>
              <w:spacing w:line="360" w:lineRule="auto"/>
              <w:ind w:firstLine="470" w:firstLineChars="196"/>
              <w:rPr>
                <w:rFonts w:ascii="Times New Roman" w:hAnsi="Times New Roman"/>
                <w:sz w:val="24"/>
              </w:rPr>
            </w:pPr>
            <w:r>
              <w:rPr>
                <w:rFonts w:hint="eastAsia" w:ascii="宋体" w:hAnsi="宋体" w:cs="宋体"/>
                <w:sz w:val="24"/>
              </w:rPr>
              <w:t>⑥</w:t>
            </w:r>
            <w:r>
              <w:rPr>
                <w:rFonts w:ascii="Times New Roman" w:hAnsi="Times New Roman"/>
                <w:sz w:val="24"/>
              </w:rPr>
              <w:t>曝光拍片。项目探伤作业时，工作人员将设备安装固定好之后到线缆末端操作台，设置曝光参数和延迟曝光时间后撤离至控制区外的区域。现场作业人员均佩戴个人剂量计和剂量警报仪，监护人员确认场内及周边无其他人员且各种辐射安全措施到位后，通知设备操作和数据采集人员开机进行曝光，现场监护人员使用便携式辐射监测仪进行巡测，一旦发现辐射水平异常、分区不合理，应立即停止射线出束，调整分区。对划定的非主射方向的控制区和监督区进行修正，保障工作人员操作现场的空气比释动能率小于15μGy/h，公众位于空气比释动能率小于2.5μGy/h的区域之外。</w:t>
            </w:r>
          </w:p>
          <w:p w14:paraId="637A6BEB">
            <w:pPr>
              <w:spacing w:line="360" w:lineRule="auto"/>
              <w:ind w:firstLine="470" w:firstLineChars="196"/>
              <w:rPr>
                <w:rFonts w:ascii="Times New Roman" w:hAnsi="Times New Roman"/>
                <w:sz w:val="24"/>
              </w:rPr>
            </w:pPr>
            <w:r>
              <w:rPr>
                <w:rFonts w:hint="eastAsia" w:ascii="宋体" w:hAnsi="宋体" w:cs="宋体"/>
                <w:sz w:val="24"/>
              </w:rPr>
              <w:t>⑦</w:t>
            </w:r>
            <w:r>
              <w:rPr>
                <w:rFonts w:ascii="Times New Roman" w:hAnsi="Times New Roman"/>
                <w:sz w:val="24"/>
              </w:rPr>
              <w:t>探伤结束，关闭机器，清理完现场后解除警戒，工作人员离场。</w:t>
            </w:r>
          </w:p>
          <w:p w14:paraId="6A8B0FAD">
            <w:pPr>
              <w:spacing w:line="360" w:lineRule="auto"/>
              <w:ind w:firstLine="470" w:firstLineChars="196"/>
              <w:rPr>
                <w:rFonts w:ascii="Times New Roman" w:hAnsi="Times New Roman"/>
                <w:sz w:val="24"/>
              </w:rPr>
            </w:pPr>
            <w:r>
              <w:rPr>
                <w:rFonts w:hint="eastAsia" w:ascii="宋体" w:hAnsi="宋体" w:cs="宋体"/>
                <w:sz w:val="24"/>
              </w:rPr>
              <w:t>⑧</w:t>
            </w:r>
            <w:r>
              <w:rPr>
                <w:rFonts w:ascii="Times New Roman" w:hAnsi="Times New Roman"/>
                <w:sz w:val="24"/>
              </w:rPr>
              <w:t>探伤结束后，采用单位车辆将X射线探伤机运回至公司曝光室内指定位置，再根据设备出入库管理制度，在出入库台账上登记入库。</w:t>
            </w:r>
          </w:p>
          <w:p w14:paraId="73E562F8">
            <w:pPr>
              <w:spacing w:line="360" w:lineRule="auto"/>
              <w:ind w:firstLine="470" w:firstLineChars="196"/>
              <w:rPr>
                <w:rFonts w:ascii="Times New Roman" w:hAnsi="Times New Roman"/>
                <w:sz w:val="24"/>
              </w:rPr>
            </w:pPr>
            <w:r>
              <w:rPr>
                <w:rFonts w:hint="eastAsia" w:ascii="宋体" w:hAnsi="宋体" w:cs="宋体"/>
                <w:sz w:val="24"/>
              </w:rPr>
              <w:t>⑨</w:t>
            </w:r>
            <w:r>
              <w:rPr>
                <w:rFonts w:ascii="Times New Roman" w:hAnsi="Times New Roman"/>
                <w:sz w:val="24"/>
              </w:rPr>
              <w:t>探伤操作人员收取工件上的胶片，送至公司暗室洗片，冲洗后进行评片、审片，经洗片、评片、审片后给出无损检测结果。</w:t>
            </w:r>
          </w:p>
          <w:p w14:paraId="4212BF5A">
            <w:pPr>
              <w:spacing w:line="360" w:lineRule="auto"/>
              <w:ind w:firstLine="470" w:firstLineChars="196"/>
              <w:rPr>
                <w:rFonts w:ascii="Times New Roman" w:hAnsi="Times New Roman"/>
                <w:sz w:val="24"/>
              </w:rPr>
            </w:pPr>
            <w:r>
              <w:rPr>
                <w:rFonts w:ascii="Times New Roman" w:hAnsi="Times New Roman"/>
                <w:sz w:val="24"/>
              </w:rPr>
              <w:t>（2）承德市外探伤：</w:t>
            </w:r>
          </w:p>
          <w:p w14:paraId="6443B1E4">
            <w:pPr>
              <w:spacing w:line="360" w:lineRule="auto"/>
              <w:ind w:firstLine="470" w:firstLineChars="196"/>
              <w:rPr>
                <w:rFonts w:ascii="Times New Roman" w:hAnsi="Times New Roman"/>
                <w:sz w:val="24"/>
              </w:rPr>
            </w:pPr>
            <w:r>
              <w:rPr>
                <w:rFonts w:hint="eastAsia" w:ascii="宋体" w:hAnsi="宋体" w:cs="宋体"/>
                <w:sz w:val="24"/>
              </w:rPr>
              <w:t>①</w:t>
            </w:r>
            <w:r>
              <w:rPr>
                <w:rFonts w:ascii="Times New Roman" w:hAnsi="Times New Roman"/>
                <w:sz w:val="24"/>
              </w:rPr>
              <w:t>于射线装置转移前5个工作日，持有效的辐射安全许可证正本、副本复印件，向转入地市（州）生态环境主管部门提交使用计划和作业方案。</w:t>
            </w:r>
          </w:p>
          <w:p w14:paraId="140C5BA3">
            <w:pPr>
              <w:spacing w:line="360" w:lineRule="auto"/>
              <w:ind w:firstLine="470" w:firstLineChars="196"/>
              <w:rPr>
                <w:rFonts w:ascii="Times New Roman" w:hAnsi="Times New Roman"/>
                <w:sz w:val="24"/>
              </w:rPr>
            </w:pPr>
            <w:r>
              <w:rPr>
                <w:rFonts w:hint="eastAsia" w:ascii="宋体" w:hAnsi="宋体" w:cs="宋体"/>
                <w:sz w:val="24"/>
              </w:rPr>
              <w:t>②</w:t>
            </w:r>
            <w:r>
              <w:rPr>
                <w:rFonts w:ascii="Times New Roman" w:hAnsi="Times New Roman"/>
                <w:sz w:val="24"/>
              </w:rPr>
              <w:t>参照“（1）承德市内探伤步骤</w:t>
            </w:r>
            <w:r>
              <w:rPr>
                <w:rFonts w:hint="eastAsia" w:ascii="宋体" w:hAnsi="宋体" w:cs="宋体"/>
                <w:sz w:val="24"/>
              </w:rPr>
              <w:t>①</w:t>
            </w:r>
            <w:r>
              <w:rPr>
                <w:rFonts w:ascii="Times New Roman" w:hAnsi="Times New Roman"/>
                <w:sz w:val="24"/>
              </w:rPr>
              <w:t>~</w:t>
            </w:r>
            <w:r>
              <w:rPr>
                <w:rFonts w:hint="eastAsia" w:ascii="宋体" w:hAnsi="宋体" w:cs="宋体"/>
                <w:sz w:val="24"/>
              </w:rPr>
              <w:t>⑨</w:t>
            </w:r>
            <w:r>
              <w:rPr>
                <w:rFonts w:ascii="Times New Roman" w:hAnsi="Times New Roman"/>
                <w:sz w:val="24"/>
              </w:rPr>
              <w:t>”开展探伤作业。</w:t>
            </w:r>
          </w:p>
          <w:p w14:paraId="39242D98">
            <w:pPr>
              <w:spacing w:line="360" w:lineRule="auto"/>
              <w:ind w:firstLine="470" w:firstLineChars="196"/>
              <w:rPr>
                <w:rFonts w:ascii="Times New Roman" w:hAnsi="Times New Roman"/>
                <w:sz w:val="24"/>
              </w:rPr>
            </w:pPr>
            <w:r>
              <w:rPr>
                <w:rFonts w:hint="eastAsia" w:ascii="宋体" w:hAnsi="宋体" w:cs="宋体"/>
                <w:sz w:val="24"/>
              </w:rPr>
              <w:t>③</w:t>
            </w:r>
            <w:r>
              <w:rPr>
                <w:rFonts w:ascii="Times New Roman" w:hAnsi="Times New Roman"/>
                <w:sz w:val="24"/>
              </w:rPr>
              <w:t>在作业结束后10个工作日内，应当向转入地市（州）生态环境主管部门提交辐射安全评估报告。</w:t>
            </w:r>
          </w:p>
          <w:p w14:paraId="3BF5EE98">
            <w:pPr>
              <w:spacing w:line="360" w:lineRule="auto"/>
              <w:ind w:firstLine="470" w:firstLineChars="196"/>
              <w:rPr>
                <w:rFonts w:ascii="Times New Roman" w:hAnsi="Times New Roman"/>
                <w:sz w:val="24"/>
              </w:rPr>
            </w:pPr>
            <w:r>
              <w:rPr>
                <w:rFonts w:ascii="Times New Roman" w:hAnsi="Times New Roman"/>
                <w:sz w:val="24"/>
              </w:rPr>
              <w:t>（3）河北省外探伤：在河北省省外开展探伤工作时的报备方案及相关管理制度按照当地主管部门的要求执行。</w:t>
            </w:r>
          </w:p>
          <w:p w14:paraId="01AA342E">
            <w:pPr>
              <w:snapToGrid w:val="0"/>
              <w:spacing w:line="360" w:lineRule="auto"/>
              <w:ind w:firstLine="470" w:firstLineChars="196"/>
              <w:rPr>
                <w:rFonts w:ascii="Times New Roman" w:hAnsi="Times New Roman"/>
                <w:sz w:val="24"/>
              </w:rPr>
            </w:pPr>
            <w:r>
              <w:rPr>
                <w:rFonts w:ascii="Times New Roman" w:hAnsi="Times New Roman"/>
                <w:sz w:val="24"/>
              </w:rPr>
              <w:t>X射线探伤机工作流程示意图及产污环节见图9-3。</w:t>
            </w:r>
          </w:p>
          <w:p w14:paraId="7ED8E29B">
            <w:pPr>
              <w:pStyle w:val="2"/>
              <w:spacing w:after="0"/>
              <w:ind w:left="0" w:leftChars="0" w:firstLine="0" w:firstLineChars="0"/>
              <w:jc w:val="center"/>
            </w:pPr>
            <w:r>
              <w:drawing>
                <wp:inline distT="0" distB="0" distL="0" distR="0">
                  <wp:extent cx="5503545" cy="2252345"/>
                  <wp:effectExtent l="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6958" cy="2262387"/>
                          </a:xfrm>
                          <a:prstGeom prst="rect">
                            <a:avLst/>
                          </a:prstGeom>
                          <a:noFill/>
                          <a:ln>
                            <a:noFill/>
                          </a:ln>
                        </pic:spPr>
                      </pic:pic>
                    </a:graphicData>
                  </a:graphic>
                </wp:inline>
              </w:drawing>
            </w:r>
          </w:p>
          <w:p w14:paraId="5F92E014">
            <w:pPr>
              <w:pStyle w:val="2"/>
              <w:ind w:left="0" w:leftChars="0" w:firstLine="0" w:firstLineChars="0"/>
              <w:jc w:val="center"/>
              <w:rPr>
                <w:b/>
                <w:bCs/>
              </w:rPr>
            </w:pPr>
            <w:r>
              <w:rPr>
                <w:b/>
                <w:bCs/>
              </w:rPr>
              <w:t>图9-3  X射线探伤机野外（室外）探伤工作流程示意图及产污环节</w:t>
            </w:r>
          </w:p>
          <w:p w14:paraId="4C846275">
            <w:pPr>
              <w:pStyle w:val="2"/>
              <w:spacing w:after="0" w:line="360" w:lineRule="auto"/>
              <w:ind w:left="0" w:leftChars="0" w:firstLine="562"/>
              <w:rPr>
                <w:b/>
                <w:bCs/>
                <w:sz w:val="28"/>
                <w:szCs w:val="28"/>
              </w:rPr>
            </w:pPr>
            <w:r>
              <w:rPr>
                <w:b/>
                <w:bCs/>
                <w:sz w:val="28"/>
                <w:szCs w:val="28"/>
              </w:rPr>
              <w:t>3、探伤对象及探伤工况分析</w:t>
            </w:r>
          </w:p>
          <w:p w14:paraId="617A4AFE">
            <w:pPr>
              <w:pStyle w:val="2"/>
              <w:spacing w:after="0" w:line="360" w:lineRule="auto"/>
              <w:ind w:left="0" w:leftChars="0" w:firstLine="480"/>
              <w:rPr>
                <w:sz w:val="24"/>
              </w:rPr>
            </w:pPr>
            <w:r>
              <w:rPr>
                <w:sz w:val="24"/>
              </w:rPr>
              <w:t>本项目野外（室外）探伤地点遍布全国各地，主要对野外施工现场的桥梁钢箱梁结构钢板对接焊缝探伤检测及对承压类压力管道等进行检验检测，在对在用压力管道进行检测时，须排空压力管道内的介质后方可检测，钢箱梁结构钢板对接焊缝厚度为20mm～50mm；压力管道探伤管件厚度为12mm～50mm。根据建设单位提供信息，本项目XT1605D型探伤机探伤工件厚度最大为20mm；XXH2005C型探伤机探伤工件厚度最大为24mm；XT2505C型探伤机探伤工件厚度最大为34mm；XT2505D型探伤机探伤工件厚度最大为40mm；XT3005D型探伤机探伤工件厚度最大为50mm。根据建设单位反馈，本项目在探伤作业前，先将探伤机采用支架固定在被测工件附近。本项目探伤机在探伤过程过程中，出束方向主要朝向地面、平行地面、朝向天空和朝向四周四种情况。本项目探伤机主射方向朝向地面和天空时，四周拟采用不低于“1m×1m”尺寸的5mm铅当量铅屏风进行屏蔽；当主射线束平行于地面时，主射方向拟采用不低于“1m×1m”尺寸的10mm铅当量铅屏风进行屏蔽，其余三侧拟采用5mm铅当量铅屏风进行屏蔽。本项目使用的5台X射线探伤机年野外（室外）探伤曝光时间总计最大约750h。正常探伤工况下，X射线探伤机运行时的管电压一般低于最高管电压。</w:t>
            </w:r>
          </w:p>
        </w:tc>
      </w:tr>
      <w:tr w14:paraId="3C3A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3" w:type="dxa"/>
          </w:tcPr>
          <w:p w14:paraId="1714169E">
            <w:pPr>
              <w:adjustRightInd w:val="0"/>
              <w:snapToGrid w:val="0"/>
              <w:spacing w:before="120" w:beforeLines="50" w:line="360" w:lineRule="auto"/>
              <w:rPr>
                <w:rFonts w:ascii="Times New Roman" w:hAnsi="Times New Roman"/>
                <w:b/>
                <w:bCs/>
                <w:sz w:val="28"/>
                <w:szCs w:val="28"/>
              </w:rPr>
            </w:pPr>
            <w:r>
              <w:rPr>
                <w:rFonts w:ascii="Times New Roman" w:hAnsi="Times New Roman"/>
                <w:b/>
                <w:bCs/>
                <w:sz w:val="28"/>
                <w:szCs w:val="28"/>
              </w:rPr>
              <w:t>污染源项描述</w:t>
            </w:r>
          </w:p>
          <w:p w14:paraId="3D492AC9">
            <w:pPr>
              <w:pStyle w:val="105"/>
              <w:spacing w:line="360" w:lineRule="auto"/>
              <w:ind w:firstLine="464"/>
              <w:rPr>
                <w:rFonts w:ascii="Times New Roman" w:hAnsi="Times New Roman"/>
                <w:bCs/>
                <w:spacing w:val="-4"/>
                <w:kern w:val="0"/>
                <w:sz w:val="24"/>
                <w:szCs w:val="20"/>
              </w:rPr>
            </w:pPr>
            <w:r>
              <w:rPr>
                <w:rFonts w:ascii="Times New Roman" w:hAnsi="Times New Roman"/>
                <w:bCs/>
                <w:spacing w:val="-4"/>
                <w:kern w:val="0"/>
                <w:sz w:val="24"/>
                <w:szCs w:val="20"/>
              </w:rPr>
              <w:t>本项目建设地点在公司厂区内（</w:t>
            </w:r>
            <w:r>
              <w:rPr>
                <w:rFonts w:ascii="Times New Roman" w:hAnsi="Times New Roman"/>
                <w:sz w:val="24"/>
              </w:rPr>
              <w:t>承德市双滦区双塔山镇256省道地质四队对面</w:t>
            </w:r>
            <w:r>
              <w:rPr>
                <w:rFonts w:ascii="Times New Roman" w:hAnsi="Times New Roman"/>
                <w:bCs/>
                <w:spacing w:val="-4"/>
                <w:kern w:val="0"/>
                <w:sz w:val="24"/>
                <w:szCs w:val="20"/>
              </w:rPr>
              <w:t>），野外（室外）探伤作业不存在施工期，不存在施工期环境影响。本项目无野外（室外）探伤作业时，探伤机存放在公司一层设备室内，存放期间，探伤机不开机使用。</w:t>
            </w:r>
          </w:p>
          <w:p w14:paraId="3AFB352A">
            <w:pPr>
              <w:adjustRightInd w:val="0"/>
              <w:snapToGrid w:val="0"/>
              <w:spacing w:line="360" w:lineRule="auto"/>
              <w:jc w:val="left"/>
              <w:rPr>
                <w:rFonts w:ascii="Times New Roman" w:hAnsi="Times New Roman"/>
                <w:b/>
                <w:kern w:val="0"/>
                <w:sz w:val="24"/>
              </w:rPr>
            </w:pPr>
            <w:r>
              <w:rPr>
                <w:rFonts w:ascii="Times New Roman" w:hAnsi="Times New Roman"/>
                <w:b/>
                <w:kern w:val="0"/>
                <w:sz w:val="24"/>
              </w:rPr>
              <w:t>一、电离辐射</w:t>
            </w:r>
          </w:p>
          <w:p w14:paraId="5233656C">
            <w:pPr>
              <w:pStyle w:val="81"/>
              <w:widowControl w:val="0"/>
              <w:spacing w:line="360" w:lineRule="auto"/>
              <w:rPr>
                <w:b/>
                <w:spacing w:val="-4"/>
              </w:rPr>
            </w:pPr>
            <w:r>
              <w:t>X射线探伤机开机工作时，通过高压发生器和X光管产生高速电子束，电子束撞击钨靶，靶原子的内层电子被电离，外层电子进入内层轨道填补空位，放出具有确定能量的X射线，本项目产生的X射线能量最大为300kV。X射线探伤机关机状态不产生辐射。</w:t>
            </w:r>
          </w:p>
          <w:p w14:paraId="1BBD727D">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1、主要放射性污染</w:t>
            </w:r>
          </w:p>
          <w:p w14:paraId="4DDDF043">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本项目的放射性污染评价因子主要为X射线，由X射线探伤机的工作原理可知，X射线是随机器的开、关而产生和消失。X射线探伤机开机工作时，通过高压发生器（或高压脉冲发生器）和X光管产生高速电子束，电子束撞击钨靶，靶原子的内层电子被电离，外层电子进入内层轨道填补空位，放出具有确定能量的X射线。X射线探伤机关机状态不产生辐射。</w:t>
            </w:r>
          </w:p>
          <w:p w14:paraId="565725C9">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本项目不产生放射性固体废物、放射性废水和放射性废气。</w:t>
            </w:r>
          </w:p>
          <w:p w14:paraId="68517BFD">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2、非放射性污染</w:t>
            </w:r>
          </w:p>
          <w:p w14:paraId="190E8F4D">
            <w:pPr>
              <w:spacing w:line="360" w:lineRule="auto"/>
              <w:ind w:firstLine="480" w:firstLineChars="200"/>
              <w:rPr>
                <w:rFonts w:ascii="Times New Roman" w:hAnsi="Times New Roman"/>
                <w:kern w:val="0"/>
                <w:sz w:val="24"/>
                <w:lang w:bidi="ar"/>
              </w:rPr>
            </w:pPr>
            <w:r>
              <w:rPr>
                <w:rFonts w:hint="eastAsia" w:ascii="宋体" w:hAnsi="宋体" w:cs="宋体"/>
                <w:kern w:val="0"/>
                <w:sz w:val="24"/>
                <w:lang w:bidi="ar"/>
              </w:rPr>
              <w:t>①</w:t>
            </w:r>
            <w:r>
              <w:rPr>
                <w:rFonts w:ascii="Times New Roman" w:hAnsi="Times New Roman"/>
                <w:kern w:val="0"/>
                <w:sz w:val="24"/>
                <w:lang w:bidi="ar"/>
              </w:rPr>
              <w:t>废显（定）影液及废胶片</w:t>
            </w:r>
          </w:p>
          <w:p w14:paraId="5E9C3026">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本项目进行X射线探伤，需在暗室内冲洗胶片，在胶片冲洗过程中会产生一定量的废显、定影液（含冲洗废水）和废胶片。根据企业提供资料，同时参考同类型项目情况，预计每年使用显影液的量约为20L/a，定影液的量约为20L/a，胶片冲洗用水约为80L/a，使用胶片约8000张/年。本项目年工作约250天，预计本项目废显影液、废定影液（含冲洗废水）产生量约为120L/a，废胶片产生量保守以使用量的10%计，约800张/年（约32kg/a）。洗片过程中产生的废显影液、废定影液、洗片废水等统一暂存于公司危废暂存间内设置的收集桶内，废胶片暂存于危废暂存间内设置的储存设施内，</w:t>
            </w:r>
            <w:r>
              <w:rPr>
                <w:sz w:val="24"/>
              </w:rPr>
              <w:t>危废经承德双然环保科技有限公司收集后交由有危废处理资质的</w:t>
            </w:r>
            <w:r>
              <w:rPr>
                <w:rFonts w:hint="eastAsia"/>
                <w:sz w:val="24"/>
              </w:rPr>
              <w:t>万德斯(唐山曹妃甸)环保科技有限公司处置</w:t>
            </w:r>
            <w:r>
              <w:rPr>
                <w:rFonts w:ascii="Times New Roman" w:hAnsi="Times New Roman"/>
                <w:kern w:val="0"/>
                <w:sz w:val="24"/>
                <w:lang w:bidi="ar"/>
              </w:rPr>
              <w:t>。</w:t>
            </w:r>
          </w:p>
          <w:p w14:paraId="28EFFDF8">
            <w:pPr>
              <w:spacing w:line="360" w:lineRule="auto"/>
              <w:ind w:firstLine="480" w:firstLineChars="200"/>
              <w:rPr>
                <w:rFonts w:ascii="Times New Roman" w:hAnsi="Times New Roman"/>
                <w:kern w:val="0"/>
                <w:sz w:val="24"/>
                <w:lang w:bidi="ar"/>
              </w:rPr>
            </w:pPr>
            <w:r>
              <w:rPr>
                <w:rFonts w:hint="eastAsia" w:ascii="宋体" w:hAnsi="宋体" w:cs="宋体"/>
                <w:kern w:val="0"/>
                <w:sz w:val="24"/>
                <w:lang w:bidi="ar"/>
              </w:rPr>
              <w:t>②</w:t>
            </w:r>
            <w:r>
              <w:rPr>
                <w:rFonts w:ascii="Times New Roman" w:hAnsi="Times New Roman"/>
                <w:kern w:val="0"/>
                <w:sz w:val="24"/>
                <w:lang w:bidi="ar"/>
              </w:rPr>
              <w:t>有害气体</w:t>
            </w:r>
          </w:p>
          <w:p w14:paraId="19EED69B">
            <w:pPr>
              <w:spacing w:line="360" w:lineRule="auto"/>
              <w:ind w:firstLine="480" w:firstLineChars="200"/>
              <w:rPr>
                <w:rFonts w:ascii="Times New Roman" w:hAnsi="Times New Roman"/>
                <w:kern w:val="0"/>
                <w:sz w:val="24"/>
                <w:lang w:bidi="ar"/>
              </w:rPr>
            </w:pPr>
            <w:r>
              <w:rPr>
                <w:rFonts w:ascii="Times New Roman" w:hAnsi="Times New Roman"/>
                <w:kern w:val="0"/>
                <w:sz w:val="24"/>
                <w:lang w:bidi="ar"/>
              </w:rPr>
              <w:t>射线装置工作时发出的X射线电离空气分子产生微量的臭氧和氮氧化物（以NO</w:t>
            </w:r>
            <w:r>
              <w:rPr>
                <w:rFonts w:ascii="Times New Roman" w:hAnsi="Times New Roman"/>
                <w:kern w:val="0"/>
                <w:sz w:val="24"/>
                <w:vertAlign w:val="subscript"/>
                <w:lang w:bidi="ar"/>
              </w:rPr>
              <w:t>2</w:t>
            </w:r>
            <w:r>
              <w:rPr>
                <w:rFonts w:ascii="Times New Roman" w:hAnsi="Times New Roman"/>
                <w:kern w:val="0"/>
                <w:sz w:val="24"/>
                <w:lang w:bidi="ar"/>
              </w:rPr>
              <w:t>为主），对周围环境空气影响很小。</w:t>
            </w:r>
          </w:p>
          <w:p w14:paraId="7AABC508">
            <w:pPr>
              <w:spacing w:line="360" w:lineRule="auto"/>
              <w:ind w:firstLine="480" w:firstLineChars="200"/>
              <w:rPr>
                <w:rFonts w:ascii="Times New Roman" w:hAnsi="Times New Roman" w:eastAsia="黑体"/>
              </w:rPr>
            </w:pPr>
            <w:r>
              <w:rPr>
                <w:rFonts w:ascii="Times New Roman" w:hAnsi="Times New Roman"/>
                <w:kern w:val="0"/>
                <w:sz w:val="24"/>
                <w:lang w:bidi="ar"/>
              </w:rPr>
              <w:t>因此，本项目X射线探伤机在开机期间X射线为主要污染因子。</w:t>
            </w:r>
          </w:p>
          <w:p w14:paraId="0A33A7DC">
            <w:pPr>
              <w:spacing w:line="360" w:lineRule="auto"/>
              <w:rPr>
                <w:rFonts w:ascii="Times New Roman" w:hAnsi="Times New Roman"/>
                <w:b/>
                <w:sz w:val="24"/>
                <w:lang w:bidi="ar"/>
              </w:rPr>
            </w:pPr>
            <w:r>
              <w:rPr>
                <w:rFonts w:ascii="Times New Roman" w:hAnsi="Times New Roman"/>
                <w:b/>
                <w:sz w:val="24"/>
                <w:lang w:bidi="ar"/>
              </w:rPr>
              <w:t>二、废气</w:t>
            </w:r>
          </w:p>
          <w:p w14:paraId="7ABB66F4">
            <w:pPr>
              <w:spacing w:line="360" w:lineRule="auto"/>
              <w:ind w:firstLine="480" w:firstLineChars="200"/>
              <w:rPr>
                <w:rFonts w:ascii="Times New Roman" w:hAnsi="Times New Roman"/>
                <w:sz w:val="24"/>
                <w:lang w:bidi="ar"/>
              </w:rPr>
            </w:pPr>
            <w:r>
              <w:rPr>
                <w:rFonts w:ascii="Times New Roman" w:hAnsi="Times New Roman"/>
                <w:sz w:val="24"/>
                <w:lang w:bidi="ar"/>
              </w:rPr>
              <w:t>空气在强辐射照射下，使氧分子重新组合产生臭氧和</w:t>
            </w:r>
            <w:r>
              <w:rPr>
                <w:rFonts w:ascii="Times New Roman" w:hAnsi="Times New Roman"/>
                <w:bCs/>
                <w:sz w:val="24"/>
              </w:rPr>
              <w:t>氮氧化物</w:t>
            </w:r>
            <w:r>
              <w:rPr>
                <w:rFonts w:ascii="Times New Roman" w:hAnsi="Times New Roman"/>
                <w:sz w:val="24"/>
                <w:lang w:bidi="ar"/>
              </w:rPr>
              <w:t>。本项目X射线能量不高，产生的臭氧量很小。</w:t>
            </w:r>
            <w:r>
              <w:rPr>
                <w:rFonts w:ascii="Times New Roman" w:hAnsi="Times New Roman"/>
                <w:kern w:val="0"/>
                <w:sz w:val="24"/>
                <w:lang w:bidi="ar"/>
              </w:rPr>
              <w:t>如果现场探伤场所通风不畅，会对附近人员造成危害。本项目属于室外现场探伤，不涉及室内探伤，探伤现场一般较为开阔，通风条件良好，且现场探伤时控制区内无人员滞留，不会对职业人员和公众造成危害。</w:t>
            </w:r>
          </w:p>
          <w:p w14:paraId="02699C26">
            <w:pPr>
              <w:spacing w:line="360" w:lineRule="auto"/>
              <w:rPr>
                <w:rFonts w:ascii="Times New Roman" w:hAnsi="Times New Roman"/>
                <w:b/>
                <w:sz w:val="24"/>
                <w:lang w:bidi="ar"/>
              </w:rPr>
            </w:pPr>
            <w:r>
              <w:rPr>
                <w:rFonts w:ascii="Times New Roman" w:hAnsi="Times New Roman"/>
                <w:b/>
                <w:sz w:val="24"/>
                <w:lang w:bidi="ar"/>
              </w:rPr>
              <w:t>三、废水</w:t>
            </w:r>
          </w:p>
          <w:p w14:paraId="28981ADF">
            <w:pPr>
              <w:spacing w:line="360" w:lineRule="auto"/>
              <w:ind w:firstLine="480" w:firstLineChars="200"/>
              <w:rPr>
                <w:rFonts w:ascii="Times New Roman" w:hAnsi="Times New Roman"/>
                <w:sz w:val="24"/>
              </w:rPr>
            </w:pPr>
            <w:r>
              <w:rPr>
                <w:rFonts w:ascii="Times New Roman" w:hAnsi="Times New Roman"/>
                <w:sz w:val="24"/>
                <w:lang w:bidi="ar"/>
              </w:rPr>
              <w:t>本项目工作人员由公司原有人员调剂使用，不新增工作人员，不新增生活污水。</w:t>
            </w:r>
          </w:p>
          <w:p w14:paraId="6E4BB846">
            <w:pPr>
              <w:spacing w:line="360" w:lineRule="auto"/>
              <w:rPr>
                <w:rFonts w:ascii="Times New Roman" w:hAnsi="Times New Roman"/>
                <w:sz w:val="24"/>
                <w:lang w:bidi="ar"/>
              </w:rPr>
            </w:pPr>
            <w:r>
              <w:rPr>
                <w:rFonts w:ascii="Times New Roman" w:hAnsi="Times New Roman"/>
                <w:b/>
                <w:sz w:val="24"/>
                <w:lang w:bidi="ar"/>
              </w:rPr>
              <w:t>四、固体废物</w:t>
            </w:r>
          </w:p>
          <w:p w14:paraId="69E94F69">
            <w:pPr>
              <w:spacing w:line="360" w:lineRule="auto"/>
              <w:ind w:firstLine="480" w:firstLineChars="200"/>
              <w:rPr>
                <w:rFonts w:ascii="Times New Roman" w:hAnsi="Times New Roman"/>
                <w:sz w:val="24"/>
                <w:lang w:bidi="ar"/>
              </w:rPr>
            </w:pPr>
            <w:r>
              <w:rPr>
                <w:rFonts w:ascii="Times New Roman" w:hAnsi="Times New Roman"/>
                <w:sz w:val="24"/>
                <w:lang w:bidi="ar"/>
              </w:rPr>
              <w:t>本项目工作人员由公司原有人员调剂使用，不新增工作人员，不新增生活垃圾。</w:t>
            </w:r>
          </w:p>
          <w:p w14:paraId="36986442">
            <w:pPr>
              <w:spacing w:line="360" w:lineRule="auto"/>
              <w:rPr>
                <w:rFonts w:ascii="Times New Roman" w:hAnsi="Times New Roman"/>
                <w:sz w:val="24"/>
                <w:lang w:bidi="ar"/>
              </w:rPr>
            </w:pPr>
            <w:r>
              <w:rPr>
                <w:rFonts w:ascii="Times New Roman" w:hAnsi="Times New Roman"/>
                <w:b/>
                <w:sz w:val="24"/>
                <w:lang w:bidi="ar"/>
              </w:rPr>
              <w:t>五、危险废物</w:t>
            </w:r>
          </w:p>
          <w:p w14:paraId="5E2F45AB">
            <w:pPr>
              <w:spacing w:line="360" w:lineRule="auto"/>
              <w:ind w:firstLine="480" w:firstLineChars="200"/>
              <w:rPr>
                <w:rFonts w:ascii="Times New Roman" w:hAnsi="Times New Roman"/>
                <w:sz w:val="24"/>
                <w:lang w:bidi="ar"/>
              </w:rPr>
            </w:pPr>
            <w:r>
              <w:rPr>
                <w:rFonts w:ascii="Times New Roman" w:hAnsi="Times New Roman"/>
                <w:sz w:val="24"/>
                <w:lang w:bidi="ar"/>
              </w:rPr>
              <w:t>本项目探伤拍片完成后，在暗室洗片槽洗片过程中将产生废显影液、废定影液，在切片和评片过程中将产生废弃胶片。废显影液中含有溴化钾、无水亚硫酸钠等强氧化剂；废定影液主要含有硫代硫酸钠和无水亚硫酸钠等化学物质。根据《国家危险废物名录（2025年本）》（生态环境部令第36号，2025年1月1日起实施）中的危险废物划分类别，该废显影液、废定影液和废胶片属于感光材料危险废物，其危废编号为HW16。在危废储存桶外需贴上标识。公司现有危废间及暗室已严格按照《危险废物贮存污染控制标准》（GB 18597-2023），采取“防渗、防雨、防流失”等措施。具体防渗要求有：危废间及暗室为可密闭房间，具有防雨措施，地面应按照重点防渗区的要求进行防渗处理，暂存间设置围堰，防止危废流失。</w:t>
            </w:r>
          </w:p>
          <w:p w14:paraId="34AC7201">
            <w:pPr>
              <w:spacing w:line="360" w:lineRule="auto"/>
              <w:ind w:firstLine="480" w:firstLineChars="200"/>
              <w:rPr>
                <w:rFonts w:ascii="Times New Roman" w:hAnsi="Times New Roman"/>
                <w:sz w:val="24"/>
              </w:rPr>
            </w:pPr>
            <w:r>
              <w:rPr>
                <w:rFonts w:ascii="Times New Roman" w:hAnsi="Times New Roman"/>
                <w:sz w:val="24"/>
              </w:rPr>
              <w:t>公司已与有危废处理资质的承德双然环保科技有限公司签订危废回收处理协议，</w:t>
            </w:r>
            <w:r>
              <w:rPr>
                <w:rFonts w:ascii="Times New Roman" w:hAnsi="Times New Roman"/>
                <w:sz w:val="24"/>
                <w:lang w:bidi="ar"/>
              </w:rPr>
              <w:t>本项目产生的危险废物暂存于贴有危废标识的专用容器里，放置于危废间内</w:t>
            </w:r>
            <w:r>
              <w:rPr>
                <w:rFonts w:ascii="Times New Roman" w:hAnsi="Times New Roman"/>
                <w:sz w:val="24"/>
              </w:rPr>
              <w:t>，定期</w:t>
            </w:r>
            <w:r>
              <w:rPr>
                <w:sz w:val="24"/>
              </w:rPr>
              <w:t>经承德双然环保科技有限公司收集后交由有危废处理资质的</w:t>
            </w:r>
            <w:r>
              <w:rPr>
                <w:rFonts w:hint="eastAsia"/>
                <w:sz w:val="24"/>
              </w:rPr>
              <w:t>万德斯(唐山曹妃甸)环保科技有限公司处置。</w:t>
            </w:r>
            <w:r>
              <w:rPr>
                <w:rFonts w:ascii="Times New Roman" w:hAnsi="Times New Roman"/>
                <w:sz w:val="24"/>
              </w:rPr>
              <w:t>公司现有危废间，位于厂区东北角，分为两间，每间各5.04m</w:t>
            </w:r>
            <w:r>
              <w:rPr>
                <w:rFonts w:ascii="Times New Roman" w:hAnsi="Times New Roman"/>
                <w:sz w:val="24"/>
                <w:vertAlign w:val="superscript"/>
              </w:rPr>
              <w:t>2</w:t>
            </w:r>
            <w:r>
              <w:rPr>
                <w:rFonts w:ascii="Times New Roman" w:hAnsi="Times New Roman"/>
                <w:sz w:val="24"/>
              </w:rPr>
              <w:t>，满足本项目危废暂存的要求，详见表9-1。</w:t>
            </w:r>
          </w:p>
          <w:p w14:paraId="6EE42815">
            <w:pPr>
              <w:pStyle w:val="2"/>
              <w:ind w:left="0" w:leftChars="0" w:firstLine="0" w:firstLineChars="0"/>
              <w:jc w:val="center"/>
              <w:rPr>
                <w:rFonts w:eastAsiaTheme="minorEastAsia"/>
                <w:b/>
              </w:rPr>
            </w:pPr>
            <w:r>
              <w:rPr>
                <w:rFonts w:eastAsiaTheme="minorEastAsia"/>
                <w:b/>
              </w:rPr>
              <w:t>表9-1 危险废物贮存场所（设施）基本情况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714"/>
              <w:gridCol w:w="819"/>
              <w:gridCol w:w="1193"/>
              <w:gridCol w:w="1069"/>
              <w:gridCol w:w="722"/>
              <w:gridCol w:w="1089"/>
              <w:gridCol w:w="1021"/>
              <w:gridCol w:w="719"/>
            </w:tblGrid>
            <w:tr w14:paraId="69E8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04C619EA">
                  <w:pPr>
                    <w:pStyle w:val="2"/>
                    <w:spacing w:after="0"/>
                    <w:ind w:left="0" w:leftChars="0" w:firstLine="0" w:firstLineChars="0"/>
                    <w:jc w:val="center"/>
                    <w:rPr>
                      <w:rFonts w:eastAsiaTheme="minorEastAsia"/>
                      <w:b/>
                    </w:rPr>
                  </w:pPr>
                  <w:r>
                    <w:rPr>
                      <w:rFonts w:eastAsiaTheme="minorEastAsia"/>
                      <w:b/>
                    </w:rPr>
                    <w:t>序号</w:t>
                  </w:r>
                </w:p>
              </w:tc>
              <w:tc>
                <w:tcPr>
                  <w:tcW w:w="957" w:type="pct"/>
                  <w:vAlign w:val="center"/>
                </w:tcPr>
                <w:p w14:paraId="3EDCC6AD">
                  <w:pPr>
                    <w:pStyle w:val="2"/>
                    <w:spacing w:after="0"/>
                    <w:ind w:left="0" w:leftChars="0" w:firstLine="0" w:firstLineChars="0"/>
                    <w:jc w:val="center"/>
                    <w:rPr>
                      <w:rFonts w:eastAsiaTheme="minorEastAsia"/>
                      <w:b/>
                    </w:rPr>
                  </w:pPr>
                  <w:r>
                    <w:rPr>
                      <w:rFonts w:eastAsiaTheme="minorEastAsia"/>
                      <w:b/>
                    </w:rPr>
                    <w:t>贮存场所（设施）名称</w:t>
                  </w:r>
                </w:p>
              </w:tc>
              <w:tc>
                <w:tcPr>
                  <w:tcW w:w="457" w:type="pct"/>
                  <w:vAlign w:val="center"/>
                </w:tcPr>
                <w:p w14:paraId="36BEBC2E">
                  <w:pPr>
                    <w:pStyle w:val="2"/>
                    <w:spacing w:after="0"/>
                    <w:ind w:left="0" w:leftChars="0" w:firstLine="0" w:firstLineChars="0"/>
                    <w:jc w:val="center"/>
                    <w:rPr>
                      <w:rFonts w:eastAsiaTheme="minorEastAsia"/>
                      <w:b/>
                    </w:rPr>
                  </w:pPr>
                  <w:r>
                    <w:rPr>
                      <w:rFonts w:eastAsiaTheme="minorEastAsia"/>
                      <w:b/>
                    </w:rPr>
                    <w:t>危废名称</w:t>
                  </w:r>
                </w:p>
              </w:tc>
              <w:tc>
                <w:tcPr>
                  <w:tcW w:w="666" w:type="pct"/>
                  <w:vAlign w:val="center"/>
                </w:tcPr>
                <w:p w14:paraId="4E4608AD">
                  <w:pPr>
                    <w:pStyle w:val="2"/>
                    <w:spacing w:after="0"/>
                    <w:ind w:left="0" w:leftChars="0" w:firstLine="0" w:firstLineChars="0"/>
                    <w:jc w:val="center"/>
                    <w:rPr>
                      <w:rFonts w:eastAsiaTheme="minorEastAsia"/>
                      <w:b/>
                    </w:rPr>
                  </w:pPr>
                  <w:r>
                    <w:rPr>
                      <w:rFonts w:eastAsiaTheme="minorEastAsia"/>
                      <w:b/>
                    </w:rPr>
                    <w:t>危废类别</w:t>
                  </w:r>
                </w:p>
              </w:tc>
              <w:tc>
                <w:tcPr>
                  <w:tcW w:w="597" w:type="pct"/>
                  <w:vAlign w:val="center"/>
                </w:tcPr>
                <w:p w14:paraId="6FC7B820">
                  <w:pPr>
                    <w:pStyle w:val="2"/>
                    <w:spacing w:after="0"/>
                    <w:ind w:left="0" w:leftChars="0" w:firstLine="0" w:firstLineChars="0"/>
                    <w:jc w:val="center"/>
                    <w:rPr>
                      <w:rFonts w:eastAsiaTheme="minorEastAsia"/>
                      <w:b/>
                    </w:rPr>
                  </w:pPr>
                  <w:r>
                    <w:rPr>
                      <w:b/>
                      <w:sz w:val="18"/>
                      <w:szCs w:val="18"/>
                    </w:rPr>
                    <w:t>危险废物代码</w:t>
                  </w:r>
                </w:p>
              </w:tc>
              <w:tc>
                <w:tcPr>
                  <w:tcW w:w="403" w:type="pct"/>
                  <w:vAlign w:val="center"/>
                </w:tcPr>
                <w:p w14:paraId="0A9A5695">
                  <w:pPr>
                    <w:pStyle w:val="2"/>
                    <w:spacing w:after="0"/>
                    <w:ind w:left="0" w:leftChars="0" w:firstLine="0" w:firstLineChars="0"/>
                    <w:jc w:val="center"/>
                    <w:rPr>
                      <w:b/>
                      <w:sz w:val="18"/>
                      <w:szCs w:val="18"/>
                    </w:rPr>
                  </w:pPr>
                  <w:r>
                    <w:rPr>
                      <w:b/>
                      <w:sz w:val="18"/>
                      <w:szCs w:val="18"/>
                    </w:rPr>
                    <w:t>占地</w:t>
                  </w:r>
                </w:p>
                <w:p w14:paraId="5BEF9750">
                  <w:pPr>
                    <w:pStyle w:val="2"/>
                    <w:spacing w:after="0"/>
                    <w:ind w:left="0" w:leftChars="0" w:firstLine="0" w:firstLineChars="0"/>
                    <w:jc w:val="center"/>
                    <w:rPr>
                      <w:rFonts w:eastAsiaTheme="minorEastAsia"/>
                      <w:b/>
                    </w:rPr>
                  </w:pPr>
                  <w:r>
                    <w:rPr>
                      <w:b/>
                      <w:sz w:val="18"/>
                      <w:szCs w:val="18"/>
                    </w:rPr>
                    <w:t>面积</w:t>
                  </w:r>
                </w:p>
              </w:tc>
              <w:tc>
                <w:tcPr>
                  <w:tcW w:w="608" w:type="pct"/>
                  <w:tcBorders>
                    <w:top w:val="single" w:color="auto" w:sz="4" w:space="0"/>
                    <w:left w:val="single" w:color="auto" w:sz="4" w:space="0"/>
                    <w:bottom w:val="single" w:color="auto" w:sz="4" w:space="0"/>
                    <w:right w:val="single" w:color="auto" w:sz="4" w:space="0"/>
                  </w:tcBorders>
                  <w:vAlign w:val="center"/>
                </w:tcPr>
                <w:p w14:paraId="757B0F5B">
                  <w:pPr>
                    <w:pStyle w:val="2"/>
                    <w:spacing w:after="0"/>
                    <w:ind w:left="0" w:leftChars="0" w:firstLine="0" w:firstLineChars="0"/>
                    <w:jc w:val="center"/>
                    <w:rPr>
                      <w:b/>
                      <w:sz w:val="18"/>
                      <w:szCs w:val="18"/>
                    </w:rPr>
                  </w:pPr>
                  <w:r>
                    <w:rPr>
                      <w:b/>
                      <w:sz w:val="18"/>
                      <w:szCs w:val="18"/>
                    </w:rPr>
                    <w:t>贮存能力</w:t>
                  </w:r>
                </w:p>
              </w:tc>
              <w:tc>
                <w:tcPr>
                  <w:tcW w:w="570" w:type="pct"/>
                  <w:vAlign w:val="center"/>
                </w:tcPr>
                <w:p w14:paraId="118CC34A">
                  <w:pPr>
                    <w:pStyle w:val="2"/>
                    <w:spacing w:after="0"/>
                    <w:ind w:left="0" w:leftChars="0" w:firstLine="0" w:firstLineChars="0"/>
                    <w:jc w:val="center"/>
                    <w:rPr>
                      <w:rFonts w:eastAsiaTheme="minorEastAsia"/>
                      <w:b/>
                    </w:rPr>
                  </w:pPr>
                  <w:r>
                    <w:rPr>
                      <w:b/>
                      <w:sz w:val="18"/>
                      <w:szCs w:val="18"/>
                    </w:rPr>
                    <w:t>贮存方式</w:t>
                  </w:r>
                </w:p>
              </w:tc>
              <w:tc>
                <w:tcPr>
                  <w:tcW w:w="402" w:type="pct"/>
                  <w:vAlign w:val="center"/>
                </w:tcPr>
                <w:p w14:paraId="602C9E96">
                  <w:pPr>
                    <w:pStyle w:val="2"/>
                    <w:spacing w:after="0"/>
                    <w:ind w:left="0" w:leftChars="0" w:firstLine="0" w:firstLineChars="0"/>
                    <w:jc w:val="center"/>
                    <w:rPr>
                      <w:rFonts w:eastAsiaTheme="minorEastAsia"/>
                      <w:b/>
                    </w:rPr>
                  </w:pPr>
                  <w:r>
                    <w:rPr>
                      <w:b/>
                      <w:sz w:val="18"/>
                      <w:szCs w:val="18"/>
                    </w:rPr>
                    <w:t>贮存周期</w:t>
                  </w:r>
                </w:p>
              </w:tc>
            </w:tr>
            <w:tr w14:paraId="1635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DF0EE28">
                  <w:pPr>
                    <w:pStyle w:val="2"/>
                    <w:spacing w:after="0"/>
                    <w:ind w:left="0" w:leftChars="0" w:firstLine="0" w:firstLineChars="0"/>
                    <w:jc w:val="center"/>
                    <w:rPr>
                      <w:rFonts w:eastAsiaTheme="minorEastAsia"/>
                    </w:rPr>
                  </w:pPr>
                  <w:r>
                    <w:rPr>
                      <w:rFonts w:eastAsiaTheme="minorEastAsia"/>
                    </w:rPr>
                    <w:t>1</w:t>
                  </w:r>
                </w:p>
              </w:tc>
              <w:tc>
                <w:tcPr>
                  <w:tcW w:w="957" w:type="pct"/>
                  <w:vMerge w:val="restart"/>
                  <w:vAlign w:val="center"/>
                </w:tcPr>
                <w:p w14:paraId="3EED3BA3">
                  <w:pPr>
                    <w:pStyle w:val="2"/>
                    <w:spacing w:after="0"/>
                    <w:ind w:left="0" w:leftChars="0" w:firstLine="0" w:firstLineChars="0"/>
                    <w:jc w:val="center"/>
                    <w:rPr>
                      <w:rFonts w:eastAsiaTheme="minorEastAsia"/>
                    </w:rPr>
                  </w:pPr>
                  <w:r>
                    <w:rPr>
                      <w:rFonts w:eastAsiaTheme="minorEastAsia"/>
                    </w:rPr>
                    <w:t>危废暂存间</w:t>
                  </w:r>
                </w:p>
              </w:tc>
              <w:tc>
                <w:tcPr>
                  <w:tcW w:w="457" w:type="pct"/>
                  <w:vAlign w:val="center"/>
                </w:tcPr>
                <w:p w14:paraId="2E15C484">
                  <w:pPr>
                    <w:pStyle w:val="2"/>
                    <w:spacing w:after="0"/>
                    <w:ind w:left="0" w:leftChars="0" w:firstLine="0" w:firstLineChars="0"/>
                    <w:jc w:val="center"/>
                    <w:rPr>
                      <w:rFonts w:eastAsiaTheme="minorEastAsia"/>
                    </w:rPr>
                  </w:pPr>
                  <w:r>
                    <w:rPr>
                      <w:sz w:val="18"/>
                      <w:szCs w:val="18"/>
                    </w:rPr>
                    <w:t>废胶片</w:t>
                  </w:r>
                </w:p>
              </w:tc>
              <w:tc>
                <w:tcPr>
                  <w:tcW w:w="666" w:type="pct"/>
                  <w:vMerge w:val="restart"/>
                  <w:vAlign w:val="center"/>
                </w:tcPr>
                <w:p w14:paraId="5CA63C6F">
                  <w:pPr>
                    <w:pStyle w:val="2"/>
                    <w:spacing w:after="0"/>
                    <w:ind w:left="0" w:leftChars="0" w:firstLine="0" w:firstLineChars="0"/>
                    <w:jc w:val="center"/>
                    <w:rPr>
                      <w:sz w:val="18"/>
                      <w:szCs w:val="18"/>
                    </w:rPr>
                  </w:pPr>
                  <w:r>
                    <w:rPr>
                      <w:sz w:val="18"/>
                      <w:szCs w:val="18"/>
                    </w:rPr>
                    <w:t>HW16</w:t>
                  </w:r>
                </w:p>
                <w:p w14:paraId="1420CFCD">
                  <w:pPr>
                    <w:pStyle w:val="2"/>
                    <w:spacing w:after="0"/>
                    <w:ind w:left="0" w:leftChars="0" w:firstLine="0" w:firstLineChars="0"/>
                    <w:jc w:val="center"/>
                    <w:rPr>
                      <w:rFonts w:eastAsiaTheme="minorEastAsia"/>
                    </w:rPr>
                  </w:pPr>
                  <w:r>
                    <w:rPr>
                      <w:sz w:val="18"/>
                      <w:szCs w:val="18"/>
                    </w:rPr>
                    <w:t>感光材料</w:t>
                  </w:r>
                </w:p>
              </w:tc>
              <w:tc>
                <w:tcPr>
                  <w:tcW w:w="597" w:type="pct"/>
                  <w:vMerge w:val="restart"/>
                  <w:vAlign w:val="center"/>
                </w:tcPr>
                <w:p w14:paraId="49D0A8C4">
                  <w:pPr>
                    <w:pStyle w:val="2"/>
                    <w:spacing w:after="0"/>
                    <w:ind w:left="0" w:leftChars="0" w:firstLine="0" w:firstLineChars="0"/>
                    <w:jc w:val="center"/>
                    <w:rPr>
                      <w:rFonts w:eastAsiaTheme="minorEastAsia"/>
                    </w:rPr>
                  </w:pPr>
                  <w:r>
                    <w:rPr>
                      <w:sz w:val="18"/>
                      <w:szCs w:val="18"/>
                    </w:rPr>
                    <w:t>231-001-16</w:t>
                  </w:r>
                </w:p>
              </w:tc>
              <w:tc>
                <w:tcPr>
                  <w:tcW w:w="403" w:type="pct"/>
                  <w:vAlign w:val="center"/>
                </w:tcPr>
                <w:p w14:paraId="64E73101">
                  <w:pPr>
                    <w:pStyle w:val="2"/>
                    <w:spacing w:after="0"/>
                    <w:ind w:left="0" w:leftChars="0" w:firstLine="0" w:firstLineChars="0"/>
                    <w:jc w:val="center"/>
                    <w:rPr>
                      <w:rFonts w:eastAsiaTheme="minorEastAsia"/>
                    </w:rPr>
                  </w:pPr>
                  <w:r>
                    <w:rPr>
                      <w:rFonts w:eastAsiaTheme="minorEastAsia"/>
                    </w:rPr>
                    <w:t>/</w:t>
                  </w:r>
                </w:p>
              </w:tc>
              <w:tc>
                <w:tcPr>
                  <w:tcW w:w="608" w:type="pct"/>
                  <w:tcBorders>
                    <w:top w:val="single" w:color="auto" w:sz="4" w:space="0"/>
                    <w:left w:val="single" w:color="auto" w:sz="4" w:space="0"/>
                    <w:bottom w:val="single" w:color="auto" w:sz="4" w:space="0"/>
                    <w:right w:val="single" w:color="auto" w:sz="4" w:space="0"/>
                  </w:tcBorders>
                  <w:vAlign w:val="center"/>
                </w:tcPr>
                <w:p w14:paraId="32096A41">
                  <w:pPr>
                    <w:pStyle w:val="2"/>
                    <w:spacing w:after="0"/>
                    <w:ind w:left="0" w:leftChars="0" w:firstLine="0" w:firstLineChars="0"/>
                    <w:jc w:val="center"/>
                    <w:rPr>
                      <w:sz w:val="18"/>
                      <w:szCs w:val="18"/>
                    </w:rPr>
                  </w:pPr>
                  <w:r>
                    <w:rPr>
                      <w:sz w:val="18"/>
                      <w:szCs w:val="18"/>
                    </w:rPr>
                    <w:t>/</w:t>
                  </w:r>
                </w:p>
              </w:tc>
              <w:tc>
                <w:tcPr>
                  <w:tcW w:w="570" w:type="pct"/>
                  <w:vAlign w:val="center"/>
                </w:tcPr>
                <w:p w14:paraId="144FF059">
                  <w:pPr>
                    <w:pStyle w:val="2"/>
                    <w:spacing w:after="0"/>
                    <w:ind w:left="0" w:leftChars="0" w:firstLine="0" w:firstLineChars="0"/>
                    <w:jc w:val="center"/>
                    <w:rPr>
                      <w:rFonts w:eastAsiaTheme="minorEastAsia"/>
                    </w:rPr>
                  </w:pPr>
                  <w:r>
                    <w:rPr>
                      <w:sz w:val="18"/>
                      <w:szCs w:val="18"/>
                    </w:rPr>
                    <w:t>塑料袋内密封</w:t>
                  </w:r>
                </w:p>
              </w:tc>
              <w:tc>
                <w:tcPr>
                  <w:tcW w:w="402" w:type="pct"/>
                  <w:vMerge w:val="restart"/>
                  <w:vAlign w:val="center"/>
                </w:tcPr>
                <w:p w14:paraId="59C438E8">
                  <w:pPr>
                    <w:pStyle w:val="2"/>
                    <w:spacing w:after="0"/>
                    <w:ind w:left="0" w:leftChars="0" w:firstLine="0" w:firstLineChars="0"/>
                    <w:jc w:val="center"/>
                    <w:rPr>
                      <w:rFonts w:eastAsiaTheme="minorEastAsia"/>
                    </w:rPr>
                  </w:pPr>
                  <w:r>
                    <w:rPr>
                      <w:rFonts w:eastAsiaTheme="minorEastAsia"/>
                    </w:rPr>
                    <w:t>1</w:t>
                  </w:r>
                  <w:r>
                    <w:rPr>
                      <w:rFonts w:hint="eastAsia" w:eastAsiaTheme="minorEastAsia"/>
                    </w:rPr>
                    <w:t>年</w:t>
                  </w:r>
                </w:p>
              </w:tc>
            </w:tr>
            <w:tr w14:paraId="6D89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69FB145">
                  <w:pPr>
                    <w:pStyle w:val="2"/>
                    <w:spacing w:after="0"/>
                    <w:ind w:left="0" w:leftChars="0" w:firstLine="0" w:firstLineChars="0"/>
                    <w:jc w:val="center"/>
                    <w:rPr>
                      <w:rFonts w:eastAsiaTheme="minorEastAsia"/>
                    </w:rPr>
                  </w:pPr>
                  <w:r>
                    <w:rPr>
                      <w:rFonts w:eastAsiaTheme="minorEastAsia"/>
                    </w:rPr>
                    <w:t>2</w:t>
                  </w:r>
                </w:p>
              </w:tc>
              <w:tc>
                <w:tcPr>
                  <w:tcW w:w="957" w:type="pct"/>
                  <w:vMerge w:val="continue"/>
                  <w:vAlign w:val="center"/>
                </w:tcPr>
                <w:p w14:paraId="07605AC5">
                  <w:pPr>
                    <w:pStyle w:val="2"/>
                    <w:spacing w:after="0"/>
                    <w:ind w:left="0" w:leftChars="0" w:firstLine="0" w:firstLineChars="0"/>
                    <w:jc w:val="center"/>
                    <w:rPr>
                      <w:rFonts w:eastAsiaTheme="minorEastAsia"/>
                    </w:rPr>
                  </w:pPr>
                </w:p>
              </w:tc>
              <w:tc>
                <w:tcPr>
                  <w:tcW w:w="457" w:type="pct"/>
                  <w:vAlign w:val="center"/>
                </w:tcPr>
                <w:p w14:paraId="1686DB9C">
                  <w:pPr>
                    <w:pStyle w:val="2"/>
                    <w:spacing w:after="0"/>
                    <w:ind w:left="0" w:leftChars="0" w:firstLine="0" w:firstLineChars="0"/>
                    <w:jc w:val="center"/>
                    <w:rPr>
                      <w:rFonts w:eastAsiaTheme="minorEastAsia"/>
                    </w:rPr>
                  </w:pPr>
                  <w:r>
                    <w:rPr>
                      <w:sz w:val="18"/>
                      <w:szCs w:val="18"/>
                    </w:rPr>
                    <w:t>废显影液、废定影液</w:t>
                  </w:r>
                </w:p>
              </w:tc>
              <w:tc>
                <w:tcPr>
                  <w:tcW w:w="666" w:type="pct"/>
                  <w:vMerge w:val="continue"/>
                  <w:vAlign w:val="center"/>
                </w:tcPr>
                <w:p w14:paraId="4EA3B14F">
                  <w:pPr>
                    <w:pStyle w:val="2"/>
                    <w:spacing w:after="0"/>
                    <w:ind w:left="0" w:leftChars="0" w:firstLine="0" w:firstLineChars="0"/>
                    <w:jc w:val="center"/>
                    <w:rPr>
                      <w:rFonts w:eastAsiaTheme="minorEastAsia"/>
                    </w:rPr>
                  </w:pPr>
                </w:p>
              </w:tc>
              <w:tc>
                <w:tcPr>
                  <w:tcW w:w="597" w:type="pct"/>
                  <w:vMerge w:val="continue"/>
                  <w:vAlign w:val="center"/>
                </w:tcPr>
                <w:p w14:paraId="78D60208">
                  <w:pPr>
                    <w:pStyle w:val="2"/>
                    <w:spacing w:after="0"/>
                    <w:ind w:left="0" w:leftChars="0" w:firstLine="0" w:firstLineChars="0"/>
                    <w:jc w:val="center"/>
                    <w:rPr>
                      <w:rFonts w:eastAsiaTheme="minorEastAsia"/>
                    </w:rPr>
                  </w:pPr>
                </w:p>
              </w:tc>
              <w:tc>
                <w:tcPr>
                  <w:tcW w:w="403" w:type="pct"/>
                  <w:vAlign w:val="center"/>
                </w:tcPr>
                <w:p w14:paraId="4518E10C">
                  <w:pPr>
                    <w:pStyle w:val="2"/>
                    <w:spacing w:after="0"/>
                    <w:ind w:left="0" w:leftChars="0" w:firstLine="0" w:firstLineChars="0"/>
                    <w:jc w:val="center"/>
                    <w:rPr>
                      <w:rFonts w:eastAsiaTheme="minorEastAsia"/>
                    </w:rPr>
                  </w:pPr>
                  <w:r>
                    <w:rPr>
                      <w:rFonts w:eastAsiaTheme="minorEastAsia"/>
                    </w:rPr>
                    <w:t>0.5m</w:t>
                  </w:r>
                  <w:r>
                    <w:rPr>
                      <w:rFonts w:eastAsiaTheme="minorEastAsia"/>
                      <w:vertAlign w:val="superscript"/>
                    </w:rPr>
                    <w:t>2</w:t>
                  </w:r>
                </w:p>
              </w:tc>
              <w:tc>
                <w:tcPr>
                  <w:tcW w:w="608" w:type="pct"/>
                  <w:tcBorders>
                    <w:top w:val="single" w:color="auto" w:sz="4" w:space="0"/>
                    <w:left w:val="single" w:color="auto" w:sz="4" w:space="0"/>
                    <w:bottom w:val="single" w:color="auto" w:sz="4" w:space="0"/>
                    <w:right w:val="single" w:color="auto" w:sz="4" w:space="0"/>
                  </w:tcBorders>
                  <w:vAlign w:val="center"/>
                </w:tcPr>
                <w:p w14:paraId="202F5FA2">
                  <w:pPr>
                    <w:pStyle w:val="2"/>
                    <w:spacing w:after="0"/>
                    <w:ind w:left="0" w:leftChars="0" w:firstLine="0" w:firstLineChars="0"/>
                    <w:jc w:val="center"/>
                    <w:rPr>
                      <w:sz w:val="18"/>
                      <w:szCs w:val="18"/>
                    </w:rPr>
                  </w:pPr>
                  <w:r>
                    <w:rPr>
                      <w:sz w:val="18"/>
                      <w:szCs w:val="18"/>
                    </w:rPr>
                    <w:t>60L×2</w:t>
                  </w:r>
                </w:p>
              </w:tc>
              <w:tc>
                <w:tcPr>
                  <w:tcW w:w="570" w:type="pct"/>
                  <w:vAlign w:val="center"/>
                </w:tcPr>
                <w:p w14:paraId="667E51D0">
                  <w:pPr>
                    <w:pStyle w:val="2"/>
                    <w:spacing w:after="0"/>
                    <w:ind w:left="0" w:leftChars="0" w:firstLine="0" w:firstLineChars="0"/>
                    <w:jc w:val="center"/>
                    <w:rPr>
                      <w:rFonts w:eastAsiaTheme="minorEastAsia"/>
                    </w:rPr>
                  </w:pPr>
                  <w:r>
                    <w:rPr>
                      <w:sz w:val="18"/>
                      <w:szCs w:val="18"/>
                    </w:rPr>
                    <w:t>危险废物 桶内密封</w:t>
                  </w:r>
                </w:p>
              </w:tc>
              <w:tc>
                <w:tcPr>
                  <w:tcW w:w="402" w:type="pct"/>
                  <w:vMerge w:val="continue"/>
                  <w:vAlign w:val="center"/>
                </w:tcPr>
                <w:p w14:paraId="17158B35">
                  <w:pPr>
                    <w:pStyle w:val="2"/>
                    <w:spacing w:after="0"/>
                    <w:ind w:left="0" w:leftChars="0" w:firstLine="0" w:firstLineChars="0"/>
                    <w:jc w:val="center"/>
                    <w:rPr>
                      <w:rFonts w:eastAsiaTheme="minorEastAsia"/>
                    </w:rPr>
                  </w:pPr>
                </w:p>
              </w:tc>
            </w:tr>
          </w:tbl>
          <w:p w14:paraId="0F4B0E26">
            <w:pPr>
              <w:spacing w:before="120" w:beforeLines="50" w:line="360" w:lineRule="auto"/>
              <w:ind w:firstLine="482" w:firstLineChars="200"/>
              <w:rPr>
                <w:rFonts w:ascii="Times New Roman" w:hAnsi="Times New Roman"/>
                <w:sz w:val="24"/>
                <w:lang w:bidi="ar"/>
              </w:rPr>
            </w:pPr>
            <w:r>
              <w:rPr>
                <w:rFonts w:ascii="Times New Roman" w:hAnsi="Times New Roman"/>
                <w:b/>
                <w:sz w:val="24"/>
                <w:lang w:bidi="ar"/>
              </w:rPr>
              <w:t>六、噪声</w:t>
            </w:r>
          </w:p>
          <w:p w14:paraId="08619255">
            <w:pPr>
              <w:spacing w:line="360" w:lineRule="auto"/>
              <w:ind w:firstLine="480" w:firstLineChars="200"/>
              <w:rPr>
                <w:rFonts w:ascii="Times New Roman" w:hAnsi="Times New Roman"/>
                <w:lang w:bidi="ar"/>
              </w:rPr>
            </w:pPr>
            <w:r>
              <w:rPr>
                <w:rFonts w:ascii="Times New Roman" w:hAnsi="Times New Roman"/>
                <w:sz w:val="24"/>
                <w:lang w:bidi="ar"/>
              </w:rPr>
              <w:t>本项目X射线机不使用时存放在公司一层设备室内，不产生噪声；使用时几乎不产生噪音，监督区边界的警示灯声音随着探伤结束而停止，一般探伤现场野外（室外）环境相对开阔，对周围声环境基本无影响。</w:t>
            </w:r>
          </w:p>
          <w:p w14:paraId="223782C0">
            <w:pPr>
              <w:spacing w:line="360" w:lineRule="auto"/>
              <w:ind w:firstLine="200"/>
              <w:rPr>
                <w:rFonts w:ascii="Times New Roman" w:hAnsi="Times New Roman"/>
                <w:lang w:bidi="ar"/>
              </w:rPr>
            </w:pPr>
          </w:p>
          <w:p w14:paraId="469FB83F">
            <w:pPr>
              <w:pStyle w:val="2"/>
              <w:rPr>
                <w:lang w:bidi="ar"/>
              </w:rPr>
            </w:pPr>
          </w:p>
          <w:p w14:paraId="786C2113">
            <w:pPr>
              <w:pStyle w:val="2"/>
              <w:rPr>
                <w:lang w:bidi="ar"/>
              </w:rPr>
            </w:pPr>
          </w:p>
          <w:p w14:paraId="673DCE16">
            <w:pPr>
              <w:pStyle w:val="2"/>
              <w:rPr>
                <w:lang w:bidi="ar"/>
              </w:rPr>
            </w:pPr>
          </w:p>
          <w:p w14:paraId="49180951">
            <w:pPr>
              <w:pStyle w:val="2"/>
              <w:rPr>
                <w:lang w:bidi="ar"/>
              </w:rPr>
            </w:pPr>
          </w:p>
          <w:p w14:paraId="3A2A54C6">
            <w:pPr>
              <w:pStyle w:val="2"/>
              <w:rPr>
                <w:lang w:bidi="ar"/>
              </w:rPr>
            </w:pPr>
          </w:p>
          <w:p w14:paraId="0502FC6F">
            <w:pPr>
              <w:pStyle w:val="2"/>
              <w:rPr>
                <w:lang w:bidi="ar"/>
              </w:rPr>
            </w:pPr>
          </w:p>
          <w:p w14:paraId="5E9AF342">
            <w:pPr>
              <w:pStyle w:val="2"/>
              <w:rPr>
                <w:lang w:bidi="ar"/>
              </w:rPr>
            </w:pPr>
          </w:p>
          <w:p w14:paraId="79730902">
            <w:pPr>
              <w:pStyle w:val="2"/>
              <w:rPr>
                <w:lang w:bidi="ar"/>
              </w:rPr>
            </w:pPr>
          </w:p>
          <w:p w14:paraId="4D2D905B">
            <w:pPr>
              <w:pStyle w:val="2"/>
              <w:rPr>
                <w:lang w:bidi="ar"/>
              </w:rPr>
            </w:pPr>
          </w:p>
          <w:p w14:paraId="6807CBFF">
            <w:pPr>
              <w:pStyle w:val="2"/>
              <w:rPr>
                <w:lang w:bidi="ar"/>
              </w:rPr>
            </w:pPr>
          </w:p>
          <w:p w14:paraId="0E29E6C8">
            <w:pPr>
              <w:pStyle w:val="2"/>
              <w:rPr>
                <w:lang w:bidi="ar"/>
              </w:rPr>
            </w:pPr>
          </w:p>
          <w:p w14:paraId="788744C5">
            <w:pPr>
              <w:pStyle w:val="2"/>
              <w:rPr>
                <w:lang w:bidi="ar"/>
              </w:rPr>
            </w:pPr>
          </w:p>
          <w:p w14:paraId="786629A8">
            <w:pPr>
              <w:pStyle w:val="2"/>
              <w:rPr>
                <w:lang w:bidi="ar"/>
              </w:rPr>
            </w:pPr>
          </w:p>
          <w:p w14:paraId="0259080C">
            <w:pPr>
              <w:pStyle w:val="2"/>
              <w:rPr>
                <w:lang w:bidi="ar"/>
              </w:rPr>
            </w:pPr>
          </w:p>
          <w:p w14:paraId="2C966B22">
            <w:pPr>
              <w:pStyle w:val="2"/>
              <w:rPr>
                <w:lang w:bidi="ar"/>
              </w:rPr>
            </w:pPr>
          </w:p>
          <w:p w14:paraId="2198C8BA">
            <w:pPr>
              <w:pStyle w:val="2"/>
              <w:rPr>
                <w:lang w:bidi="ar"/>
              </w:rPr>
            </w:pPr>
          </w:p>
          <w:p w14:paraId="7D595C16">
            <w:pPr>
              <w:pStyle w:val="2"/>
              <w:rPr>
                <w:lang w:bidi="ar"/>
              </w:rPr>
            </w:pPr>
          </w:p>
          <w:p w14:paraId="682EB3FF">
            <w:pPr>
              <w:pStyle w:val="2"/>
              <w:rPr>
                <w:lang w:bidi="ar"/>
              </w:rPr>
            </w:pPr>
          </w:p>
          <w:p w14:paraId="56F79A51">
            <w:pPr>
              <w:pStyle w:val="2"/>
              <w:ind w:left="0" w:leftChars="0" w:firstLine="0" w:firstLineChars="0"/>
              <w:rPr>
                <w:sz w:val="36"/>
                <w:lang w:bidi="ar"/>
              </w:rPr>
            </w:pPr>
          </w:p>
          <w:p w14:paraId="6CF6341D">
            <w:pPr>
              <w:pStyle w:val="2"/>
              <w:ind w:left="0" w:leftChars="0" w:firstLine="0" w:firstLineChars="0"/>
              <w:rPr>
                <w:sz w:val="36"/>
                <w:lang w:bidi="ar"/>
              </w:rPr>
            </w:pPr>
          </w:p>
        </w:tc>
      </w:tr>
    </w:tbl>
    <w:p w14:paraId="1CF4A18E">
      <w:pPr>
        <w:pStyle w:val="14"/>
        <w:outlineLvl w:val="0"/>
        <w:rPr>
          <w:rFonts w:ascii="Times New Roman" w:hAnsi="Times New Roman"/>
          <w:b/>
          <w:bCs/>
        </w:rPr>
      </w:pPr>
      <w:r>
        <w:rPr>
          <w:rFonts w:ascii="Times New Roman" w:hAnsi="Times New Roman"/>
          <w:b/>
          <w:bCs/>
        </w:rPr>
        <w:br w:type="page"/>
      </w:r>
      <w:bookmarkStart w:id="34" w:name="_Toc188277747"/>
      <w:r>
        <w:rPr>
          <w:rFonts w:ascii="Times New Roman" w:hAnsi="Times New Roman"/>
          <w:b/>
          <w:bCs/>
          <w:szCs w:val="28"/>
        </w:rPr>
        <w:t>表10 辐射安全与防护</w:t>
      </w:r>
      <w:bookmarkEnd w:id="34"/>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6"/>
      </w:tblGrid>
      <w:tr w14:paraId="6D47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6" w:type="dxa"/>
          </w:tcPr>
          <w:p w14:paraId="6FE677AF">
            <w:pPr>
              <w:adjustRightInd w:val="0"/>
              <w:snapToGrid w:val="0"/>
              <w:spacing w:line="360" w:lineRule="auto"/>
              <w:rPr>
                <w:rFonts w:ascii="Times New Roman" w:hAnsi="Times New Roman"/>
                <w:b/>
                <w:bCs/>
                <w:sz w:val="28"/>
                <w:szCs w:val="28"/>
              </w:rPr>
            </w:pPr>
            <w:r>
              <w:rPr>
                <w:rFonts w:ascii="Times New Roman" w:hAnsi="Times New Roman"/>
                <w:b/>
                <w:bCs/>
                <w:sz w:val="28"/>
                <w:szCs w:val="28"/>
              </w:rPr>
              <w:t>项目安全设施</w:t>
            </w:r>
          </w:p>
          <w:p w14:paraId="778A7021">
            <w:pPr>
              <w:spacing w:line="360" w:lineRule="auto"/>
              <w:rPr>
                <w:rFonts w:ascii="Times New Roman" w:hAnsi="Times New Roman"/>
                <w:b/>
                <w:kern w:val="0"/>
                <w:sz w:val="24"/>
              </w:rPr>
            </w:pPr>
            <w:r>
              <w:rPr>
                <w:rFonts w:ascii="Times New Roman" w:hAnsi="Times New Roman"/>
                <w:b/>
                <w:sz w:val="24"/>
              </w:rPr>
              <w:t>一、X射线探伤</w:t>
            </w:r>
            <w:r>
              <w:rPr>
                <w:rFonts w:ascii="Times New Roman" w:hAnsi="Times New Roman"/>
                <w:b/>
                <w:kern w:val="0"/>
                <w:sz w:val="24"/>
              </w:rPr>
              <w:t>工作场所布局、分区</w:t>
            </w:r>
          </w:p>
          <w:p w14:paraId="14FC9010">
            <w:pPr>
              <w:spacing w:line="360" w:lineRule="auto"/>
              <w:ind w:firstLine="480" w:firstLineChars="200"/>
              <w:rPr>
                <w:rFonts w:ascii="Times New Roman" w:hAnsi="Times New Roman"/>
                <w:sz w:val="24"/>
              </w:rPr>
            </w:pPr>
            <w:r>
              <w:rPr>
                <w:rFonts w:ascii="Times New Roman" w:hAnsi="Times New Roman"/>
                <w:sz w:val="24"/>
              </w:rPr>
              <w:t>为便于管理，切实做好辐射安全防范工作，按照《电离辐射防护与辐射源安全基本标准》（GB 18871-2002）要求在放射工作场所内划出控制区和监督区。其定义为“控制区：在辐射工作场所划分的一种区域，在这种区域内要求或可能要求采取专门的防护手段和安全措施；监督区：未被确定为控制区、通常不需要采取专门防护手段和安全措施但要不断检查其职业照射条件的任何区域”。</w:t>
            </w:r>
          </w:p>
          <w:p w14:paraId="5A078551">
            <w:pPr>
              <w:spacing w:line="360" w:lineRule="auto"/>
              <w:ind w:firstLine="480" w:firstLineChars="200"/>
              <w:rPr>
                <w:rFonts w:ascii="Times New Roman" w:hAnsi="Times New Roman"/>
                <w:sz w:val="24"/>
              </w:rPr>
            </w:pPr>
            <w:r>
              <w:rPr>
                <w:rFonts w:ascii="Times New Roman" w:hAnsi="Times New Roman"/>
                <w:sz w:val="24"/>
              </w:rPr>
              <w:t>根据</w:t>
            </w:r>
            <w:r>
              <w:rPr>
                <w:rFonts w:ascii="Times New Roman" w:hAnsi="Times New Roman"/>
                <w:kern w:val="0"/>
                <w:sz w:val="24"/>
              </w:rPr>
              <w:t>《工业探伤放射防护标准》（GBZ 117-2022）和</w:t>
            </w:r>
            <w:r>
              <w:rPr>
                <w:rFonts w:ascii="Times New Roman" w:hAnsi="Times New Roman"/>
                <w:sz w:val="24"/>
              </w:rPr>
              <w:t>《河北省辐射污染防治条例》（2013年9月27日河北省第十二届人民代表大会常务委员会第四次会议通过 根据2020年7月30日河北省第十三届人民代表大会常务委员会第十八次会议《河北省人民代表大会常务委员会关于修改〈河北省辐射污染防治条例〉等七部法规的决定》修正）：探伤作业前应将无关人员清离出场，划分控制区和监督区，实施“两区”管理。</w:t>
            </w:r>
          </w:p>
          <w:p w14:paraId="382F62D8">
            <w:pPr>
              <w:pStyle w:val="2"/>
              <w:spacing w:after="0" w:line="360" w:lineRule="auto"/>
              <w:ind w:left="0" w:leftChars="0" w:firstLine="480"/>
              <w:rPr>
                <w:sz w:val="24"/>
              </w:rPr>
            </w:pPr>
            <w:r>
              <w:rPr>
                <w:sz w:val="24"/>
              </w:rPr>
              <w:t>进行探伤作业前，将工作场所划分为控制区和监督区。控制区边界外空气比释动能率低于15µSv/h，监督区位于控制区外，其外边界空气比释动能率不大于2.5µSv/h。</w:t>
            </w:r>
          </w:p>
          <w:p w14:paraId="0CEFD8AE">
            <w:pPr>
              <w:spacing w:line="360" w:lineRule="auto"/>
              <w:ind w:firstLine="480" w:firstLineChars="200"/>
              <w:rPr>
                <w:rFonts w:ascii="Times New Roman" w:hAnsi="Times New Roman"/>
                <w:sz w:val="24"/>
              </w:rPr>
            </w:pPr>
            <w:r>
              <w:rPr>
                <w:rFonts w:ascii="Times New Roman" w:hAnsi="Times New Roman"/>
                <w:sz w:val="24"/>
              </w:rPr>
              <w:t>本项目控制区和监督区划分见表10-1和图10-1~图10-3。实际探伤过程中，因探伤区域围墙、设备等的防护作用，控制区和监督区的范围可相应缩小。</w:t>
            </w:r>
          </w:p>
          <w:p w14:paraId="68584760">
            <w:pPr>
              <w:ind w:firstLine="422" w:firstLineChars="200"/>
              <w:jc w:val="center"/>
              <w:rPr>
                <w:rFonts w:ascii="Times New Roman" w:hAnsi="Times New Roman"/>
                <w:b/>
                <w:bCs/>
                <w:szCs w:val="21"/>
              </w:rPr>
            </w:pPr>
            <w:r>
              <w:rPr>
                <w:rFonts w:ascii="Times New Roman" w:hAnsi="Times New Roman"/>
                <w:b/>
                <w:bCs/>
                <w:szCs w:val="21"/>
              </w:rPr>
              <w:t>表</w:t>
            </w:r>
            <w:r>
              <w:rPr>
                <w:rFonts w:ascii="Times New Roman" w:hAnsi="Times New Roman"/>
                <w:szCs w:val="21"/>
              </w:rPr>
              <w:t xml:space="preserve">10-1 </w:t>
            </w:r>
            <w:r>
              <w:rPr>
                <w:rFonts w:ascii="Times New Roman" w:hAnsi="Times New Roman"/>
                <w:b/>
                <w:bCs/>
                <w:szCs w:val="21"/>
              </w:rPr>
              <w:t>野外（室外）探伤作业</w:t>
            </w:r>
            <w:r>
              <w:rPr>
                <w:rFonts w:ascii="Times New Roman" w:hAnsi="Times New Roman"/>
                <w:szCs w:val="21"/>
              </w:rPr>
              <w:t>“</w:t>
            </w:r>
            <w:r>
              <w:rPr>
                <w:rFonts w:ascii="Times New Roman" w:hAnsi="Times New Roman"/>
                <w:b/>
                <w:bCs/>
                <w:szCs w:val="21"/>
              </w:rPr>
              <w:t>两区</w:t>
            </w:r>
            <w:r>
              <w:rPr>
                <w:rFonts w:ascii="Times New Roman" w:hAnsi="Times New Roman"/>
                <w:szCs w:val="21"/>
              </w:rPr>
              <w:t>”</w:t>
            </w:r>
            <w:r>
              <w:rPr>
                <w:rFonts w:ascii="Times New Roman" w:hAnsi="Times New Roman"/>
                <w:b/>
                <w:bCs/>
                <w:szCs w:val="21"/>
              </w:rPr>
              <w:t>划分与管理</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559"/>
              <w:gridCol w:w="2977"/>
              <w:gridCol w:w="3154"/>
            </w:tblGrid>
            <w:tr w14:paraId="0079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59" w:type="dxa"/>
                  <w:gridSpan w:val="2"/>
                  <w:vAlign w:val="center"/>
                </w:tcPr>
                <w:p w14:paraId="1DB7289C">
                  <w:pPr>
                    <w:jc w:val="center"/>
                    <w:rPr>
                      <w:rFonts w:ascii="Times New Roman" w:hAnsi="Times New Roman"/>
                      <w:szCs w:val="21"/>
                    </w:rPr>
                  </w:pPr>
                  <w:r>
                    <w:rPr>
                      <w:rFonts w:ascii="Times New Roman" w:hAnsi="Times New Roman"/>
                      <w:b/>
                      <w:bCs/>
                      <w:szCs w:val="21"/>
                    </w:rPr>
                    <w:t>项目</w:t>
                  </w:r>
                </w:p>
              </w:tc>
              <w:tc>
                <w:tcPr>
                  <w:tcW w:w="2977" w:type="dxa"/>
                  <w:vAlign w:val="center"/>
                </w:tcPr>
                <w:p w14:paraId="169DB062">
                  <w:pPr>
                    <w:jc w:val="center"/>
                    <w:rPr>
                      <w:rFonts w:ascii="Times New Roman" w:hAnsi="Times New Roman"/>
                      <w:szCs w:val="21"/>
                    </w:rPr>
                  </w:pPr>
                  <w:r>
                    <w:rPr>
                      <w:rFonts w:ascii="Times New Roman" w:hAnsi="Times New Roman"/>
                      <w:b/>
                      <w:bCs/>
                      <w:szCs w:val="21"/>
                    </w:rPr>
                    <w:t>控制区</w:t>
                  </w:r>
                </w:p>
              </w:tc>
              <w:tc>
                <w:tcPr>
                  <w:tcW w:w="3154" w:type="dxa"/>
                  <w:vAlign w:val="center"/>
                </w:tcPr>
                <w:p w14:paraId="3A844C8F">
                  <w:pPr>
                    <w:jc w:val="center"/>
                    <w:rPr>
                      <w:rFonts w:ascii="Times New Roman" w:hAnsi="Times New Roman"/>
                      <w:szCs w:val="21"/>
                    </w:rPr>
                  </w:pPr>
                  <w:r>
                    <w:rPr>
                      <w:rFonts w:ascii="Times New Roman" w:hAnsi="Times New Roman"/>
                      <w:b/>
                      <w:bCs/>
                      <w:szCs w:val="21"/>
                    </w:rPr>
                    <w:t>监督区</w:t>
                  </w:r>
                </w:p>
              </w:tc>
            </w:tr>
            <w:tr w14:paraId="13AB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vAlign w:val="center"/>
                </w:tcPr>
                <w:p w14:paraId="5F0D8F16">
                  <w:pPr>
                    <w:ind w:left="-105" w:leftChars="-50" w:right="-105" w:rightChars="-50"/>
                    <w:jc w:val="center"/>
                    <w:rPr>
                      <w:rFonts w:ascii="Times New Roman" w:hAnsi="Times New Roman"/>
                      <w:szCs w:val="21"/>
                    </w:rPr>
                  </w:pPr>
                  <w:r>
                    <w:rPr>
                      <w:rFonts w:ascii="Times New Roman" w:hAnsi="Times New Roman"/>
                      <w:szCs w:val="21"/>
                    </w:rPr>
                    <w:t>XT1605D型X射线探伤机</w:t>
                  </w:r>
                </w:p>
              </w:tc>
              <w:tc>
                <w:tcPr>
                  <w:tcW w:w="1559" w:type="dxa"/>
                  <w:vAlign w:val="center"/>
                </w:tcPr>
                <w:p w14:paraId="2637395A">
                  <w:pPr>
                    <w:jc w:val="center"/>
                    <w:rPr>
                      <w:rFonts w:ascii="Times New Roman" w:hAnsi="Times New Roman"/>
                      <w:szCs w:val="21"/>
                    </w:rPr>
                  </w:pPr>
                  <w:r>
                    <w:rPr>
                      <w:rFonts w:ascii="Times New Roman" w:hAnsi="Times New Roman"/>
                      <w:szCs w:val="21"/>
                    </w:rPr>
                    <w:t>主射线束平行于地面</w:t>
                  </w:r>
                </w:p>
              </w:tc>
              <w:tc>
                <w:tcPr>
                  <w:tcW w:w="2977" w:type="dxa"/>
                  <w:vAlign w:val="center"/>
                </w:tcPr>
                <w:p w14:paraId="2FA00863">
                  <w:pPr>
                    <w:rPr>
                      <w:rFonts w:ascii="Times New Roman" w:hAnsi="Times New Roman" w:eastAsiaTheme="minorEastAsia"/>
                      <w:szCs w:val="21"/>
                    </w:rPr>
                  </w:pPr>
                  <w:r>
                    <w:rPr>
                      <w:rFonts w:ascii="Times New Roman" w:hAnsi="Times New Roman" w:eastAsiaTheme="minorEastAsia"/>
                      <w:szCs w:val="21"/>
                    </w:rPr>
                    <w:t>将主射方向0~6m划为控制区；将非主射方向0~2m划为控制区</w:t>
                  </w:r>
                </w:p>
              </w:tc>
              <w:tc>
                <w:tcPr>
                  <w:tcW w:w="3154" w:type="dxa"/>
                  <w:vAlign w:val="center"/>
                </w:tcPr>
                <w:p w14:paraId="296E9DE0">
                  <w:pPr>
                    <w:rPr>
                      <w:rFonts w:ascii="Times New Roman" w:hAnsi="Times New Roman"/>
                      <w:szCs w:val="21"/>
                    </w:rPr>
                  </w:pPr>
                  <w:r>
                    <w:rPr>
                      <w:rFonts w:ascii="Times New Roman" w:hAnsi="Times New Roman"/>
                      <w:szCs w:val="21"/>
                    </w:rPr>
                    <w:t>将主射方向6~14m划为监督区；将非主射方向2~5m划为监督区</w:t>
                  </w:r>
                </w:p>
              </w:tc>
            </w:tr>
            <w:tr w14:paraId="0A8E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30B654C3">
                  <w:pPr>
                    <w:spacing w:line="360" w:lineRule="auto"/>
                    <w:jc w:val="center"/>
                    <w:rPr>
                      <w:rFonts w:ascii="Times New Roman" w:hAnsi="Times New Roman"/>
                      <w:szCs w:val="21"/>
                    </w:rPr>
                  </w:pPr>
                </w:p>
              </w:tc>
              <w:tc>
                <w:tcPr>
                  <w:tcW w:w="1559" w:type="dxa"/>
                  <w:vAlign w:val="center"/>
                </w:tcPr>
                <w:p w14:paraId="5DDE830C">
                  <w:pPr>
                    <w:jc w:val="center"/>
                    <w:rPr>
                      <w:rFonts w:ascii="Times New Roman" w:hAnsi="Times New Roman"/>
                      <w:szCs w:val="21"/>
                    </w:rPr>
                  </w:pPr>
                  <w:r>
                    <w:rPr>
                      <w:rFonts w:ascii="Times New Roman" w:hAnsi="Times New Roman"/>
                      <w:szCs w:val="21"/>
                    </w:rPr>
                    <w:t>主射线束垂直于地面</w:t>
                  </w:r>
                </w:p>
              </w:tc>
              <w:tc>
                <w:tcPr>
                  <w:tcW w:w="2977" w:type="dxa"/>
                  <w:vAlign w:val="center"/>
                </w:tcPr>
                <w:p w14:paraId="3C5644C4">
                  <w:pPr>
                    <w:rPr>
                      <w:rFonts w:ascii="Times New Roman" w:hAnsi="Times New Roman"/>
                      <w:szCs w:val="21"/>
                    </w:rPr>
                  </w:pPr>
                  <w:r>
                    <w:rPr>
                      <w:rFonts w:ascii="Times New Roman" w:hAnsi="Times New Roman"/>
                      <w:szCs w:val="21"/>
                    </w:rPr>
                    <w:t>将非主射方向0~2m划为控制区</w:t>
                  </w:r>
                </w:p>
              </w:tc>
              <w:tc>
                <w:tcPr>
                  <w:tcW w:w="3154" w:type="dxa"/>
                  <w:vAlign w:val="center"/>
                </w:tcPr>
                <w:p w14:paraId="5498F223">
                  <w:pPr>
                    <w:rPr>
                      <w:rFonts w:ascii="Times New Roman" w:hAnsi="Times New Roman"/>
                      <w:szCs w:val="21"/>
                    </w:rPr>
                  </w:pPr>
                  <w:r>
                    <w:rPr>
                      <w:rFonts w:ascii="Times New Roman" w:hAnsi="Times New Roman"/>
                      <w:szCs w:val="21"/>
                    </w:rPr>
                    <w:t>将非主射方向2~5m划为监督区</w:t>
                  </w:r>
                </w:p>
              </w:tc>
            </w:tr>
            <w:tr w14:paraId="4B95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05D0EA14">
                  <w:pPr>
                    <w:spacing w:line="360" w:lineRule="auto"/>
                    <w:jc w:val="center"/>
                    <w:rPr>
                      <w:rFonts w:ascii="Times New Roman" w:hAnsi="Times New Roman"/>
                      <w:szCs w:val="21"/>
                    </w:rPr>
                  </w:pPr>
                </w:p>
              </w:tc>
              <w:tc>
                <w:tcPr>
                  <w:tcW w:w="1559" w:type="dxa"/>
                  <w:vAlign w:val="center"/>
                </w:tcPr>
                <w:p w14:paraId="3AB0C29B">
                  <w:pPr>
                    <w:jc w:val="center"/>
                    <w:rPr>
                      <w:rFonts w:ascii="Times New Roman" w:hAnsi="Times New Roman"/>
                      <w:szCs w:val="21"/>
                    </w:rPr>
                  </w:pPr>
                  <w:r>
                    <w:rPr>
                      <w:rFonts w:ascii="Times New Roman" w:hAnsi="Times New Roman"/>
                      <w:szCs w:val="21"/>
                    </w:rPr>
                    <w:t>主射线朝向地面（架空桥梁）</w:t>
                  </w:r>
                </w:p>
              </w:tc>
              <w:tc>
                <w:tcPr>
                  <w:tcW w:w="2977" w:type="dxa"/>
                  <w:vAlign w:val="center"/>
                </w:tcPr>
                <w:p w14:paraId="2A2676C6">
                  <w:pPr>
                    <w:rPr>
                      <w:rFonts w:ascii="Times New Roman" w:hAnsi="Times New Roman"/>
                      <w:szCs w:val="21"/>
                    </w:rPr>
                  </w:pPr>
                  <w:r>
                    <w:rPr>
                      <w:rFonts w:ascii="Times New Roman" w:hAnsi="Times New Roman"/>
                      <w:szCs w:val="21"/>
                    </w:rPr>
                    <w:t>辐射源到地面的投影点0~114m划为控制区（H为332m时）</w:t>
                  </w:r>
                </w:p>
              </w:tc>
              <w:tc>
                <w:tcPr>
                  <w:tcW w:w="3154" w:type="dxa"/>
                  <w:vAlign w:val="center"/>
                </w:tcPr>
                <w:p w14:paraId="20A741D4">
                  <w:pPr>
                    <w:rPr>
                      <w:rFonts w:ascii="Times New Roman" w:hAnsi="Times New Roman"/>
                      <w:szCs w:val="21"/>
                    </w:rPr>
                  </w:pPr>
                  <w:r>
                    <w:rPr>
                      <w:rFonts w:ascii="Times New Roman" w:hAnsi="Times New Roman"/>
                      <w:szCs w:val="21"/>
                    </w:rPr>
                    <w:t>辐射源到地面的投影点114~280m划为监督区（H为813m时）</w:t>
                  </w:r>
                </w:p>
              </w:tc>
            </w:tr>
            <w:tr w14:paraId="5621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00" w:type="dxa"/>
                  <w:vMerge w:val="restart"/>
                  <w:vAlign w:val="center"/>
                </w:tcPr>
                <w:p w14:paraId="48EFC1BD">
                  <w:pPr>
                    <w:spacing w:line="360" w:lineRule="auto"/>
                    <w:jc w:val="center"/>
                    <w:rPr>
                      <w:rFonts w:ascii="Times New Roman" w:hAnsi="Times New Roman"/>
                      <w:szCs w:val="21"/>
                    </w:rPr>
                  </w:pPr>
                  <w:r>
                    <w:rPr>
                      <w:rFonts w:ascii="Times New Roman" w:hAnsi="Times New Roman"/>
                      <w:bCs/>
                      <w:szCs w:val="21"/>
                    </w:rPr>
                    <w:t>XXH2005C</w:t>
                  </w:r>
                  <w:r>
                    <w:rPr>
                      <w:rFonts w:ascii="Times New Roman" w:hAnsi="Times New Roman"/>
                      <w:szCs w:val="21"/>
                    </w:rPr>
                    <w:t>型X射线探伤机</w:t>
                  </w:r>
                </w:p>
              </w:tc>
              <w:tc>
                <w:tcPr>
                  <w:tcW w:w="1559" w:type="dxa"/>
                  <w:vMerge w:val="restart"/>
                  <w:vAlign w:val="center"/>
                </w:tcPr>
                <w:p w14:paraId="30E83DD0">
                  <w:pPr>
                    <w:jc w:val="center"/>
                    <w:rPr>
                      <w:rFonts w:ascii="Times New Roman" w:hAnsi="Times New Roman"/>
                      <w:szCs w:val="21"/>
                    </w:rPr>
                  </w:pPr>
                  <w:r>
                    <w:rPr>
                      <w:rFonts w:ascii="Times New Roman" w:hAnsi="Times New Roman"/>
                      <w:szCs w:val="21"/>
                    </w:rPr>
                    <w:t>周向</w:t>
                  </w:r>
                </w:p>
              </w:tc>
              <w:tc>
                <w:tcPr>
                  <w:tcW w:w="2977" w:type="dxa"/>
                  <w:vAlign w:val="center"/>
                </w:tcPr>
                <w:p w14:paraId="58981958">
                  <w:pPr>
                    <w:rPr>
                      <w:rFonts w:ascii="Times New Roman" w:hAnsi="Times New Roman"/>
                      <w:szCs w:val="21"/>
                    </w:rPr>
                  </w:pPr>
                  <w:r>
                    <w:rPr>
                      <w:rFonts w:ascii="Times New Roman" w:hAnsi="Times New Roman"/>
                      <w:szCs w:val="21"/>
                    </w:rPr>
                    <w:t>将四周方向0~6m划为控制区</w:t>
                  </w:r>
                </w:p>
              </w:tc>
              <w:tc>
                <w:tcPr>
                  <w:tcW w:w="3154" w:type="dxa"/>
                  <w:vAlign w:val="center"/>
                </w:tcPr>
                <w:p w14:paraId="5E113B6E">
                  <w:pPr>
                    <w:rPr>
                      <w:rFonts w:ascii="Times New Roman" w:hAnsi="Times New Roman"/>
                      <w:szCs w:val="21"/>
                    </w:rPr>
                  </w:pPr>
                  <w:r>
                    <w:rPr>
                      <w:rFonts w:ascii="Times New Roman" w:hAnsi="Times New Roman"/>
                      <w:szCs w:val="21"/>
                    </w:rPr>
                    <w:t xml:space="preserve">将四周方向6~14m划为监督区； </w:t>
                  </w:r>
                </w:p>
              </w:tc>
            </w:tr>
            <w:tr w14:paraId="43DD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69BD9E02">
                  <w:pPr>
                    <w:spacing w:line="360" w:lineRule="auto"/>
                    <w:jc w:val="center"/>
                    <w:rPr>
                      <w:rFonts w:ascii="Times New Roman" w:hAnsi="Times New Roman"/>
                      <w:szCs w:val="21"/>
                    </w:rPr>
                  </w:pPr>
                </w:p>
              </w:tc>
              <w:tc>
                <w:tcPr>
                  <w:tcW w:w="1559" w:type="dxa"/>
                  <w:vMerge w:val="continue"/>
                  <w:vAlign w:val="center"/>
                </w:tcPr>
                <w:p w14:paraId="2A63B361">
                  <w:pPr>
                    <w:jc w:val="center"/>
                    <w:rPr>
                      <w:rFonts w:ascii="Times New Roman" w:hAnsi="Times New Roman"/>
                      <w:szCs w:val="21"/>
                    </w:rPr>
                  </w:pPr>
                </w:p>
              </w:tc>
              <w:tc>
                <w:tcPr>
                  <w:tcW w:w="2977" w:type="dxa"/>
                  <w:vAlign w:val="center"/>
                </w:tcPr>
                <w:p w14:paraId="4DE5655B">
                  <w:pPr>
                    <w:rPr>
                      <w:rFonts w:ascii="Times New Roman" w:hAnsi="Times New Roman"/>
                      <w:szCs w:val="21"/>
                    </w:rPr>
                  </w:pPr>
                  <w:r>
                    <w:rPr>
                      <w:rFonts w:ascii="Times New Roman" w:hAnsi="Times New Roman"/>
                      <w:szCs w:val="21"/>
                    </w:rPr>
                    <w:t>辐射源到地面的投影点0~114m划为控制区（H为332m时）</w:t>
                  </w:r>
                </w:p>
              </w:tc>
              <w:tc>
                <w:tcPr>
                  <w:tcW w:w="3154" w:type="dxa"/>
                  <w:vAlign w:val="center"/>
                </w:tcPr>
                <w:p w14:paraId="746E3B15">
                  <w:pPr>
                    <w:rPr>
                      <w:rFonts w:ascii="Times New Roman" w:hAnsi="Times New Roman"/>
                      <w:szCs w:val="21"/>
                    </w:rPr>
                  </w:pPr>
                  <w:r>
                    <w:rPr>
                      <w:rFonts w:ascii="Times New Roman" w:hAnsi="Times New Roman"/>
                      <w:szCs w:val="21"/>
                    </w:rPr>
                    <w:t>辐射源到地面的投影点114~280m划为监督区（H为839m时）</w:t>
                  </w:r>
                </w:p>
              </w:tc>
            </w:tr>
            <w:tr w14:paraId="62DC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vAlign w:val="center"/>
                </w:tcPr>
                <w:p w14:paraId="344BF315">
                  <w:pPr>
                    <w:ind w:left="-105" w:leftChars="-50" w:right="-105" w:rightChars="-50"/>
                    <w:jc w:val="center"/>
                    <w:rPr>
                      <w:rFonts w:ascii="Times New Roman" w:hAnsi="Times New Roman"/>
                      <w:szCs w:val="21"/>
                    </w:rPr>
                  </w:pPr>
                  <w:r>
                    <w:rPr>
                      <w:rFonts w:ascii="Times New Roman" w:hAnsi="Times New Roman"/>
                      <w:szCs w:val="21"/>
                    </w:rPr>
                    <w:t>XT2505D型X射线探伤机</w:t>
                  </w:r>
                </w:p>
              </w:tc>
              <w:tc>
                <w:tcPr>
                  <w:tcW w:w="1559" w:type="dxa"/>
                  <w:vAlign w:val="center"/>
                </w:tcPr>
                <w:p w14:paraId="60B92A98">
                  <w:pPr>
                    <w:jc w:val="center"/>
                    <w:rPr>
                      <w:rFonts w:ascii="Times New Roman" w:hAnsi="Times New Roman"/>
                      <w:szCs w:val="21"/>
                    </w:rPr>
                  </w:pPr>
                  <w:r>
                    <w:rPr>
                      <w:rFonts w:ascii="Times New Roman" w:hAnsi="Times New Roman"/>
                      <w:szCs w:val="21"/>
                    </w:rPr>
                    <w:t>主射线束平行于地面</w:t>
                  </w:r>
                </w:p>
              </w:tc>
              <w:tc>
                <w:tcPr>
                  <w:tcW w:w="2977" w:type="dxa"/>
                  <w:vAlign w:val="center"/>
                </w:tcPr>
                <w:p w14:paraId="3AA3EB60">
                  <w:pPr>
                    <w:rPr>
                      <w:rFonts w:ascii="Times New Roman" w:hAnsi="Times New Roman"/>
                      <w:szCs w:val="21"/>
                    </w:rPr>
                  </w:pPr>
                  <w:r>
                    <w:rPr>
                      <w:rFonts w:ascii="Times New Roman" w:hAnsi="Times New Roman"/>
                      <w:szCs w:val="21"/>
                    </w:rPr>
                    <w:t>将主射方向0~8m划为控制区；将非主射方向0~13m划为控制区</w:t>
                  </w:r>
                </w:p>
              </w:tc>
              <w:tc>
                <w:tcPr>
                  <w:tcW w:w="3154" w:type="dxa"/>
                  <w:vAlign w:val="center"/>
                </w:tcPr>
                <w:p w14:paraId="3D8999C4">
                  <w:pPr>
                    <w:rPr>
                      <w:rFonts w:ascii="Times New Roman" w:hAnsi="Times New Roman"/>
                      <w:szCs w:val="21"/>
                    </w:rPr>
                  </w:pPr>
                  <w:r>
                    <w:rPr>
                      <w:rFonts w:ascii="Times New Roman" w:hAnsi="Times New Roman"/>
                      <w:szCs w:val="21"/>
                    </w:rPr>
                    <w:t>将主射方向8~18m划为监督区；将非主射方向13~32m划为监督区</w:t>
                  </w:r>
                </w:p>
              </w:tc>
            </w:tr>
            <w:tr w14:paraId="36BF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4C382966">
                  <w:pPr>
                    <w:spacing w:line="360" w:lineRule="auto"/>
                    <w:jc w:val="center"/>
                    <w:rPr>
                      <w:rFonts w:ascii="Times New Roman" w:hAnsi="Times New Roman"/>
                      <w:szCs w:val="21"/>
                    </w:rPr>
                  </w:pPr>
                </w:p>
              </w:tc>
              <w:tc>
                <w:tcPr>
                  <w:tcW w:w="1559" w:type="dxa"/>
                  <w:vAlign w:val="center"/>
                </w:tcPr>
                <w:p w14:paraId="219918E8">
                  <w:pPr>
                    <w:jc w:val="center"/>
                    <w:rPr>
                      <w:rFonts w:ascii="Times New Roman" w:hAnsi="Times New Roman"/>
                      <w:szCs w:val="21"/>
                    </w:rPr>
                  </w:pPr>
                  <w:r>
                    <w:rPr>
                      <w:rFonts w:ascii="Times New Roman" w:hAnsi="Times New Roman"/>
                      <w:szCs w:val="21"/>
                    </w:rPr>
                    <w:t>主射线束垂直于地面</w:t>
                  </w:r>
                </w:p>
              </w:tc>
              <w:tc>
                <w:tcPr>
                  <w:tcW w:w="2977" w:type="dxa"/>
                  <w:vAlign w:val="center"/>
                </w:tcPr>
                <w:p w14:paraId="095D3083">
                  <w:pPr>
                    <w:rPr>
                      <w:rFonts w:ascii="Times New Roman" w:hAnsi="Times New Roman"/>
                      <w:szCs w:val="21"/>
                    </w:rPr>
                  </w:pPr>
                  <w:r>
                    <w:rPr>
                      <w:rFonts w:ascii="Times New Roman" w:hAnsi="Times New Roman"/>
                      <w:szCs w:val="21"/>
                    </w:rPr>
                    <w:t>将非主射方向0~13m划为控制区</w:t>
                  </w:r>
                </w:p>
              </w:tc>
              <w:tc>
                <w:tcPr>
                  <w:tcW w:w="3154" w:type="dxa"/>
                  <w:vAlign w:val="center"/>
                </w:tcPr>
                <w:p w14:paraId="571AB5DB">
                  <w:pPr>
                    <w:rPr>
                      <w:rFonts w:ascii="Times New Roman" w:hAnsi="Times New Roman"/>
                      <w:szCs w:val="21"/>
                    </w:rPr>
                  </w:pPr>
                  <w:r>
                    <w:rPr>
                      <w:rFonts w:ascii="Times New Roman" w:hAnsi="Times New Roman"/>
                      <w:szCs w:val="21"/>
                    </w:rPr>
                    <w:t>将非主射方向13~32m划为监督区</w:t>
                  </w:r>
                </w:p>
              </w:tc>
            </w:tr>
            <w:tr w14:paraId="41EE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682FDC6A">
                  <w:pPr>
                    <w:spacing w:line="360" w:lineRule="auto"/>
                    <w:jc w:val="center"/>
                    <w:rPr>
                      <w:rFonts w:ascii="Times New Roman" w:hAnsi="Times New Roman"/>
                      <w:szCs w:val="21"/>
                    </w:rPr>
                  </w:pPr>
                </w:p>
              </w:tc>
              <w:tc>
                <w:tcPr>
                  <w:tcW w:w="1559" w:type="dxa"/>
                  <w:vAlign w:val="center"/>
                </w:tcPr>
                <w:p w14:paraId="0F27C3C6">
                  <w:pPr>
                    <w:jc w:val="center"/>
                    <w:rPr>
                      <w:rFonts w:ascii="Times New Roman" w:hAnsi="Times New Roman"/>
                      <w:szCs w:val="21"/>
                    </w:rPr>
                  </w:pPr>
                  <w:r>
                    <w:rPr>
                      <w:rFonts w:ascii="Times New Roman" w:hAnsi="Times New Roman"/>
                      <w:szCs w:val="21"/>
                    </w:rPr>
                    <w:t>主射线朝向地面（架空桥梁）</w:t>
                  </w:r>
                </w:p>
              </w:tc>
              <w:tc>
                <w:tcPr>
                  <w:tcW w:w="2977" w:type="dxa"/>
                  <w:vAlign w:val="center"/>
                </w:tcPr>
                <w:p w14:paraId="038E40AD">
                  <w:pPr>
                    <w:rPr>
                      <w:rFonts w:ascii="Times New Roman" w:hAnsi="Times New Roman"/>
                      <w:szCs w:val="21"/>
                    </w:rPr>
                  </w:pPr>
                  <w:r>
                    <w:rPr>
                      <w:rFonts w:ascii="Times New Roman" w:hAnsi="Times New Roman"/>
                      <w:szCs w:val="21"/>
                    </w:rPr>
                    <w:t>辐射源到地面的投影点0~134m划为控制区（H为337m时）</w:t>
                  </w:r>
                </w:p>
              </w:tc>
              <w:tc>
                <w:tcPr>
                  <w:tcW w:w="3154" w:type="dxa"/>
                  <w:vAlign w:val="center"/>
                </w:tcPr>
                <w:p w14:paraId="0353D3BD">
                  <w:pPr>
                    <w:rPr>
                      <w:rFonts w:ascii="Times New Roman" w:hAnsi="Times New Roman"/>
                      <w:szCs w:val="21"/>
                    </w:rPr>
                  </w:pPr>
                  <w:r>
                    <w:rPr>
                      <w:rFonts w:ascii="Times New Roman" w:hAnsi="Times New Roman"/>
                      <w:szCs w:val="21"/>
                    </w:rPr>
                    <w:t>辐射源到地面的投影点134~325m划为监督区（H为839m时）</w:t>
                  </w:r>
                </w:p>
              </w:tc>
            </w:tr>
            <w:tr w14:paraId="7192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300" w:type="dxa"/>
                  <w:vMerge w:val="restart"/>
                  <w:vAlign w:val="center"/>
                </w:tcPr>
                <w:p w14:paraId="7E047769">
                  <w:pPr>
                    <w:ind w:left="-105" w:leftChars="-50" w:right="-105" w:rightChars="-50"/>
                    <w:jc w:val="center"/>
                    <w:rPr>
                      <w:rFonts w:ascii="Times New Roman" w:hAnsi="Times New Roman"/>
                      <w:szCs w:val="21"/>
                    </w:rPr>
                  </w:pPr>
                  <w:r>
                    <w:rPr>
                      <w:rFonts w:ascii="Times New Roman" w:hAnsi="Times New Roman"/>
                      <w:bCs/>
                      <w:szCs w:val="21"/>
                    </w:rPr>
                    <w:t>XXH2505C</w:t>
                  </w:r>
                  <w:r>
                    <w:rPr>
                      <w:rFonts w:ascii="Times New Roman" w:hAnsi="Times New Roman"/>
                      <w:szCs w:val="21"/>
                    </w:rPr>
                    <w:t>型X射线探伤机</w:t>
                  </w:r>
                </w:p>
              </w:tc>
              <w:tc>
                <w:tcPr>
                  <w:tcW w:w="1559" w:type="dxa"/>
                  <w:vMerge w:val="restart"/>
                  <w:vAlign w:val="center"/>
                </w:tcPr>
                <w:p w14:paraId="0C65EA2A">
                  <w:pPr>
                    <w:jc w:val="center"/>
                    <w:rPr>
                      <w:rFonts w:ascii="Times New Roman" w:hAnsi="Times New Roman"/>
                      <w:szCs w:val="21"/>
                    </w:rPr>
                  </w:pPr>
                  <w:r>
                    <w:rPr>
                      <w:rFonts w:ascii="Times New Roman" w:hAnsi="Times New Roman"/>
                      <w:szCs w:val="21"/>
                    </w:rPr>
                    <w:t>周向</w:t>
                  </w:r>
                </w:p>
              </w:tc>
              <w:tc>
                <w:tcPr>
                  <w:tcW w:w="2977" w:type="dxa"/>
                  <w:vAlign w:val="center"/>
                </w:tcPr>
                <w:p w14:paraId="3CD4F9D7">
                  <w:pPr>
                    <w:rPr>
                      <w:rFonts w:ascii="Times New Roman" w:hAnsi="Times New Roman"/>
                      <w:szCs w:val="21"/>
                    </w:rPr>
                  </w:pPr>
                  <w:r>
                    <w:rPr>
                      <w:rFonts w:ascii="Times New Roman" w:hAnsi="Times New Roman"/>
                      <w:szCs w:val="21"/>
                    </w:rPr>
                    <w:t>将四周方向0~8m划为控制区</w:t>
                  </w:r>
                </w:p>
              </w:tc>
              <w:tc>
                <w:tcPr>
                  <w:tcW w:w="3154" w:type="dxa"/>
                  <w:vAlign w:val="center"/>
                </w:tcPr>
                <w:p w14:paraId="518189DE">
                  <w:pPr>
                    <w:rPr>
                      <w:rFonts w:ascii="Times New Roman" w:hAnsi="Times New Roman"/>
                      <w:szCs w:val="21"/>
                    </w:rPr>
                  </w:pPr>
                  <w:r>
                    <w:rPr>
                      <w:rFonts w:ascii="Times New Roman" w:hAnsi="Times New Roman"/>
                      <w:szCs w:val="21"/>
                    </w:rPr>
                    <w:t xml:space="preserve">将四周方向8~18m划为监督区； </w:t>
                  </w:r>
                </w:p>
              </w:tc>
            </w:tr>
            <w:tr w14:paraId="1301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2A704C9F">
                  <w:pPr>
                    <w:spacing w:line="360" w:lineRule="auto"/>
                    <w:jc w:val="center"/>
                    <w:rPr>
                      <w:rFonts w:ascii="Times New Roman" w:hAnsi="Times New Roman"/>
                      <w:szCs w:val="21"/>
                    </w:rPr>
                  </w:pPr>
                </w:p>
              </w:tc>
              <w:tc>
                <w:tcPr>
                  <w:tcW w:w="1559" w:type="dxa"/>
                  <w:vMerge w:val="continue"/>
                  <w:vAlign w:val="center"/>
                </w:tcPr>
                <w:p w14:paraId="3138263C">
                  <w:pPr>
                    <w:spacing w:line="360" w:lineRule="auto"/>
                    <w:jc w:val="center"/>
                    <w:rPr>
                      <w:rFonts w:ascii="Times New Roman" w:hAnsi="Times New Roman"/>
                      <w:szCs w:val="21"/>
                    </w:rPr>
                  </w:pPr>
                </w:p>
              </w:tc>
              <w:tc>
                <w:tcPr>
                  <w:tcW w:w="2977" w:type="dxa"/>
                  <w:vAlign w:val="center"/>
                </w:tcPr>
                <w:p w14:paraId="521FA7A8">
                  <w:pPr>
                    <w:rPr>
                      <w:rFonts w:ascii="Times New Roman" w:hAnsi="Times New Roman"/>
                      <w:szCs w:val="21"/>
                    </w:rPr>
                  </w:pPr>
                  <w:r>
                    <w:rPr>
                      <w:rFonts w:ascii="Times New Roman" w:hAnsi="Times New Roman"/>
                      <w:szCs w:val="21"/>
                    </w:rPr>
                    <w:t>辐射源到地面的投影点0~134m划为控制区（H为337m时）</w:t>
                  </w:r>
                </w:p>
              </w:tc>
              <w:tc>
                <w:tcPr>
                  <w:tcW w:w="3154" w:type="dxa"/>
                  <w:vAlign w:val="center"/>
                </w:tcPr>
                <w:p w14:paraId="236FCC66">
                  <w:pPr>
                    <w:rPr>
                      <w:rFonts w:ascii="Times New Roman" w:hAnsi="Times New Roman"/>
                      <w:szCs w:val="21"/>
                    </w:rPr>
                  </w:pPr>
                  <w:r>
                    <w:rPr>
                      <w:rFonts w:ascii="Times New Roman" w:hAnsi="Times New Roman"/>
                      <w:szCs w:val="21"/>
                    </w:rPr>
                    <w:t>辐射源到地面的投影点134~325m划为监督区（H为839m时）</w:t>
                  </w:r>
                </w:p>
              </w:tc>
            </w:tr>
            <w:tr w14:paraId="31CD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vAlign w:val="center"/>
                </w:tcPr>
                <w:p w14:paraId="2C984543">
                  <w:pPr>
                    <w:ind w:left="-105" w:leftChars="-50" w:right="-105" w:rightChars="-50"/>
                    <w:jc w:val="center"/>
                    <w:rPr>
                      <w:rFonts w:ascii="Times New Roman" w:hAnsi="Times New Roman"/>
                      <w:szCs w:val="21"/>
                    </w:rPr>
                  </w:pPr>
                  <w:r>
                    <w:rPr>
                      <w:rFonts w:ascii="Times New Roman" w:hAnsi="Times New Roman"/>
                      <w:szCs w:val="21"/>
                    </w:rPr>
                    <w:t>XT3005D型X射线探伤机</w:t>
                  </w:r>
                </w:p>
              </w:tc>
              <w:tc>
                <w:tcPr>
                  <w:tcW w:w="1559" w:type="dxa"/>
                  <w:vAlign w:val="center"/>
                </w:tcPr>
                <w:p w14:paraId="68A5D4BC">
                  <w:pPr>
                    <w:jc w:val="center"/>
                    <w:rPr>
                      <w:rFonts w:ascii="Times New Roman" w:hAnsi="Times New Roman"/>
                      <w:szCs w:val="21"/>
                    </w:rPr>
                  </w:pPr>
                  <w:r>
                    <w:rPr>
                      <w:rFonts w:ascii="Times New Roman" w:hAnsi="Times New Roman"/>
                      <w:szCs w:val="21"/>
                    </w:rPr>
                    <w:t>主射线束平行于地面</w:t>
                  </w:r>
                </w:p>
              </w:tc>
              <w:tc>
                <w:tcPr>
                  <w:tcW w:w="2977" w:type="dxa"/>
                  <w:vAlign w:val="center"/>
                </w:tcPr>
                <w:p w14:paraId="3CDF0F62">
                  <w:pPr>
                    <w:rPr>
                      <w:rFonts w:ascii="Times New Roman" w:hAnsi="Times New Roman" w:eastAsiaTheme="minorEastAsia"/>
                      <w:szCs w:val="21"/>
                    </w:rPr>
                  </w:pPr>
                  <w:r>
                    <w:rPr>
                      <w:rFonts w:ascii="Times New Roman" w:hAnsi="Times New Roman" w:eastAsiaTheme="minorEastAsia"/>
                      <w:szCs w:val="21"/>
                    </w:rPr>
                    <w:t>将主射方向0~47m划为控制区；将非主射方向0~31m划为控制区</w:t>
                  </w:r>
                </w:p>
              </w:tc>
              <w:tc>
                <w:tcPr>
                  <w:tcW w:w="3154" w:type="dxa"/>
                  <w:vAlign w:val="center"/>
                </w:tcPr>
                <w:p w14:paraId="545DE955">
                  <w:pPr>
                    <w:rPr>
                      <w:rFonts w:ascii="Times New Roman" w:hAnsi="Times New Roman"/>
                      <w:szCs w:val="21"/>
                    </w:rPr>
                  </w:pPr>
                  <w:r>
                    <w:rPr>
                      <w:rFonts w:ascii="Times New Roman" w:hAnsi="Times New Roman"/>
                      <w:szCs w:val="21"/>
                    </w:rPr>
                    <w:t>将主射方向47~114m划为监督区；将非主射方向31~75m划为监督区</w:t>
                  </w:r>
                </w:p>
              </w:tc>
            </w:tr>
            <w:tr w14:paraId="5F26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2C2AB47B">
                  <w:pPr>
                    <w:spacing w:line="360" w:lineRule="auto"/>
                    <w:jc w:val="center"/>
                    <w:rPr>
                      <w:rFonts w:ascii="Times New Roman" w:hAnsi="Times New Roman"/>
                      <w:szCs w:val="21"/>
                    </w:rPr>
                  </w:pPr>
                </w:p>
              </w:tc>
              <w:tc>
                <w:tcPr>
                  <w:tcW w:w="1559" w:type="dxa"/>
                  <w:vAlign w:val="center"/>
                </w:tcPr>
                <w:p w14:paraId="7D5A8E19">
                  <w:pPr>
                    <w:jc w:val="center"/>
                    <w:rPr>
                      <w:rFonts w:ascii="Times New Roman" w:hAnsi="Times New Roman"/>
                      <w:szCs w:val="21"/>
                    </w:rPr>
                  </w:pPr>
                  <w:r>
                    <w:rPr>
                      <w:rFonts w:ascii="Times New Roman" w:hAnsi="Times New Roman"/>
                      <w:szCs w:val="21"/>
                    </w:rPr>
                    <w:t>主射线束垂直于地面</w:t>
                  </w:r>
                </w:p>
              </w:tc>
              <w:tc>
                <w:tcPr>
                  <w:tcW w:w="2977" w:type="dxa"/>
                  <w:vAlign w:val="center"/>
                </w:tcPr>
                <w:p w14:paraId="160A56DC">
                  <w:pPr>
                    <w:rPr>
                      <w:rFonts w:ascii="Times New Roman" w:hAnsi="Times New Roman"/>
                      <w:szCs w:val="21"/>
                    </w:rPr>
                  </w:pPr>
                  <w:r>
                    <w:rPr>
                      <w:rFonts w:ascii="Times New Roman" w:hAnsi="Times New Roman"/>
                      <w:szCs w:val="21"/>
                    </w:rPr>
                    <w:t>将非主射方向0~7m划为控制区</w:t>
                  </w:r>
                </w:p>
              </w:tc>
              <w:tc>
                <w:tcPr>
                  <w:tcW w:w="3154" w:type="dxa"/>
                  <w:vAlign w:val="center"/>
                </w:tcPr>
                <w:p w14:paraId="25B3007A">
                  <w:pPr>
                    <w:rPr>
                      <w:rFonts w:ascii="Times New Roman" w:hAnsi="Times New Roman"/>
                      <w:szCs w:val="21"/>
                    </w:rPr>
                  </w:pPr>
                  <w:r>
                    <w:rPr>
                      <w:rFonts w:ascii="Times New Roman" w:hAnsi="Times New Roman"/>
                      <w:szCs w:val="21"/>
                    </w:rPr>
                    <w:t>将非主射方向7~17m划为监督区</w:t>
                  </w:r>
                </w:p>
              </w:tc>
            </w:tr>
            <w:tr w14:paraId="56E6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14:paraId="536F8248">
                  <w:pPr>
                    <w:spacing w:line="360" w:lineRule="auto"/>
                    <w:jc w:val="center"/>
                    <w:rPr>
                      <w:rFonts w:ascii="Times New Roman" w:hAnsi="Times New Roman"/>
                      <w:szCs w:val="21"/>
                    </w:rPr>
                  </w:pPr>
                </w:p>
              </w:tc>
              <w:tc>
                <w:tcPr>
                  <w:tcW w:w="1559" w:type="dxa"/>
                  <w:vAlign w:val="center"/>
                </w:tcPr>
                <w:p w14:paraId="77E5F90B">
                  <w:pPr>
                    <w:jc w:val="center"/>
                    <w:rPr>
                      <w:rFonts w:ascii="Times New Roman" w:hAnsi="Times New Roman"/>
                      <w:szCs w:val="21"/>
                    </w:rPr>
                  </w:pPr>
                  <w:r>
                    <w:rPr>
                      <w:rFonts w:ascii="Times New Roman" w:hAnsi="Times New Roman"/>
                      <w:szCs w:val="21"/>
                    </w:rPr>
                    <w:t>主射线朝向地面（架空桥梁）</w:t>
                  </w:r>
                </w:p>
              </w:tc>
              <w:tc>
                <w:tcPr>
                  <w:tcW w:w="2977" w:type="dxa"/>
                  <w:vAlign w:val="center"/>
                </w:tcPr>
                <w:p w14:paraId="4C90029F">
                  <w:pPr>
                    <w:rPr>
                      <w:rFonts w:ascii="Times New Roman" w:hAnsi="Times New Roman"/>
                      <w:szCs w:val="21"/>
                    </w:rPr>
                  </w:pPr>
                  <w:r>
                    <w:rPr>
                      <w:rFonts w:ascii="Times New Roman" w:hAnsi="Times New Roman"/>
                      <w:szCs w:val="21"/>
                    </w:rPr>
                    <w:t>辐射源到地面的投影点0~121m划为控制区（H为332m时）</w:t>
                  </w:r>
                </w:p>
              </w:tc>
              <w:tc>
                <w:tcPr>
                  <w:tcW w:w="3154" w:type="dxa"/>
                  <w:vAlign w:val="center"/>
                </w:tcPr>
                <w:p w14:paraId="4BC16FB1">
                  <w:pPr>
                    <w:rPr>
                      <w:rFonts w:ascii="Times New Roman" w:hAnsi="Times New Roman"/>
                      <w:szCs w:val="21"/>
                    </w:rPr>
                  </w:pPr>
                  <w:r>
                    <w:rPr>
                      <w:rFonts w:ascii="Times New Roman" w:hAnsi="Times New Roman"/>
                      <w:szCs w:val="21"/>
                    </w:rPr>
                    <w:t>辐射源到地面的投影点121~296m划为监督区（H为813m时）</w:t>
                  </w:r>
                </w:p>
              </w:tc>
            </w:tr>
            <w:tr w14:paraId="3E7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gridSpan w:val="2"/>
                  <w:vAlign w:val="center"/>
                </w:tcPr>
                <w:p w14:paraId="411CA43B">
                  <w:pPr>
                    <w:jc w:val="center"/>
                    <w:rPr>
                      <w:rFonts w:ascii="Times New Roman" w:hAnsi="Times New Roman"/>
                      <w:szCs w:val="21"/>
                    </w:rPr>
                  </w:pPr>
                  <w:r>
                    <w:rPr>
                      <w:rFonts w:ascii="Times New Roman" w:hAnsi="Times New Roman"/>
                      <w:szCs w:val="21"/>
                    </w:rPr>
                    <w:t>辐射防护措施</w:t>
                  </w:r>
                </w:p>
              </w:tc>
              <w:tc>
                <w:tcPr>
                  <w:tcW w:w="2977" w:type="dxa"/>
                  <w:vAlign w:val="center"/>
                </w:tcPr>
                <w:p w14:paraId="02D53086">
                  <w:pPr>
                    <w:rPr>
                      <w:rFonts w:ascii="Times New Roman" w:hAnsi="Times New Roman"/>
                      <w:szCs w:val="21"/>
                    </w:rPr>
                  </w:pPr>
                  <w:r>
                    <w:rPr>
                      <w:rFonts w:ascii="Times New Roman" w:hAnsi="Times New Roman"/>
                      <w:szCs w:val="21"/>
                    </w:rPr>
                    <w:t>对控制区进行严格控制，在曝光过程中严禁任何人员进入控制区内，设置明显的警戒线，并设置明显的电离辐射标志，边界上悬挂清晰可见的“禁止进入射线区”警示标识</w:t>
                  </w:r>
                </w:p>
              </w:tc>
              <w:tc>
                <w:tcPr>
                  <w:tcW w:w="3154" w:type="dxa"/>
                  <w:vAlign w:val="center"/>
                </w:tcPr>
                <w:p w14:paraId="47B323ED">
                  <w:pPr>
                    <w:rPr>
                      <w:rFonts w:ascii="Times New Roman" w:hAnsi="Times New Roman"/>
                      <w:szCs w:val="21"/>
                    </w:rPr>
                  </w:pPr>
                  <w:r>
                    <w:rPr>
                      <w:rFonts w:ascii="Times New Roman" w:hAnsi="Times New Roman"/>
                      <w:szCs w:val="21"/>
                    </w:rPr>
                    <w:t>监督区为工作人员操作设备时的工作场所，该区设置电离辐射标志，经常进行剂量监督，限制公众进入该区域，边界处设置电离辐射警告标志牌，边界上悬挂清晰可见的“无关人员禁止入内”警告牌，设置专人巡视。</w:t>
                  </w:r>
                </w:p>
              </w:tc>
            </w:tr>
            <w:tr w14:paraId="475D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gridSpan w:val="2"/>
                  <w:vAlign w:val="center"/>
                </w:tcPr>
                <w:p w14:paraId="519594CE">
                  <w:pPr>
                    <w:jc w:val="center"/>
                    <w:rPr>
                      <w:rFonts w:ascii="Times New Roman" w:hAnsi="Times New Roman"/>
                      <w:szCs w:val="21"/>
                    </w:rPr>
                  </w:pPr>
                  <w:r>
                    <w:rPr>
                      <w:rFonts w:ascii="Times New Roman" w:hAnsi="Times New Roman"/>
                      <w:szCs w:val="21"/>
                    </w:rPr>
                    <w:t>备注</w:t>
                  </w:r>
                </w:p>
              </w:tc>
              <w:tc>
                <w:tcPr>
                  <w:tcW w:w="2977" w:type="dxa"/>
                  <w:vAlign w:val="center"/>
                </w:tcPr>
                <w:p w14:paraId="727A75EE">
                  <w:pPr>
                    <w:rPr>
                      <w:rFonts w:ascii="Times New Roman" w:hAnsi="Times New Roman"/>
                      <w:szCs w:val="21"/>
                    </w:rPr>
                  </w:pPr>
                  <w:r>
                    <w:rPr>
                      <w:rFonts w:ascii="Times New Roman" w:hAnsi="Times New Roman"/>
                      <w:szCs w:val="21"/>
                    </w:rPr>
                    <w:t>可根据野外（室外）探伤的地形、桥梁高度（H）、建筑物实际情况确定，现场监测剂量率在15μGy/h以上的范围</w:t>
                  </w:r>
                </w:p>
              </w:tc>
              <w:tc>
                <w:tcPr>
                  <w:tcW w:w="3154" w:type="dxa"/>
                  <w:vAlign w:val="center"/>
                </w:tcPr>
                <w:p w14:paraId="5F0B1628">
                  <w:pPr>
                    <w:rPr>
                      <w:rFonts w:ascii="Times New Roman" w:hAnsi="Times New Roman" w:eastAsiaTheme="minorEastAsia"/>
                      <w:szCs w:val="21"/>
                    </w:rPr>
                  </w:pPr>
                  <w:r>
                    <w:rPr>
                      <w:rFonts w:ascii="Times New Roman" w:hAnsi="Times New Roman" w:eastAsiaTheme="minorEastAsia"/>
                      <w:szCs w:val="21"/>
                    </w:rPr>
                    <w:t>可根据野外(室外)探伤的地形、桥梁高度(H)、建筑物实际情况确定现场监测剂量率在 2.5uGy/h~15uGy/h之间的范围。</w:t>
                  </w:r>
                </w:p>
              </w:tc>
            </w:tr>
          </w:tbl>
          <w:p w14:paraId="2E11FBBA">
            <w:pPr>
              <w:pStyle w:val="2"/>
              <w:spacing w:before="120" w:beforeLines="50" w:after="0"/>
              <w:ind w:left="0" w:leftChars="0" w:firstLine="0" w:firstLineChars="0"/>
              <w:jc w:val="center"/>
            </w:pPr>
            <w:r>
              <w:drawing>
                <wp:inline distT="0" distB="0" distL="0" distR="0">
                  <wp:extent cx="3633470" cy="202692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9450" cy="2035797"/>
                          </a:xfrm>
                          <a:prstGeom prst="rect">
                            <a:avLst/>
                          </a:prstGeom>
                          <a:noFill/>
                          <a:ln>
                            <a:noFill/>
                          </a:ln>
                        </pic:spPr>
                      </pic:pic>
                    </a:graphicData>
                  </a:graphic>
                </wp:inline>
              </w:drawing>
            </w:r>
          </w:p>
          <w:p w14:paraId="7526DC13">
            <w:pPr>
              <w:pStyle w:val="2"/>
              <w:ind w:left="0" w:leftChars="0" w:firstLine="0" w:firstLineChars="0"/>
              <w:jc w:val="center"/>
              <w:rPr>
                <w:b/>
              </w:rPr>
            </w:pPr>
            <w:r>
              <w:rPr>
                <w:b/>
              </w:rPr>
              <w:t>图10-1  周向型探伤机控制区、监督区、非限制区的划分示意图</w:t>
            </w:r>
          </w:p>
          <w:p w14:paraId="3BAE171C">
            <w:pPr>
              <w:pStyle w:val="2"/>
              <w:spacing w:after="0"/>
              <w:ind w:left="0" w:leftChars="0" w:firstLine="0" w:firstLineChars="0"/>
              <w:jc w:val="center"/>
            </w:pPr>
            <w:r>
              <w:drawing>
                <wp:inline distT="0" distB="0" distL="0" distR="0">
                  <wp:extent cx="4159250" cy="243395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50448" cy="2487798"/>
                          </a:xfrm>
                          <a:prstGeom prst="rect">
                            <a:avLst/>
                          </a:prstGeom>
                          <a:noFill/>
                          <a:ln>
                            <a:noFill/>
                          </a:ln>
                        </pic:spPr>
                      </pic:pic>
                    </a:graphicData>
                  </a:graphic>
                </wp:inline>
              </w:drawing>
            </w:r>
          </w:p>
          <w:p w14:paraId="1F69C8C3">
            <w:pPr>
              <w:pStyle w:val="2"/>
              <w:spacing w:after="0"/>
              <w:ind w:left="0" w:leftChars="0" w:firstLine="0" w:firstLineChars="0"/>
              <w:jc w:val="center"/>
              <w:rPr>
                <w:b/>
              </w:rPr>
            </w:pPr>
            <w:r>
              <w:rPr>
                <w:b/>
              </w:rPr>
              <w:t>图10-2  定向型探伤机控制区、监督区、非限制区的划分示意图</w:t>
            </w:r>
          </w:p>
          <w:p w14:paraId="63BBB0ED">
            <w:pPr>
              <w:pStyle w:val="2"/>
              <w:spacing w:after="0"/>
              <w:ind w:left="0" w:leftChars="0" w:firstLine="0" w:firstLineChars="0"/>
              <w:rPr>
                <w:b/>
              </w:rPr>
            </w:pPr>
          </w:p>
          <w:p w14:paraId="38479A9C">
            <w:pPr>
              <w:ind w:firstLine="420" w:firstLineChars="200"/>
              <w:jc w:val="center"/>
              <w:rPr>
                <w:rFonts w:ascii="Times New Roman" w:hAnsi="Times New Roman"/>
                <w:sz w:val="24"/>
              </w:rPr>
            </w:pPr>
            <w:r>
              <w:rPr>
                <w:rFonts w:ascii="Times New Roman" w:hAnsi="Times New Roman"/>
              </w:rPr>
              <w:drawing>
                <wp:inline distT="0" distB="0" distL="0" distR="0">
                  <wp:extent cx="3244215" cy="3110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294504" cy="3159146"/>
                          </a:xfrm>
                          <a:prstGeom prst="rect">
                            <a:avLst/>
                          </a:prstGeom>
                        </pic:spPr>
                      </pic:pic>
                    </a:graphicData>
                  </a:graphic>
                </wp:inline>
              </w:drawing>
            </w:r>
          </w:p>
          <w:p w14:paraId="4FD86745">
            <w:pPr>
              <w:pStyle w:val="2"/>
              <w:spacing w:after="0"/>
              <w:ind w:left="0" w:leftChars="0" w:firstLine="0" w:firstLineChars="0"/>
              <w:jc w:val="center"/>
              <w:rPr>
                <w:b/>
                <w:bCs/>
              </w:rPr>
            </w:pPr>
            <w:r>
              <w:rPr>
                <w:b/>
                <w:bCs/>
              </w:rPr>
              <w:t>图</w:t>
            </w:r>
            <w:r>
              <w:t xml:space="preserve">10-3  </w:t>
            </w:r>
            <w:r>
              <w:rPr>
                <w:b/>
                <w:bCs/>
              </w:rPr>
              <w:t>桥面探伤示意图</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5"/>
              <w:gridCol w:w="4495"/>
            </w:tblGrid>
            <w:tr w14:paraId="56D7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14:paraId="4B118C49">
                  <w:pPr>
                    <w:pStyle w:val="2"/>
                    <w:spacing w:after="0"/>
                    <w:ind w:left="0" w:leftChars="0" w:firstLine="0" w:firstLineChars="0"/>
                    <w:jc w:val="center"/>
                  </w:pPr>
                  <w:r>
                    <w:drawing>
                      <wp:inline distT="0" distB="0" distL="0" distR="0">
                        <wp:extent cx="2677160" cy="2540635"/>
                        <wp:effectExtent l="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680353" cy="2543624"/>
                                </a:xfrm>
                                <a:prstGeom prst="rect">
                                  <a:avLst/>
                                </a:prstGeom>
                              </pic:spPr>
                            </pic:pic>
                          </a:graphicData>
                        </a:graphic>
                      </wp:inline>
                    </w:drawing>
                  </w:r>
                </w:p>
              </w:tc>
              <w:tc>
                <w:tcPr>
                  <w:tcW w:w="4495" w:type="dxa"/>
                </w:tcPr>
                <w:p w14:paraId="7B3FBA36">
                  <w:pPr>
                    <w:pStyle w:val="2"/>
                    <w:spacing w:after="0"/>
                    <w:ind w:left="0" w:leftChars="0" w:firstLine="0" w:firstLineChars="0"/>
                    <w:jc w:val="center"/>
                  </w:pPr>
                  <w:r>
                    <w:drawing>
                      <wp:inline distT="0" distB="0" distL="0" distR="0">
                        <wp:extent cx="2662555" cy="254063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668484" cy="2545876"/>
                                </a:xfrm>
                                <a:prstGeom prst="rect">
                                  <a:avLst/>
                                </a:prstGeom>
                              </pic:spPr>
                            </pic:pic>
                          </a:graphicData>
                        </a:graphic>
                      </wp:inline>
                    </w:drawing>
                  </w:r>
                </w:p>
              </w:tc>
            </w:tr>
            <w:tr w14:paraId="3F7F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14:paraId="2A27B436">
                  <w:pPr>
                    <w:pStyle w:val="2"/>
                    <w:spacing w:after="0"/>
                    <w:ind w:left="0" w:leftChars="0" w:firstLine="0" w:firstLineChars="0"/>
                    <w:jc w:val="center"/>
                  </w:pPr>
                  <w:r>
                    <w:rPr>
                      <w:szCs w:val="21"/>
                    </w:rPr>
                    <w:t>主射线束垂直于地面</w:t>
                  </w:r>
                </w:p>
              </w:tc>
              <w:tc>
                <w:tcPr>
                  <w:tcW w:w="4495" w:type="dxa"/>
                </w:tcPr>
                <w:p w14:paraId="50394100">
                  <w:pPr>
                    <w:pStyle w:val="2"/>
                    <w:spacing w:after="0"/>
                    <w:ind w:left="0" w:leftChars="0" w:firstLine="0" w:firstLineChars="0"/>
                    <w:jc w:val="center"/>
                  </w:pPr>
                  <w:r>
                    <w:rPr>
                      <w:szCs w:val="21"/>
                    </w:rPr>
                    <w:t>当桥梁架空时，辐射源到地面的投影点</w:t>
                  </w:r>
                </w:p>
              </w:tc>
            </w:tr>
            <w:tr w14:paraId="191C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tcPr>
                <w:p w14:paraId="19241A97">
                  <w:pPr>
                    <w:pStyle w:val="2"/>
                    <w:spacing w:after="0"/>
                    <w:ind w:left="0" w:leftChars="0" w:firstLine="0" w:firstLineChars="0"/>
                    <w:jc w:val="center"/>
                  </w:pPr>
                  <w:r>
                    <w:drawing>
                      <wp:inline distT="0" distB="0" distL="0" distR="0">
                        <wp:extent cx="3937000" cy="257810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3937075" cy="2578437"/>
                                </a:xfrm>
                                <a:prstGeom prst="rect">
                                  <a:avLst/>
                                </a:prstGeom>
                              </pic:spPr>
                            </pic:pic>
                          </a:graphicData>
                        </a:graphic>
                      </wp:inline>
                    </w:drawing>
                  </w:r>
                </w:p>
              </w:tc>
            </w:tr>
            <w:tr w14:paraId="52AA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vAlign w:val="center"/>
                </w:tcPr>
                <w:p w14:paraId="001F7A7C">
                  <w:pPr>
                    <w:pStyle w:val="2"/>
                    <w:spacing w:after="0"/>
                    <w:ind w:left="0" w:leftChars="0" w:firstLine="0" w:firstLineChars="0"/>
                    <w:jc w:val="center"/>
                  </w:pPr>
                  <w:r>
                    <w:rPr>
                      <w:szCs w:val="21"/>
                    </w:rPr>
                    <w:t>主射线束水平于地面</w:t>
                  </w:r>
                </w:p>
              </w:tc>
            </w:tr>
            <w:tr w14:paraId="0BCB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tcPr>
                <w:p w14:paraId="77838681">
                  <w:pPr>
                    <w:pStyle w:val="2"/>
                    <w:ind w:left="0" w:leftChars="0" w:firstLine="0" w:firstLineChars="0"/>
                    <w:jc w:val="center"/>
                  </w:pPr>
                  <w:r>
                    <w:rPr>
                      <w:b/>
                      <w:bCs/>
                    </w:rPr>
                    <w:t>图</w:t>
                  </w:r>
                  <w:r>
                    <w:t xml:space="preserve">10-4  </w:t>
                  </w:r>
                  <w:r>
                    <w:rPr>
                      <w:b/>
                      <w:bCs/>
                    </w:rPr>
                    <w:t>野外（室外）探伤两区划分示意图（</w:t>
                  </w:r>
                  <w:r>
                    <w:t>XT3005</w:t>
                  </w:r>
                  <w:r>
                    <w:rPr>
                      <w:b/>
                      <w:bCs/>
                    </w:rPr>
                    <w:t>型</w:t>
                  </w:r>
                  <w:r>
                    <w:t>X</w:t>
                  </w:r>
                  <w:r>
                    <w:rPr>
                      <w:b/>
                      <w:bCs/>
                    </w:rPr>
                    <w:t>射线探伤机）</w:t>
                  </w:r>
                </w:p>
              </w:tc>
            </w:tr>
          </w:tbl>
          <w:p w14:paraId="29F81372">
            <w:pPr>
              <w:rPr>
                <w:rFonts w:ascii="Times New Roman" w:hAnsi="Times New Roman"/>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5"/>
              <w:gridCol w:w="4495"/>
            </w:tblGrid>
            <w:tr w14:paraId="40C4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14:paraId="2D0EC3E6">
                  <w:pPr>
                    <w:pStyle w:val="2"/>
                    <w:spacing w:after="0"/>
                    <w:ind w:left="0" w:leftChars="0" w:firstLine="0" w:firstLineChars="0"/>
                    <w:jc w:val="center"/>
                  </w:pPr>
                  <w:r>
                    <w:drawing>
                      <wp:inline distT="0" distB="0" distL="0" distR="0">
                        <wp:extent cx="2489200" cy="25146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2489234" cy="2514706"/>
                                </a:xfrm>
                                <a:prstGeom prst="rect">
                                  <a:avLst/>
                                </a:prstGeom>
                              </pic:spPr>
                            </pic:pic>
                          </a:graphicData>
                        </a:graphic>
                      </wp:inline>
                    </w:drawing>
                  </w:r>
                </w:p>
              </w:tc>
              <w:tc>
                <w:tcPr>
                  <w:tcW w:w="4495" w:type="dxa"/>
                </w:tcPr>
                <w:p w14:paraId="2A7E0CF9">
                  <w:pPr>
                    <w:pStyle w:val="2"/>
                    <w:spacing w:after="0"/>
                    <w:ind w:left="0" w:leftChars="0" w:firstLine="0" w:firstLineChars="0"/>
                    <w:jc w:val="center"/>
                  </w:pPr>
                  <w:r>
                    <w:drawing>
                      <wp:inline distT="0" distB="0" distL="0" distR="0">
                        <wp:extent cx="2489200" cy="251460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489514" cy="2514846"/>
                                </a:xfrm>
                                <a:prstGeom prst="rect">
                                  <a:avLst/>
                                </a:prstGeom>
                              </pic:spPr>
                            </pic:pic>
                          </a:graphicData>
                        </a:graphic>
                      </wp:inline>
                    </w:drawing>
                  </w:r>
                </w:p>
              </w:tc>
            </w:tr>
            <w:tr w14:paraId="50C0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14:paraId="4A647131">
                  <w:pPr>
                    <w:pStyle w:val="2"/>
                    <w:spacing w:after="0"/>
                    <w:ind w:left="0" w:leftChars="0" w:firstLine="0" w:firstLineChars="0"/>
                    <w:jc w:val="center"/>
                  </w:pPr>
                  <w:r>
                    <w:rPr>
                      <w:szCs w:val="21"/>
                    </w:rPr>
                    <w:t>主射线束垂直于地面</w:t>
                  </w:r>
                </w:p>
              </w:tc>
              <w:tc>
                <w:tcPr>
                  <w:tcW w:w="4495" w:type="dxa"/>
                </w:tcPr>
                <w:p w14:paraId="0A57435D">
                  <w:pPr>
                    <w:pStyle w:val="2"/>
                    <w:spacing w:after="0"/>
                    <w:ind w:left="0" w:leftChars="0" w:firstLine="0" w:firstLineChars="0"/>
                    <w:jc w:val="center"/>
                  </w:pPr>
                  <w:r>
                    <w:rPr>
                      <w:szCs w:val="21"/>
                    </w:rPr>
                    <w:t>当桥梁架空时，辐射源到地面的投影点</w:t>
                  </w:r>
                </w:p>
              </w:tc>
            </w:tr>
            <w:tr w14:paraId="53C5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tcPr>
                <w:p w14:paraId="7143DEC0">
                  <w:pPr>
                    <w:pStyle w:val="2"/>
                    <w:spacing w:after="0"/>
                    <w:ind w:left="0" w:leftChars="0" w:firstLine="0" w:firstLineChars="0"/>
                    <w:jc w:val="center"/>
                  </w:pPr>
                  <w:r>
                    <w:drawing>
                      <wp:inline distT="0" distB="0" distL="0" distR="0">
                        <wp:extent cx="3413125" cy="27533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3437116" cy="2772976"/>
                                </a:xfrm>
                                <a:prstGeom prst="rect">
                                  <a:avLst/>
                                </a:prstGeom>
                              </pic:spPr>
                            </pic:pic>
                          </a:graphicData>
                        </a:graphic>
                      </wp:inline>
                    </w:drawing>
                  </w:r>
                </w:p>
              </w:tc>
            </w:tr>
            <w:tr w14:paraId="0AC6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tcPr>
                <w:p w14:paraId="53D76EE9">
                  <w:pPr>
                    <w:pStyle w:val="2"/>
                    <w:spacing w:after="0"/>
                    <w:ind w:left="0" w:leftChars="0" w:firstLine="0" w:firstLineChars="0"/>
                    <w:jc w:val="center"/>
                  </w:pPr>
                  <w:r>
                    <w:rPr>
                      <w:szCs w:val="21"/>
                    </w:rPr>
                    <w:t>主射线束水平于地面</w:t>
                  </w:r>
                </w:p>
              </w:tc>
            </w:tr>
            <w:tr w14:paraId="3194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gridSpan w:val="2"/>
                </w:tcPr>
                <w:p w14:paraId="04D319E3">
                  <w:pPr>
                    <w:pStyle w:val="2"/>
                    <w:ind w:left="0" w:leftChars="0" w:firstLine="0" w:firstLineChars="0"/>
                    <w:jc w:val="center"/>
                  </w:pPr>
                  <w:r>
                    <w:rPr>
                      <w:b/>
                      <w:bCs/>
                    </w:rPr>
                    <w:t>图</w:t>
                  </w:r>
                  <w:r>
                    <w:t xml:space="preserve">10-5  </w:t>
                  </w:r>
                  <w:r>
                    <w:rPr>
                      <w:b/>
                      <w:bCs/>
                    </w:rPr>
                    <w:t>野外（室外）探伤两区划分示意图（</w:t>
                  </w:r>
                  <w:r>
                    <w:t>XT2505</w:t>
                  </w:r>
                  <w:r>
                    <w:rPr>
                      <w:b/>
                      <w:bCs/>
                    </w:rPr>
                    <w:t>型</w:t>
                  </w:r>
                  <w:r>
                    <w:t>X</w:t>
                  </w:r>
                  <w:r>
                    <w:rPr>
                      <w:b/>
                      <w:bCs/>
                    </w:rPr>
                    <w:t>射线探伤机）</w:t>
                  </w:r>
                </w:p>
              </w:tc>
            </w:tr>
          </w:tbl>
          <w:p w14:paraId="55F07777">
            <w:pPr>
              <w:spacing w:before="100" w:beforeAutospacing="1" w:line="360" w:lineRule="auto"/>
              <w:rPr>
                <w:rFonts w:ascii="Times New Roman" w:hAnsi="Times New Roman"/>
                <w:b/>
                <w:sz w:val="24"/>
              </w:rPr>
            </w:pPr>
            <w:r>
              <w:rPr>
                <w:rFonts w:ascii="Times New Roman" w:hAnsi="Times New Roman"/>
                <w:b/>
                <w:sz w:val="24"/>
              </w:rPr>
              <w:t>二、辐射安全防护措施</w:t>
            </w:r>
          </w:p>
          <w:p w14:paraId="51A9D0FB">
            <w:pPr>
              <w:spacing w:line="360" w:lineRule="auto"/>
              <w:ind w:firstLine="482" w:firstLineChars="200"/>
              <w:rPr>
                <w:rFonts w:ascii="Times New Roman" w:hAnsi="Times New Roman"/>
                <w:b/>
                <w:sz w:val="24"/>
              </w:rPr>
            </w:pPr>
            <w:r>
              <w:rPr>
                <w:rFonts w:ascii="Times New Roman" w:hAnsi="Times New Roman"/>
                <w:b/>
                <w:sz w:val="24"/>
              </w:rPr>
              <w:t>1、分区设置</w:t>
            </w:r>
          </w:p>
          <w:p w14:paraId="11B15DB9">
            <w:pPr>
              <w:spacing w:line="360" w:lineRule="auto"/>
              <w:ind w:firstLine="480" w:firstLineChars="200"/>
              <w:rPr>
                <w:rFonts w:ascii="Times New Roman" w:hAnsi="Times New Roman"/>
                <w:sz w:val="24"/>
              </w:rPr>
            </w:pPr>
            <w:r>
              <w:rPr>
                <w:rFonts w:ascii="Times New Roman" w:hAnsi="Times New Roman"/>
                <w:sz w:val="24"/>
              </w:rPr>
              <w:t>（1）控制区边界外空气比释动能率应低于15μGy/h，控制区边界上合适的位置应设置电离辐射警告标志并悬挂清晰可见的“禁止进入射线工作区”警告牌，探伤作业人员应在控制区边界外操作，否则应采取专门的防护措施。</w:t>
            </w:r>
          </w:p>
          <w:p w14:paraId="5C652B6B">
            <w:pPr>
              <w:spacing w:line="360" w:lineRule="auto"/>
              <w:ind w:firstLine="480" w:firstLineChars="200"/>
              <w:rPr>
                <w:rFonts w:ascii="Times New Roman" w:hAnsi="Times New Roman"/>
                <w:sz w:val="24"/>
              </w:rPr>
            </w:pPr>
            <w:r>
              <w:rPr>
                <w:rFonts w:ascii="Times New Roman" w:hAnsi="Times New Roman"/>
                <w:sz w:val="24"/>
              </w:rPr>
              <w:t>（2）控制区的边界尽可能设定实体屏障，包括利用现有结构（如墙体）、临时屏障或临时拉起警戒线（绳）等。</w:t>
            </w:r>
          </w:p>
          <w:p w14:paraId="303F7DF7">
            <w:pPr>
              <w:spacing w:line="360" w:lineRule="auto"/>
              <w:ind w:firstLine="480" w:firstLineChars="200"/>
              <w:rPr>
                <w:rFonts w:ascii="Times New Roman" w:hAnsi="Times New Roman"/>
                <w:sz w:val="24"/>
              </w:rPr>
            </w:pPr>
            <w:r>
              <w:rPr>
                <w:rFonts w:ascii="Times New Roman" w:hAnsi="Times New Roman"/>
                <w:sz w:val="24"/>
              </w:rPr>
              <w:t>（3）移动式探伤作业工作过程中，控制区内不应同时进行其他工作。为了使控制区的范围尽量小，应使用合适的准直器并充分考虑探伤机和被检物体的距离、照射方向、时间和现场屏蔽等条件。视情况采用局部屏蔽措施。</w:t>
            </w:r>
          </w:p>
          <w:p w14:paraId="0ED03B42">
            <w:pPr>
              <w:pStyle w:val="2"/>
              <w:spacing w:after="0" w:line="360" w:lineRule="auto"/>
              <w:ind w:left="0" w:leftChars="0" w:firstLine="480"/>
              <w:rPr>
                <w:sz w:val="24"/>
              </w:rPr>
            </w:pPr>
            <w:r>
              <w:rPr>
                <w:sz w:val="24"/>
              </w:rPr>
              <w:t>（4）每一个探伤作业班组应至少配备一台便携式X-γ剂量率仪，并定期对其开展检定/校准工作。应配备能在现场环境条件下可听见、看见或产生震动信号的个人剂量报警仪。</w:t>
            </w:r>
          </w:p>
          <w:p w14:paraId="657E143D">
            <w:pPr>
              <w:pStyle w:val="2"/>
              <w:spacing w:after="0" w:line="360" w:lineRule="auto"/>
              <w:ind w:left="0" w:leftChars="0" w:firstLine="480"/>
              <w:rPr>
                <w:sz w:val="24"/>
              </w:rPr>
            </w:pPr>
            <w:r>
              <w:rPr>
                <w:sz w:val="24"/>
              </w:rPr>
              <w:t>（5）探伤作业期间还应对控制区边界上代表点的剂量率进行检测，尤其是探伤的位置在此方向或射线束的方向发生改变时，适时调整控制区的边界。</w:t>
            </w:r>
          </w:p>
          <w:p w14:paraId="30DB4A05">
            <w:pPr>
              <w:pStyle w:val="2"/>
              <w:spacing w:after="0" w:line="360" w:lineRule="auto"/>
              <w:ind w:left="0" w:leftChars="0" w:firstLine="480"/>
              <w:rPr>
                <w:sz w:val="24"/>
              </w:rPr>
            </w:pPr>
            <w:r>
              <w:rPr>
                <w:sz w:val="24"/>
              </w:rPr>
              <w:t>（6）应将控制区边界外、作业时周围剂量当量率大于2.5μSv/h的范围划为监督区，并在其边界上悬挂清晰可见的“无关人员禁止入内”警告牌，必要时设专人警戒。</w:t>
            </w:r>
          </w:p>
          <w:p w14:paraId="67B35DD5">
            <w:pPr>
              <w:pStyle w:val="2"/>
              <w:spacing w:after="0" w:line="360" w:lineRule="auto"/>
              <w:ind w:left="0" w:leftChars="0" w:firstLine="480"/>
              <w:rPr>
                <w:sz w:val="24"/>
              </w:rPr>
            </w:pPr>
            <w:r>
              <w:rPr>
                <w:sz w:val="24"/>
              </w:rPr>
              <w:t>（7）移动式探伤工作在多楼层的工厂或工地实施时，应防止移动式探伤工作区上层或下层的人员通过楼梯进入控制区。</w:t>
            </w:r>
          </w:p>
          <w:p w14:paraId="4C31A6B7">
            <w:pPr>
              <w:pStyle w:val="2"/>
              <w:spacing w:after="0" w:line="360" w:lineRule="auto"/>
              <w:ind w:left="0" w:leftChars="0" w:firstLine="480"/>
              <w:rPr>
                <w:sz w:val="24"/>
              </w:rPr>
            </w:pPr>
            <w:r>
              <w:rPr>
                <w:sz w:val="24"/>
              </w:rPr>
              <w:t>（8）探伤机控制台（X射线发生器控制面板）应设置在合适位置或设有延时开机装置，以便尽可能降低操作人员的受照剂量。</w:t>
            </w:r>
          </w:p>
          <w:p w14:paraId="7AFC8F5F">
            <w:pPr>
              <w:pStyle w:val="2"/>
              <w:spacing w:after="0" w:line="360" w:lineRule="auto"/>
              <w:ind w:left="0" w:leftChars="0" w:firstLine="480"/>
              <w:rPr>
                <w:sz w:val="24"/>
              </w:rPr>
            </w:pPr>
            <w:r>
              <w:rPr>
                <w:sz w:val="24"/>
              </w:rPr>
              <w:t>对于一些特殊场所，如探伤作业点在地面一定高度时，应在确保安全的原则下，因地制宜的划定控制区和监督区，并设置警戒线，应切实做好清场工作。</w:t>
            </w:r>
          </w:p>
          <w:p w14:paraId="042AC3DD">
            <w:pPr>
              <w:pStyle w:val="2"/>
              <w:spacing w:after="0" w:line="360" w:lineRule="auto"/>
              <w:ind w:left="0" w:leftChars="0" w:firstLine="482"/>
              <w:rPr>
                <w:b/>
                <w:sz w:val="24"/>
              </w:rPr>
            </w:pPr>
            <w:r>
              <w:rPr>
                <w:b/>
                <w:sz w:val="24"/>
              </w:rPr>
              <w:t>2、安全警示</w:t>
            </w:r>
          </w:p>
          <w:p w14:paraId="083CA766">
            <w:pPr>
              <w:pStyle w:val="2"/>
              <w:spacing w:after="0" w:line="360" w:lineRule="auto"/>
              <w:ind w:left="0" w:leftChars="0" w:firstLine="480"/>
              <w:rPr>
                <w:sz w:val="24"/>
              </w:rPr>
            </w:pPr>
            <w:r>
              <w:rPr>
                <w:sz w:val="24"/>
              </w:rPr>
              <w:t>（1）委托单位（业主单位）应配合做好探伤作业的辐射防护工作，通过合适的途径提前发布探伤作业信息，应通知到所有相关人员，防止误照射发生。</w:t>
            </w:r>
          </w:p>
          <w:p w14:paraId="185FB17C">
            <w:pPr>
              <w:pStyle w:val="2"/>
              <w:spacing w:after="0" w:line="360" w:lineRule="auto"/>
              <w:ind w:left="0" w:leftChars="0" w:firstLine="480"/>
              <w:rPr>
                <w:sz w:val="24"/>
              </w:rPr>
            </w:pPr>
            <w:r>
              <w:rPr>
                <w:sz w:val="24"/>
              </w:rPr>
              <w:t>（2）应有提示“预备”和“照射”状态的指示灯和声音提示装置。“预备”信号和“照射”信号应有明显的区别，并且应与该工作场所内使用的其他报警信号有明显区别。夜晚作业时控制区边界应设置警示灯。</w:t>
            </w:r>
          </w:p>
          <w:p w14:paraId="4DA97CCA">
            <w:pPr>
              <w:pStyle w:val="2"/>
              <w:spacing w:after="0" w:line="360" w:lineRule="auto"/>
              <w:ind w:left="0" w:leftChars="0" w:firstLine="480"/>
              <w:rPr>
                <w:sz w:val="24"/>
              </w:rPr>
            </w:pPr>
            <w:r>
              <w:rPr>
                <w:sz w:val="24"/>
              </w:rPr>
              <w:t>（3）X射线探伤的警示信号指示装置应与探伤机联锁。</w:t>
            </w:r>
          </w:p>
          <w:p w14:paraId="45BAD7A8">
            <w:pPr>
              <w:pStyle w:val="2"/>
              <w:spacing w:after="0" w:line="360" w:lineRule="auto"/>
              <w:ind w:left="0" w:leftChars="0" w:firstLine="480"/>
              <w:rPr>
                <w:sz w:val="24"/>
              </w:rPr>
            </w:pPr>
            <w:r>
              <w:rPr>
                <w:sz w:val="24"/>
              </w:rPr>
              <w:t>（4）在控制区的所有边界都应能清楚地听见或看见“预备”信号和“照射”信号。</w:t>
            </w:r>
          </w:p>
          <w:p w14:paraId="07161E4B">
            <w:pPr>
              <w:pStyle w:val="2"/>
              <w:spacing w:after="0" w:line="360" w:lineRule="auto"/>
              <w:ind w:left="0" w:leftChars="0" w:firstLine="480"/>
              <w:rPr>
                <w:sz w:val="24"/>
              </w:rPr>
            </w:pPr>
            <w:r>
              <w:rPr>
                <w:sz w:val="24"/>
              </w:rPr>
              <w:t>（5）应在监督区边界和建筑物进出口的醒目位置张贴电离辐射警告标志和警示语等提示信息。</w:t>
            </w:r>
          </w:p>
          <w:p w14:paraId="025AADEC">
            <w:pPr>
              <w:pStyle w:val="2"/>
              <w:spacing w:after="0" w:line="360" w:lineRule="auto"/>
              <w:ind w:left="0" w:leftChars="0" w:firstLine="482"/>
              <w:rPr>
                <w:b/>
                <w:sz w:val="24"/>
              </w:rPr>
            </w:pPr>
            <w:r>
              <w:rPr>
                <w:b/>
                <w:sz w:val="24"/>
              </w:rPr>
              <w:t>3、边界巡查与检测</w:t>
            </w:r>
          </w:p>
          <w:p w14:paraId="57CE9FA7">
            <w:pPr>
              <w:pStyle w:val="2"/>
              <w:spacing w:after="0" w:line="360" w:lineRule="auto"/>
              <w:ind w:left="0" w:leftChars="0" w:firstLine="480"/>
              <w:rPr>
                <w:sz w:val="24"/>
              </w:rPr>
            </w:pPr>
            <w:r>
              <w:rPr>
                <w:sz w:val="24"/>
              </w:rPr>
              <w:t>（1）开始移动式探伤之前，探伤工作人员应确保在控制区内没有任何其他人员，并防止有人进入控制区。</w:t>
            </w:r>
          </w:p>
          <w:p w14:paraId="3E4054B5">
            <w:pPr>
              <w:pStyle w:val="2"/>
              <w:spacing w:after="0" w:line="360" w:lineRule="auto"/>
              <w:ind w:left="0" w:leftChars="0" w:firstLine="480"/>
              <w:rPr>
                <w:sz w:val="24"/>
              </w:rPr>
            </w:pPr>
            <w:r>
              <w:rPr>
                <w:sz w:val="24"/>
              </w:rPr>
              <w:t>（2）控制区的范围应清晰可见，工作期间应有良好的照明，确保没有人员进入控制区。如果控制区太大或某些地方不能看到，应安排足够的人员进行巡查。</w:t>
            </w:r>
          </w:p>
          <w:p w14:paraId="3697EEB1">
            <w:pPr>
              <w:pStyle w:val="2"/>
              <w:spacing w:after="0" w:line="360" w:lineRule="auto"/>
              <w:ind w:left="0" w:leftChars="0" w:firstLine="480"/>
              <w:rPr>
                <w:sz w:val="24"/>
              </w:rPr>
            </w:pPr>
            <w:r>
              <w:rPr>
                <w:sz w:val="24"/>
              </w:rPr>
              <w:t>（3）在试运行（或第一次曝光）期间，应测量控制区边界的剂量率以证实边界设置正确。必要时应调整控制区的范围和边界。</w:t>
            </w:r>
          </w:p>
          <w:p w14:paraId="4F07E503">
            <w:pPr>
              <w:pStyle w:val="2"/>
              <w:spacing w:after="0" w:line="360" w:lineRule="auto"/>
              <w:ind w:left="0" w:leftChars="0" w:firstLine="480"/>
              <w:rPr>
                <w:sz w:val="24"/>
              </w:rPr>
            </w:pPr>
            <w:r>
              <w:rPr>
                <w:sz w:val="24"/>
              </w:rPr>
              <w:t>（4）开始移动式探伤工作之前，应对便携式X-γ剂量率仪进行检查，确认能正常工作。在移动式探伤工作期间，便携式X-γ剂量率仪应一直处于开机状态，防止射线曝光异常或不能正常终止。</w:t>
            </w:r>
          </w:p>
          <w:p w14:paraId="33B9444E">
            <w:pPr>
              <w:pStyle w:val="2"/>
              <w:spacing w:after="0" w:line="360" w:lineRule="auto"/>
              <w:ind w:left="0" w:leftChars="0" w:firstLine="480"/>
              <w:rPr>
                <w:sz w:val="24"/>
              </w:rPr>
            </w:pPr>
            <w:r>
              <w:rPr>
                <w:sz w:val="24"/>
              </w:rPr>
              <w:t>（5）移动式探伤期间，工作人员除进行常规个人监测外，还应佩戴个人剂量报警仪。个人剂量报警仪不能替代便携式X-γ剂量率仪，两者均应使用。</w:t>
            </w:r>
          </w:p>
          <w:p w14:paraId="3444EE33">
            <w:pPr>
              <w:spacing w:line="360" w:lineRule="auto"/>
              <w:rPr>
                <w:rFonts w:ascii="Times New Roman" w:hAnsi="Times New Roman"/>
                <w:b/>
                <w:sz w:val="24"/>
              </w:rPr>
            </w:pPr>
            <w:r>
              <w:rPr>
                <w:rFonts w:ascii="Times New Roman" w:hAnsi="Times New Roman"/>
                <w:b/>
                <w:sz w:val="24"/>
              </w:rPr>
              <w:t>三、</w:t>
            </w:r>
            <w:r>
              <w:rPr>
                <w:rFonts w:ascii="Times New Roman" w:hAnsi="Times New Roman" w:eastAsiaTheme="minorEastAsia"/>
                <w:b/>
                <w:sz w:val="24"/>
              </w:rPr>
              <w:t>辐射防护情况及设备固有安全性分析</w:t>
            </w:r>
          </w:p>
          <w:p w14:paraId="5372DF9C">
            <w:pPr>
              <w:pStyle w:val="2"/>
              <w:spacing w:after="0" w:line="360" w:lineRule="auto"/>
              <w:ind w:left="0" w:leftChars="0" w:firstLine="480"/>
              <w:rPr>
                <w:rFonts w:eastAsiaTheme="minorEastAsia"/>
                <w:sz w:val="24"/>
              </w:rPr>
            </w:pPr>
            <w:bookmarkStart w:id="35" w:name="OLE_LINK21"/>
            <w:bookmarkStart w:id="36" w:name="OLE_LINK24"/>
            <w:r>
              <w:rPr>
                <w:rFonts w:eastAsiaTheme="minorEastAsia"/>
                <w:sz w:val="24"/>
              </w:rPr>
              <w:t>1、X射线探伤机存放安全防护措施</w:t>
            </w:r>
          </w:p>
          <w:p w14:paraId="78F94FA4">
            <w:pPr>
              <w:pStyle w:val="2"/>
              <w:spacing w:after="0" w:line="360" w:lineRule="auto"/>
              <w:ind w:left="0" w:leftChars="0" w:firstLine="480"/>
              <w:rPr>
                <w:rFonts w:eastAsiaTheme="minorEastAsia"/>
                <w:sz w:val="24"/>
              </w:rPr>
            </w:pPr>
            <w:r>
              <w:rPr>
                <w:rFonts w:eastAsiaTheme="minorEastAsia"/>
                <w:sz w:val="24"/>
              </w:rPr>
              <w:t>本项目探伤机无探伤任务时存放于检验所设备室内，该设备室内安装监控摄像头，实施24小时监控，能够实时看到设备室内部情况，设备室安装防盗门，且在设备室内设置防盗柜，用于放置X射线探伤机，防盗柜设置双人双锁，钥匙由专人保管。</w:t>
            </w:r>
          </w:p>
          <w:p w14:paraId="0F713CF8">
            <w:pPr>
              <w:pStyle w:val="2"/>
              <w:spacing w:after="0" w:line="360" w:lineRule="auto"/>
              <w:ind w:left="0" w:leftChars="0" w:firstLine="480"/>
              <w:rPr>
                <w:rFonts w:eastAsiaTheme="minorEastAsia"/>
                <w:sz w:val="24"/>
              </w:rPr>
            </w:pPr>
            <w:r>
              <w:rPr>
                <w:rFonts w:eastAsiaTheme="minorEastAsia"/>
                <w:sz w:val="24"/>
              </w:rPr>
              <w:t>2、设备固有安全性分析</w:t>
            </w:r>
          </w:p>
          <w:p w14:paraId="063CA946">
            <w:pPr>
              <w:pStyle w:val="2"/>
              <w:spacing w:after="0" w:line="360" w:lineRule="auto"/>
              <w:ind w:left="0" w:leftChars="0" w:firstLine="480"/>
              <w:rPr>
                <w:rFonts w:eastAsiaTheme="minorEastAsia"/>
                <w:sz w:val="24"/>
              </w:rPr>
            </w:pPr>
            <w:r>
              <w:rPr>
                <w:rFonts w:eastAsiaTheme="minorEastAsia"/>
                <w:sz w:val="24"/>
              </w:rPr>
              <w:t>X射线探伤机只有在开机状态下才会产生X射线，关机状态下不会产生X射线。本项目探伤机在开机状态下的固有安全性如下：</w:t>
            </w:r>
          </w:p>
          <w:p w14:paraId="6036983A">
            <w:pPr>
              <w:pStyle w:val="2"/>
              <w:spacing w:after="0" w:line="360" w:lineRule="auto"/>
              <w:ind w:left="0" w:leftChars="0" w:firstLine="480"/>
              <w:rPr>
                <w:rFonts w:eastAsiaTheme="minorEastAsia"/>
                <w:sz w:val="24"/>
              </w:rPr>
            </w:pPr>
            <w:r>
              <w:rPr>
                <w:rFonts w:hint="eastAsia" w:ascii="宋体" w:hAnsi="宋体" w:cs="宋体"/>
                <w:sz w:val="24"/>
              </w:rPr>
              <w:t>①</w:t>
            </w:r>
            <w:r>
              <w:rPr>
                <w:rFonts w:eastAsiaTheme="minorEastAsia"/>
                <w:sz w:val="24"/>
              </w:rPr>
              <w:t>开机时系统自检：开机后控制器首先进行系统诊断测试，若诊断测试正常，会示意操作者可以进行曝光或训机操作。若诊断出故障，在显示器上显示出故障代码，提醒用户关闭电源，与厂家联系并维修。</w:t>
            </w:r>
          </w:p>
          <w:p w14:paraId="297AD2F2">
            <w:pPr>
              <w:pStyle w:val="2"/>
              <w:spacing w:after="0" w:line="360" w:lineRule="auto"/>
              <w:ind w:left="0" w:leftChars="0" w:firstLine="480"/>
              <w:rPr>
                <w:rFonts w:eastAsiaTheme="minorEastAsia"/>
                <w:sz w:val="24"/>
              </w:rPr>
            </w:pPr>
            <w:r>
              <w:rPr>
                <w:rFonts w:hint="eastAsia" w:ascii="宋体" w:hAnsi="宋体" w:cs="宋体"/>
                <w:sz w:val="24"/>
              </w:rPr>
              <w:t>②</w:t>
            </w:r>
            <w:r>
              <w:rPr>
                <w:rFonts w:eastAsiaTheme="minorEastAsia"/>
                <w:sz w:val="24"/>
              </w:rPr>
              <w:t>当X射线发生器接通高压产生X射线后，系统将始终实时监测X射线发生器的各种参数，当发生异常情况时，控制器自动切断X射线发生器的高压。在曝光阶段出现任何故障，控制器都将立即切断X射线发生器的高压，蜂鸣器会持续响，提醒操作人员发生了故障。</w:t>
            </w:r>
          </w:p>
          <w:p w14:paraId="67FB5AA3">
            <w:pPr>
              <w:pStyle w:val="2"/>
              <w:spacing w:after="0" w:line="360" w:lineRule="auto"/>
              <w:ind w:left="0" w:leftChars="0" w:firstLine="480"/>
              <w:rPr>
                <w:rFonts w:eastAsiaTheme="minorEastAsia"/>
                <w:sz w:val="24"/>
              </w:rPr>
            </w:pPr>
            <w:r>
              <w:rPr>
                <w:rFonts w:hint="eastAsia" w:ascii="宋体" w:hAnsi="宋体" w:cs="宋体"/>
                <w:sz w:val="24"/>
              </w:rPr>
              <w:t>③</w:t>
            </w:r>
            <w:r>
              <w:rPr>
                <w:rFonts w:eastAsiaTheme="minorEastAsia"/>
                <w:sz w:val="24"/>
              </w:rPr>
              <w:t>当曝光阶段正常结束后，系统将自动切断高压，进入休息阶段，在休息阶段将不理睬任何按键，所有指示灯均熄灭，停止探伤作业。</w:t>
            </w:r>
          </w:p>
          <w:p w14:paraId="30D11F6B">
            <w:pPr>
              <w:pStyle w:val="2"/>
              <w:spacing w:after="0" w:line="360" w:lineRule="auto"/>
              <w:ind w:left="0" w:leftChars="0" w:firstLine="480"/>
              <w:rPr>
                <w:rFonts w:eastAsiaTheme="minorEastAsia"/>
                <w:sz w:val="24"/>
              </w:rPr>
            </w:pPr>
            <w:r>
              <w:rPr>
                <w:rFonts w:hint="eastAsia" w:ascii="宋体" w:hAnsi="宋体" w:cs="宋体"/>
                <w:sz w:val="24"/>
              </w:rPr>
              <w:t>④</w:t>
            </w:r>
            <w:r>
              <w:rPr>
                <w:rFonts w:eastAsiaTheme="minorEastAsia"/>
                <w:sz w:val="24"/>
              </w:rPr>
              <w:t>设备停止工作一定时数以上，再使用时要进行训机操作后才可使用，避免X射线发生器损坏。</w:t>
            </w:r>
          </w:p>
          <w:p w14:paraId="61AF1D8B">
            <w:pPr>
              <w:pStyle w:val="2"/>
              <w:spacing w:after="0" w:line="360" w:lineRule="auto"/>
              <w:ind w:left="0" w:leftChars="0" w:firstLine="480"/>
              <w:rPr>
                <w:rFonts w:eastAsiaTheme="minorEastAsia"/>
                <w:sz w:val="24"/>
              </w:rPr>
            </w:pPr>
            <w:r>
              <w:rPr>
                <w:rFonts w:hint="eastAsia" w:ascii="宋体" w:hAnsi="宋体" w:cs="宋体"/>
                <w:sz w:val="24"/>
              </w:rPr>
              <w:t>⑤</w:t>
            </w:r>
            <w:r>
              <w:rPr>
                <w:rFonts w:eastAsiaTheme="minorEastAsia"/>
                <w:sz w:val="24"/>
              </w:rPr>
              <w:t>过失电流保护：设备带有过电流保护继电器，当管电流超过额定值或高压对地放电时，设备会自动切断高压；当管电压低于相关限值时，自动切断高压。</w:t>
            </w:r>
          </w:p>
          <w:p w14:paraId="160D36E3">
            <w:pPr>
              <w:pStyle w:val="2"/>
              <w:spacing w:after="0" w:line="360" w:lineRule="auto"/>
              <w:ind w:left="0" w:leftChars="0" w:firstLine="480"/>
              <w:rPr>
                <w:rFonts w:eastAsiaTheme="minorEastAsia"/>
                <w:sz w:val="24"/>
              </w:rPr>
            </w:pPr>
            <w:r>
              <w:rPr>
                <w:rFonts w:hint="eastAsia" w:ascii="宋体" w:hAnsi="宋体" w:cs="宋体"/>
                <w:sz w:val="24"/>
              </w:rPr>
              <w:t>⑥</w:t>
            </w:r>
            <w:r>
              <w:rPr>
                <w:rFonts w:eastAsiaTheme="minorEastAsia"/>
                <w:sz w:val="24"/>
              </w:rPr>
              <w:t>过电压保护：设备带有过电压保护继电器，当高压超过额定值时，自动切断高压。</w:t>
            </w:r>
          </w:p>
          <w:p w14:paraId="13FF70B1">
            <w:pPr>
              <w:pStyle w:val="2"/>
              <w:spacing w:after="0" w:line="360" w:lineRule="auto"/>
              <w:ind w:left="0" w:leftChars="0" w:firstLine="480"/>
              <w:rPr>
                <w:rFonts w:eastAsiaTheme="minorEastAsia"/>
                <w:sz w:val="24"/>
              </w:rPr>
            </w:pPr>
            <w:r>
              <w:rPr>
                <w:rFonts w:eastAsiaTheme="minorEastAsia"/>
                <w:sz w:val="24"/>
              </w:rPr>
              <w:t>3、野外（室外）探伤安全防护措施</w:t>
            </w:r>
          </w:p>
          <w:p w14:paraId="4993020E">
            <w:pPr>
              <w:pStyle w:val="2"/>
              <w:spacing w:after="0" w:line="360" w:lineRule="auto"/>
              <w:ind w:left="0" w:leftChars="0" w:firstLine="480"/>
              <w:rPr>
                <w:rFonts w:eastAsiaTheme="minorEastAsia"/>
                <w:sz w:val="24"/>
              </w:rPr>
            </w:pPr>
            <w:r>
              <w:rPr>
                <w:rFonts w:eastAsiaTheme="minorEastAsia"/>
                <w:sz w:val="24"/>
              </w:rPr>
              <w:t>Х射线基本防护原则是远离Х射线并加以必要的屏蔽。对外照射的防护方法有源项控制法、距离防护法和屏蔽防护法。其中野外（室外）探伤主要采用距离防护。</w:t>
            </w:r>
          </w:p>
          <w:p w14:paraId="27C29F11">
            <w:pPr>
              <w:pStyle w:val="2"/>
              <w:spacing w:after="0" w:line="360" w:lineRule="auto"/>
              <w:ind w:left="0" w:leftChars="0" w:firstLine="480"/>
              <w:rPr>
                <w:rFonts w:eastAsiaTheme="minorEastAsia"/>
                <w:sz w:val="24"/>
              </w:rPr>
            </w:pPr>
            <w:r>
              <w:rPr>
                <w:rFonts w:eastAsiaTheme="minorEastAsia"/>
                <w:sz w:val="24"/>
              </w:rPr>
              <w:t>（1）源项控制</w:t>
            </w:r>
          </w:p>
          <w:p w14:paraId="705D09B1">
            <w:pPr>
              <w:pStyle w:val="2"/>
              <w:spacing w:after="0" w:line="360" w:lineRule="auto"/>
              <w:ind w:left="0" w:leftChars="0" w:firstLine="480"/>
              <w:rPr>
                <w:rFonts w:eastAsiaTheme="minorEastAsia"/>
                <w:sz w:val="24"/>
              </w:rPr>
            </w:pPr>
            <w:r>
              <w:rPr>
                <w:rFonts w:eastAsiaTheme="minorEastAsia"/>
                <w:sz w:val="24"/>
              </w:rPr>
              <w:t>本项目购置的探伤机，均由有资质的厂家生产，自身有良好的防护设施，使其产生的X射线泄漏量不超过相应的标准，并使X射线装置发射的线束宽度尽量减小，此外，针对不同厚度的材料探伤工件，建设单位将设置不同的曝光工况和曝光时间，以减少不必要线束的照射。</w:t>
            </w:r>
          </w:p>
          <w:p w14:paraId="3C49C62F">
            <w:pPr>
              <w:pStyle w:val="2"/>
              <w:spacing w:after="0" w:line="360" w:lineRule="auto"/>
              <w:ind w:left="0" w:leftChars="0" w:firstLine="480"/>
              <w:rPr>
                <w:rFonts w:eastAsiaTheme="minorEastAsia"/>
                <w:sz w:val="24"/>
              </w:rPr>
            </w:pPr>
            <w:r>
              <w:rPr>
                <w:rFonts w:eastAsiaTheme="minorEastAsia"/>
                <w:sz w:val="24"/>
              </w:rPr>
              <w:t>（2）距离防护</w:t>
            </w:r>
          </w:p>
          <w:p w14:paraId="7544CEB7">
            <w:pPr>
              <w:pStyle w:val="2"/>
              <w:spacing w:after="0" w:line="360" w:lineRule="auto"/>
              <w:ind w:left="0" w:leftChars="0" w:firstLine="480"/>
              <w:rPr>
                <w:rFonts w:eastAsiaTheme="minorEastAsia"/>
                <w:sz w:val="24"/>
              </w:rPr>
            </w:pPr>
            <w:r>
              <w:rPr>
                <w:rFonts w:eastAsiaTheme="minorEastAsia"/>
                <w:sz w:val="24"/>
              </w:rPr>
              <w:t>由于野外（室外）探伤的特殊性质，不可能人为做到实体防护，只能通过控制距离作为野外（室外）探伤的主要防护手段，扩大辐射源与受照射人员的距离，以有效降低人员的受照剂量。</w:t>
            </w:r>
          </w:p>
          <w:p w14:paraId="6BBB33EB">
            <w:pPr>
              <w:pStyle w:val="2"/>
              <w:spacing w:after="0" w:line="360" w:lineRule="auto"/>
              <w:ind w:left="0" w:leftChars="0" w:firstLine="480"/>
              <w:rPr>
                <w:rFonts w:eastAsiaTheme="minorEastAsia"/>
                <w:sz w:val="24"/>
              </w:rPr>
            </w:pPr>
            <w:r>
              <w:rPr>
                <w:rFonts w:eastAsiaTheme="minorEastAsia"/>
                <w:sz w:val="24"/>
              </w:rPr>
              <w:t>根据《电离辐射防护与辐射源安全基本标准》（GB 18871-2002）第6.4条要求，辐射工作场所应分为控制区和监督区，以便于辐射防护管理和职业照射控制。依据《工业探伤放射防护标准》（GBZ 117-2022）的规定，控制区边界外X射线空气比释动能率应大于15μGy/h；监督区位于控制区外，其边界剂量率应不大于2.5μGy/h。</w:t>
            </w:r>
          </w:p>
          <w:p w14:paraId="07C3BEE0">
            <w:pPr>
              <w:pStyle w:val="2"/>
              <w:spacing w:after="0" w:line="360" w:lineRule="auto"/>
              <w:ind w:left="0" w:leftChars="0" w:firstLine="480"/>
              <w:rPr>
                <w:rFonts w:eastAsiaTheme="minorEastAsia"/>
                <w:sz w:val="24"/>
              </w:rPr>
            </w:pPr>
            <w:r>
              <w:rPr>
                <w:rFonts w:eastAsiaTheme="minorEastAsia"/>
                <w:sz w:val="24"/>
              </w:rPr>
              <w:t>（3）时间防护</w:t>
            </w:r>
          </w:p>
          <w:p w14:paraId="7B7E5EA1">
            <w:pPr>
              <w:pStyle w:val="2"/>
              <w:spacing w:after="0" w:line="360" w:lineRule="auto"/>
              <w:ind w:left="0" w:leftChars="0" w:firstLine="480"/>
              <w:rPr>
                <w:rFonts w:eastAsiaTheme="minorEastAsia"/>
                <w:sz w:val="24"/>
              </w:rPr>
            </w:pPr>
            <w:r>
              <w:rPr>
                <w:rFonts w:eastAsiaTheme="minorEastAsia"/>
                <w:sz w:val="24"/>
              </w:rPr>
              <w:t>在满足生产要求的前提下，在每次使用探伤机进行探伤前，根据生产要求和工件实际情况制定最优化的探伤方案，选择合理可行尽量低的射线照射参数，以及尽量短的曝光时间，减少工作人员和相关公众的受照射时间。如果工程区域周围有人群等敏感目标，作业时间尽量避开公众活动的高峰时段。</w:t>
            </w:r>
          </w:p>
          <w:p w14:paraId="3A013CBA">
            <w:pPr>
              <w:pStyle w:val="2"/>
              <w:spacing w:after="0" w:line="360" w:lineRule="auto"/>
              <w:ind w:left="0" w:leftChars="0" w:firstLine="480"/>
              <w:rPr>
                <w:rFonts w:eastAsiaTheme="minorEastAsia"/>
                <w:sz w:val="24"/>
              </w:rPr>
            </w:pPr>
            <w:r>
              <w:rPr>
                <w:rFonts w:eastAsiaTheme="minorEastAsia"/>
                <w:sz w:val="24"/>
              </w:rPr>
              <w:t>（4）实体防护</w:t>
            </w:r>
          </w:p>
          <w:p w14:paraId="5C837752">
            <w:pPr>
              <w:pStyle w:val="2"/>
              <w:spacing w:after="0" w:line="360" w:lineRule="auto"/>
              <w:ind w:left="0" w:leftChars="0" w:firstLine="480"/>
              <w:rPr>
                <w:rFonts w:eastAsiaTheme="minorEastAsia"/>
                <w:sz w:val="24"/>
              </w:rPr>
            </w:pPr>
            <w:r>
              <w:rPr>
                <w:rFonts w:eastAsiaTheme="minorEastAsia"/>
                <w:sz w:val="24"/>
              </w:rPr>
              <w:t>因地制宜利用探伤具体地点地形特征及周围设施防护，如墙体、拐角、坑体等有利地形。此外，探伤机作业时，根据需要在不同方向设置屏蔽不同铅当量的铅屏风。</w:t>
            </w:r>
          </w:p>
          <w:p w14:paraId="3A857721">
            <w:pPr>
              <w:pStyle w:val="2"/>
              <w:spacing w:after="0" w:line="360" w:lineRule="auto"/>
              <w:ind w:left="0" w:leftChars="0" w:firstLine="480"/>
              <w:rPr>
                <w:rFonts w:eastAsiaTheme="minorEastAsia"/>
                <w:sz w:val="24"/>
              </w:rPr>
            </w:pPr>
            <w:r>
              <w:rPr>
                <w:rFonts w:eastAsiaTheme="minorEastAsia"/>
                <w:sz w:val="24"/>
              </w:rPr>
              <w:t>（5）其它管控措施</w:t>
            </w:r>
          </w:p>
          <w:p w14:paraId="2D380DDF">
            <w:pPr>
              <w:pStyle w:val="2"/>
              <w:spacing w:after="0" w:line="360" w:lineRule="auto"/>
              <w:ind w:left="0" w:leftChars="0" w:firstLine="480"/>
              <w:rPr>
                <w:rFonts w:eastAsiaTheme="minorEastAsia"/>
                <w:sz w:val="24"/>
              </w:rPr>
            </w:pPr>
            <w:r>
              <w:rPr>
                <w:rFonts w:eastAsiaTheme="minorEastAsia"/>
                <w:sz w:val="24"/>
              </w:rPr>
              <w:t>根据《工业探伤放射防护标准》（GBZ 117-2022）和</w:t>
            </w:r>
            <w:r>
              <w:rPr>
                <w:sz w:val="24"/>
              </w:rPr>
              <w:t>《河北省辐射污染防治条例》（2020年7月30日修改）</w:t>
            </w:r>
            <w:r>
              <w:rPr>
                <w:rFonts w:eastAsiaTheme="minorEastAsia"/>
                <w:sz w:val="24"/>
              </w:rPr>
              <w:t>，进行野外（室外）探伤时主要采取以下措施进行辐射安全防护：</w:t>
            </w:r>
          </w:p>
          <w:p w14:paraId="5A78F888">
            <w:pPr>
              <w:pStyle w:val="2"/>
              <w:spacing w:after="0" w:line="360" w:lineRule="auto"/>
              <w:ind w:left="0" w:leftChars="0" w:firstLine="480"/>
              <w:rPr>
                <w:rFonts w:eastAsiaTheme="minorEastAsia"/>
                <w:sz w:val="24"/>
              </w:rPr>
            </w:pPr>
            <w:r>
              <w:rPr>
                <w:rFonts w:hint="eastAsia" w:ascii="宋体" w:hAnsi="宋体" w:cs="宋体"/>
                <w:sz w:val="24"/>
              </w:rPr>
              <w:t>①</w:t>
            </w:r>
            <w:r>
              <w:rPr>
                <w:rFonts w:eastAsiaTheme="minorEastAsia"/>
                <w:sz w:val="24"/>
              </w:rPr>
              <w:t>制定野外（室外）探伤工作方案</w:t>
            </w:r>
          </w:p>
          <w:p w14:paraId="6DE34F0C">
            <w:pPr>
              <w:pStyle w:val="2"/>
              <w:spacing w:after="0" w:line="360" w:lineRule="auto"/>
              <w:ind w:left="0" w:leftChars="0" w:firstLine="480"/>
              <w:rPr>
                <w:rFonts w:eastAsiaTheme="minorEastAsia"/>
                <w:sz w:val="24"/>
              </w:rPr>
            </w:pPr>
            <w:r>
              <w:rPr>
                <w:rFonts w:eastAsiaTheme="minorEastAsia"/>
                <w:sz w:val="24"/>
              </w:rPr>
              <w:t>接受现场探伤任务后，在野外（室外）探伤作业前，按项目应制定现场探伤工作方案，该工作方案主要包括探伤工况、时间、地点、控制区范围、监测方案、清场方式等，明确探伤人员、防护人员、运输人员、保卫人员的职责和分工。工作期间做好相关记录，与方案一同存档备查。具体内容包括：</w:t>
            </w:r>
          </w:p>
          <w:p w14:paraId="445C70CD">
            <w:pPr>
              <w:pStyle w:val="2"/>
              <w:spacing w:after="0" w:line="360" w:lineRule="auto"/>
              <w:ind w:left="0" w:leftChars="0" w:firstLine="480"/>
              <w:rPr>
                <w:rFonts w:eastAsiaTheme="minorEastAsia"/>
                <w:sz w:val="24"/>
              </w:rPr>
            </w:pPr>
            <w:r>
              <w:rPr>
                <w:rFonts w:eastAsiaTheme="minorEastAsia"/>
                <w:sz w:val="24"/>
              </w:rPr>
              <w:t>a.明确探伤工况：使用的探伤设备、探伤对象、时间安排（开始和结束时间节点）、探伤场所位置。</w:t>
            </w:r>
          </w:p>
          <w:p w14:paraId="2960429D">
            <w:pPr>
              <w:pStyle w:val="2"/>
              <w:spacing w:after="0" w:line="360" w:lineRule="auto"/>
              <w:ind w:left="0" w:leftChars="0" w:firstLine="480"/>
              <w:rPr>
                <w:rFonts w:eastAsiaTheme="minorEastAsia"/>
                <w:sz w:val="24"/>
              </w:rPr>
            </w:pPr>
            <w:r>
              <w:rPr>
                <w:rFonts w:eastAsiaTheme="minorEastAsia"/>
                <w:sz w:val="24"/>
              </w:rPr>
              <w:t>b.根据探伤工况等划定安全防护区域（控制区和监督区）范围，明确对控制区、监督区采取的警戒、安全措施。并通过影像资料记录现场各类辐射安全措施的履行情况。</w:t>
            </w:r>
          </w:p>
          <w:p w14:paraId="6CE84837">
            <w:pPr>
              <w:pStyle w:val="2"/>
              <w:spacing w:after="0" w:line="360" w:lineRule="auto"/>
              <w:ind w:left="0" w:leftChars="0" w:firstLine="480"/>
              <w:rPr>
                <w:rFonts w:eastAsiaTheme="minorEastAsia"/>
                <w:sz w:val="24"/>
              </w:rPr>
            </w:pPr>
            <w:r>
              <w:rPr>
                <w:rFonts w:eastAsiaTheme="minorEastAsia"/>
                <w:sz w:val="24"/>
              </w:rPr>
              <w:t>c.确定监测方案：根据每次探伤的具体工况明确监测点位、监测设备、监测指标及频次，预先制定监测结果记录表格。监测点位至少应考虑控制区边界、监督区边界以及探伤操作人员位置等，应在探伤操作前测一次，操作期间测一次。</w:t>
            </w:r>
          </w:p>
          <w:p w14:paraId="26275540">
            <w:pPr>
              <w:pStyle w:val="2"/>
              <w:spacing w:after="0" w:line="360" w:lineRule="auto"/>
              <w:ind w:left="0" w:leftChars="0" w:firstLine="480"/>
              <w:rPr>
                <w:rFonts w:eastAsiaTheme="minorEastAsia"/>
                <w:sz w:val="24"/>
              </w:rPr>
            </w:pPr>
            <w:r>
              <w:rPr>
                <w:rFonts w:eastAsiaTheme="minorEastAsia"/>
                <w:sz w:val="24"/>
              </w:rPr>
              <w:t>d.明确清场方式：如预先公告、开始前广播、安排专人检查等，确保在探伤操作期间，在划定的监督区范围内无公众，控制区内不应有任何人员。</w:t>
            </w:r>
          </w:p>
          <w:p w14:paraId="4DFE480C">
            <w:pPr>
              <w:pStyle w:val="2"/>
              <w:spacing w:after="0" w:line="360" w:lineRule="auto"/>
              <w:ind w:left="0" w:leftChars="0" w:firstLine="480"/>
              <w:rPr>
                <w:rFonts w:eastAsiaTheme="minorEastAsia"/>
                <w:sz w:val="24"/>
              </w:rPr>
            </w:pPr>
            <w:r>
              <w:rPr>
                <w:rFonts w:eastAsiaTheme="minorEastAsia"/>
                <w:sz w:val="24"/>
              </w:rPr>
              <w:t>e.明确职责和分工：明确工作人员的分工计划，如探伤操作人员名单及其职责等。警戒人员主要负责控制区和监督区的划定与控制，场所限制区域的人员管理，场所辐射剂量水平监测以及警戒等安全相关工作。</w:t>
            </w:r>
          </w:p>
          <w:p w14:paraId="2F1EDF5C">
            <w:pPr>
              <w:pStyle w:val="2"/>
              <w:spacing w:after="0" w:line="360" w:lineRule="auto"/>
              <w:ind w:left="0" w:leftChars="0" w:firstLine="480"/>
              <w:rPr>
                <w:rFonts w:eastAsiaTheme="minorEastAsia"/>
                <w:sz w:val="24"/>
              </w:rPr>
            </w:pPr>
            <w:r>
              <w:rPr>
                <w:rFonts w:eastAsiaTheme="minorEastAsia"/>
                <w:sz w:val="24"/>
              </w:rPr>
              <w:t>f、实施异地野外（室外）探伤作业备案制度，在河北省内跨市（州）异地开展工业 X 射线野外（室外）探伤时，项目单位应当于射线装置转移前5个工作日，持有效的辐射安全许可证正本、副本复印件，向转入地市（州）生态环境主管部门提交使用计划和作业方案（以下简称报备方案）。报备方案内容包括：Ⅰ.作业所涉项目名称，时间和详细地点，作业工期，作业活动内容。Ⅱ.使用射线装置的名称、型号、类别、数量。射线装置暂存及安保和辐射防护措施。配备监测设备名称、型号数量等。Ⅲ.辐射安全负责人姓名、联系电话和职务，操作人员名单及其辐射安全与防护培训合格证书复印件。Ⅳ.单位制定的辐射安全与防护相关规章、制度。作业活动操作规程、人员岗位职责、辐射应急方案（包括项目所在地生态环境部门、公安部门、卫生部门联系方式）等。在河北省省外开展探伤工作时的报备方案及相关管理制度参照当地主管部门的要求执行。</w:t>
            </w:r>
          </w:p>
          <w:p w14:paraId="4E6B8E95">
            <w:pPr>
              <w:pStyle w:val="2"/>
              <w:spacing w:after="0" w:line="360" w:lineRule="auto"/>
              <w:ind w:left="0" w:leftChars="0" w:firstLine="480"/>
              <w:rPr>
                <w:rFonts w:eastAsiaTheme="minorEastAsia"/>
                <w:sz w:val="24"/>
              </w:rPr>
            </w:pPr>
            <w:r>
              <w:rPr>
                <w:rFonts w:eastAsiaTheme="minorEastAsia"/>
                <w:sz w:val="24"/>
              </w:rPr>
              <w:t>g.在活动结束后10个工作日内，应当向转入地市（州）生态环境主管部门办理备案注销手续和提交辐射安全评估报告。辐射安全评估报告内容主要包括：作业活动执行情况；作业期间对各项辐射安全防护措施及管理要求的履行情况；报备方案（包括人员、射线装置数量等）是否变更及其说明；环保部门检查要求落实情况；异常情况说明；现场辐射环境监测情况；明确是否存在违规操作，是否造成环境污染。</w:t>
            </w:r>
          </w:p>
          <w:p w14:paraId="0F49D2E2">
            <w:pPr>
              <w:pStyle w:val="2"/>
              <w:spacing w:after="0" w:line="360" w:lineRule="auto"/>
              <w:ind w:left="0" w:leftChars="0" w:firstLine="480"/>
              <w:rPr>
                <w:rFonts w:eastAsiaTheme="minorEastAsia"/>
                <w:sz w:val="24"/>
              </w:rPr>
            </w:pPr>
            <w:r>
              <w:rPr>
                <w:rFonts w:hint="eastAsia" w:ascii="宋体" w:hAnsi="宋体" w:cs="宋体"/>
                <w:sz w:val="24"/>
              </w:rPr>
              <w:t>②</w:t>
            </w:r>
            <w:r>
              <w:rPr>
                <w:rFonts w:eastAsiaTheme="minorEastAsia"/>
                <w:sz w:val="24"/>
              </w:rPr>
              <w:t>探伤作业前进行公示</w:t>
            </w:r>
          </w:p>
          <w:p w14:paraId="1E2BD908">
            <w:pPr>
              <w:pStyle w:val="2"/>
              <w:spacing w:after="0" w:line="360" w:lineRule="auto"/>
              <w:ind w:left="0" w:leftChars="0" w:firstLine="480"/>
              <w:rPr>
                <w:rFonts w:eastAsiaTheme="minorEastAsia"/>
                <w:sz w:val="24"/>
              </w:rPr>
            </w:pPr>
            <w:r>
              <w:rPr>
                <w:rFonts w:eastAsiaTheme="minorEastAsia"/>
                <w:sz w:val="24"/>
              </w:rPr>
              <w:t>在探伤作业前，应在作业现场边界外公众可达地点放置安全信息公告牌。公告牌中应包括辐射安全许可证，单位法人，辐射安全负责人，操作人员和现场安全员的姓名、照片和资质证书，探伤作业性质、时间、地点、控制范围，当地环保部门监督举报电话等内容。安全信息公告牌面积应不小于2m</w:t>
            </w:r>
            <w:r>
              <w:rPr>
                <w:rFonts w:eastAsiaTheme="minorEastAsia"/>
                <w:sz w:val="24"/>
                <w:vertAlign w:val="superscript"/>
              </w:rPr>
              <w:t>2</w:t>
            </w:r>
            <w:r>
              <w:rPr>
                <w:rFonts w:eastAsiaTheme="minorEastAsia"/>
                <w:sz w:val="24"/>
              </w:rPr>
              <w:t>，公告信息应采取喷绘（印刷）的方式制作，应具备防水、防风等抵御外界影响的能力，确保信息的清晰辨识。公告信息如发生变化应重新制作，禁止对安全信息公告牌进行涂改、污损。</w:t>
            </w:r>
          </w:p>
          <w:p w14:paraId="1331D2D6">
            <w:pPr>
              <w:pStyle w:val="2"/>
              <w:spacing w:after="0" w:line="360" w:lineRule="auto"/>
              <w:ind w:left="0" w:leftChars="0" w:firstLine="480"/>
              <w:rPr>
                <w:rFonts w:eastAsiaTheme="minorEastAsia"/>
                <w:sz w:val="24"/>
              </w:rPr>
            </w:pPr>
            <w:r>
              <w:rPr>
                <w:rFonts w:hint="eastAsia" w:ascii="宋体" w:hAnsi="宋体" w:cs="宋体"/>
                <w:sz w:val="24"/>
              </w:rPr>
              <w:t>③</w:t>
            </w:r>
            <w:r>
              <w:rPr>
                <w:rFonts w:eastAsiaTheme="minorEastAsia"/>
                <w:sz w:val="24"/>
              </w:rPr>
              <w:t>内部管理机构和规章制度</w:t>
            </w:r>
          </w:p>
          <w:p w14:paraId="797227CB">
            <w:pPr>
              <w:pStyle w:val="2"/>
              <w:spacing w:after="0" w:line="360" w:lineRule="auto"/>
              <w:ind w:left="0" w:leftChars="0" w:firstLine="480"/>
              <w:rPr>
                <w:rFonts w:eastAsiaTheme="minorEastAsia"/>
                <w:sz w:val="24"/>
              </w:rPr>
            </w:pPr>
            <w:r>
              <w:rPr>
                <w:rFonts w:eastAsiaTheme="minorEastAsia"/>
                <w:sz w:val="24"/>
              </w:rPr>
              <w:t>本项目野外（室外）探伤作业辐射环境安全内部管理机构和规章制度，逐级落实野外（室外）探伤作业的辐射安全责任制。要制定有针对性的辐射事故应急预案，并明确项目所在地生态环境主管部门、公安部门、卫生部门联系方式。每次野外（室外）探伤作业完成后，要按照“一事一档”的要求建立辐射安全与防护档案，需要归档的材料应包括以下内容：</w:t>
            </w:r>
          </w:p>
          <w:p w14:paraId="2B6D7E99">
            <w:pPr>
              <w:pStyle w:val="2"/>
              <w:spacing w:after="0" w:line="360" w:lineRule="auto"/>
              <w:ind w:left="0" w:leftChars="0" w:firstLine="480"/>
              <w:rPr>
                <w:rFonts w:eastAsiaTheme="minorEastAsia"/>
                <w:sz w:val="24"/>
              </w:rPr>
            </w:pPr>
            <w:r>
              <w:rPr>
                <w:rFonts w:eastAsiaTheme="minorEastAsia"/>
                <w:sz w:val="24"/>
              </w:rPr>
              <w:t>a作业活动开始前报备方案、作业活动结束后的辐射安全评估报告；</w:t>
            </w:r>
          </w:p>
          <w:p w14:paraId="229E8422">
            <w:pPr>
              <w:pStyle w:val="2"/>
              <w:spacing w:after="0" w:line="360" w:lineRule="auto"/>
              <w:ind w:left="0" w:leftChars="0" w:firstLine="480"/>
              <w:rPr>
                <w:rFonts w:eastAsiaTheme="minorEastAsia"/>
                <w:sz w:val="24"/>
              </w:rPr>
            </w:pPr>
            <w:r>
              <w:rPr>
                <w:rFonts w:eastAsiaTheme="minorEastAsia"/>
                <w:sz w:val="24"/>
              </w:rPr>
              <w:t>b环保部门现场检查记录及整改要求落实情况；</w:t>
            </w:r>
          </w:p>
          <w:p w14:paraId="363FC9F2">
            <w:pPr>
              <w:pStyle w:val="2"/>
              <w:spacing w:after="0" w:line="360" w:lineRule="auto"/>
              <w:ind w:left="0" w:leftChars="0" w:firstLine="480"/>
              <w:rPr>
                <w:rFonts w:eastAsiaTheme="minorEastAsia"/>
                <w:sz w:val="24"/>
              </w:rPr>
            </w:pPr>
            <w:r>
              <w:rPr>
                <w:rFonts w:eastAsiaTheme="minorEastAsia"/>
                <w:sz w:val="24"/>
              </w:rPr>
              <w:t>c作业活动期间的相关记录和日志：包括现场公示、射线装置的领用记录、</w:t>
            </w:r>
          </w:p>
          <w:p w14:paraId="4833083A">
            <w:pPr>
              <w:pStyle w:val="2"/>
              <w:spacing w:after="0" w:line="360" w:lineRule="auto"/>
              <w:ind w:left="0" w:leftChars="0" w:firstLine="480"/>
              <w:rPr>
                <w:rFonts w:eastAsiaTheme="minorEastAsia"/>
                <w:sz w:val="24"/>
              </w:rPr>
            </w:pPr>
            <w:r>
              <w:rPr>
                <w:rFonts w:eastAsiaTheme="minorEastAsia"/>
                <w:sz w:val="24"/>
              </w:rPr>
              <w:t>设备检查记录及帐务复核记录，每次作业的时间、地点、操作人员、每次作业清</w:t>
            </w:r>
          </w:p>
          <w:p w14:paraId="68CF8590">
            <w:pPr>
              <w:pStyle w:val="2"/>
              <w:spacing w:after="0" w:line="360" w:lineRule="auto"/>
              <w:ind w:left="0" w:leftChars="0" w:firstLine="480"/>
              <w:rPr>
                <w:rFonts w:eastAsiaTheme="minorEastAsia"/>
                <w:sz w:val="24"/>
              </w:rPr>
            </w:pPr>
            <w:r>
              <w:rPr>
                <w:rFonts w:eastAsiaTheme="minorEastAsia"/>
                <w:sz w:val="24"/>
              </w:rPr>
              <w:t>场、两区划分记录（采取影像资料和文字形式），对工作场所和周围环境监测记</w:t>
            </w:r>
          </w:p>
          <w:p w14:paraId="7C43E61C">
            <w:pPr>
              <w:pStyle w:val="2"/>
              <w:spacing w:after="0" w:line="360" w:lineRule="auto"/>
              <w:ind w:left="0" w:leftChars="0" w:firstLine="480"/>
              <w:rPr>
                <w:rFonts w:eastAsiaTheme="minorEastAsia"/>
                <w:sz w:val="24"/>
              </w:rPr>
            </w:pPr>
            <w:r>
              <w:rPr>
                <w:rFonts w:eastAsiaTheme="minorEastAsia"/>
                <w:sz w:val="24"/>
              </w:rPr>
              <w:t>录；</w:t>
            </w:r>
          </w:p>
          <w:p w14:paraId="53DFC997">
            <w:pPr>
              <w:pStyle w:val="2"/>
              <w:spacing w:after="0" w:line="360" w:lineRule="auto"/>
              <w:ind w:left="0" w:leftChars="0" w:firstLine="480"/>
              <w:rPr>
                <w:rFonts w:eastAsiaTheme="minorEastAsia"/>
                <w:sz w:val="24"/>
              </w:rPr>
            </w:pPr>
            <w:r>
              <w:rPr>
                <w:rFonts w:eastAsiaTheme="minorEastAsia"/>
                <w:sz w:val="24"/>
              </w:rPr>
              <w:t>d作业活动期间异常情况的说明，以及需要记录的其它有关情况。</w:t>
            </w:r>
          </w:p>
          <w:p w14:paraId="4B4584CA">
            <w:pPr>
              <w:pStyle w:val="2"/>
              <w:spacing w:after="0" w:line="360" w:lineRule="auto"/>
              <w:ind w:left="0" w:leftChars="0" w:firstLine="480"/>
              <w:rPr>
                <w:rFonts w:eastAsiaTheme="minorEastAsia"/>
                <w:sz w:val="24"/>
              </w:rPr>
            </w:pPr>
            <w:r>
              <w:rPr>
                <w:rFonts w:hint="eastAsia" w:ascii="宋体" w:hAnsi="宋体" w:cs="宋体"/>
                <w:sz w:val="24"/>
              </w:rPr>
              <w:t>④</w:t>
            </w:r>
            <w:r>
              <w:rPr>
                <w:rFonts w:eastAsiaTheme="minorEastAsia"/>
                <w:sz w:val="24"/>
              </w:rPr>
              <w:t>探伤分组及个人防护</w:t>
            </w:r>
          </w:p>
          <w:p w14:paraId="4504188B">
            <w:pPr>
              <w:pStyle w:val="2"/>
              <w:spacing w:after="0" w:line="360" w:lineRule="auto"/>
              <w:ind w:left="0" w:leftChars="0" w:firstLine="480"/>
              <w:rPr>
                <w:rFonts w:eastAsiaTheme="minorEastAsia"/>
                <w:sz w:val="24"/>
              </w:rPr>
            </w:pPr>
            <w:r>
              <w:rPr>
                <w:rFonts w:eastAsiaTheme="minorEastAsia"/>
                <w:sz w:val="24"/>
              </w:rPr>
              <w:t>建设单位的在探伤作业前开展制定探伤工作方案、张贴探伤作业公告、划定控制区和监督区、清场、个人防护等准备工作。保证作业组开展作业时有1台便携式X辐射剂量监测仪、若干警示标志、警戒绳。同时，还要为每名操作人员配备一套个人剂量计，个人剂量计应编号并定人佩戴，定期送交有资质的检测部门进行测量，并建立个人剂量档案。</w:t>
            </w:r>
          </w:p>
          <w:p w14:paraId="492E5A32">
            <w:pPr>
              <w:pStyle w:val="2"/>
              <w:ind w:left="0" w:leftChars="0" w:firstLine="480"/>
              <w:rPr>
                <w:sz w:val="24"/>
              </w:rPr>
            </w:pPr>
            <w:r>
              <w:rPr>
                <w:sz w:val="24"/>
              </w:rPr>
              <w:t>电离辐射警告标志如图10-4所示。</w:t>
            </w:r>
          </w:p>
          <w:p w14:paraId="124717DE">
            <w:pPr>
              <w:pStyle w:val="2"/>
              <w:spacing w:after="0"/>
              <w:ind w:left="0" w:leftChars="0" w:firstLine="0" w:firstLineChars="0"/>
              <w:jc w:val="center"/>
              <w:rPr>
                <w:sz w:val="24"/>
              </w:rPr>
            </w:pPr>
            <w:r>
              <w:drawing>
                <wp:inline distT="0" distB="0" distL="0" distR="0">
                  <wp:extent cx="2590800" cy="1549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2591156" cy="1549469"/>
                          </a:xfrm>
                          <a:prstGeom prst="rect">
                            <a:avLst/>
                          </a:prstGeom>
                        </pic:spPr>
                      </pic:pic>
                    </a:graphicData>
                  </a:graphic>
                </wp:inline>
              </w:drawing>
            </w:r>
          </w:p>
          <w:p w14:paraId="4C6B621C">
            <w:pPr>
              <w:pStyle w:val="2"/>
              <w:spacing w:after="0"/>
              <w:ind w:left="0" w:leftChars="0" w:firstLine="0" w:firstLineChars="0"/>
              <w:jc w:val="center"/>
              <w:rPr>
                <w:b/>
                <w:bCs/>
              </w:rPr>
            </w:pPr>
            <w:r>
              <w:rPr>
                <w:b/>
                <w:bCs/>
              </w:rPr>
              <w:t>图</w:t>
            </w:r>
            <w:r>
              <w:t xml:space="preserve">10-6  </w:t>
            </w:r>
            <w:r>
              <w:rPr>
                <w:b/>
                <w:bCs/>
              </w:rPr>
              <w:t>电离辐射警告标志</w:t>
            </w:r>
          </w:p>
          <w:p w14:paraId="4E9FAA6E">
            <w:pPr>
              <w:pStyle w:val="2"/>
              <w:spacing w:after="0" w:line="360" w:lineRule="auto"/>
              <w:ind w:left="0" w:leftChars="0" w:firstLine="480"/>
              <w:rPr>
                <w:bCs/>
                <w:sz w:val="24"/>
              </w:rPr>
            </w:pPr>
            <w:r>
              <w:rPr>
                <w:rFonts w:hint="eastAsia" w:ascii="宋体" w:hAnsi="宋体" w:cs="宋体"/>
                <w:bCs/>
                <w:sz w:val="24"/>
              </w:rPr>
              <w:t>⑤</w:t>
            </w:r>
            <w:r>
              <w:rPr>
                <w:bCs/>
                <w:sz w:val="24"/>
              </w:rPr>
              <w:t>探伤机从存放设备室出库进行野外（室外）作业、野外（室外）探伤完毕送回设备室时都需进行登记，严格做好记录管理工作，探伤机出库作业前辐射工作人员需报相关领导批准后方可出库开展探伤作业，探伤机在野外（室外）探伤完毕后，探伤机需及时送回公司设备室内进行保管。</w:t>
            </w:r>
          </w:p>
          <w:p w14:paraId="5E5A2B21">
            <w:pPr>
              <w:pStyle w:val="2"/>
              <w:spacing w:after="0" w:line="360" w:lineRule="auto"/>
              <w:ind w:left="0" w:leftChars="0" w:firstLine="480"/>
              <w:rPr>
                <w:bCs/>
                <w:sz w:val="24"/>
              </w:rPr>
            </w:pPr>
            <w:r>
              <w:rPr>
                <w:rFonts w:hint="eastAsia" w:ascii="宋体" w:hAnsi="宋体" w:cs="宋体"/>
                <w:bCs/>
                <w:sz w:val="24"/>
              </w:rPr>
              <w:t>⑥</w:t>
            </w:r>
            <w:r>
              <w:rPr>
                <w:bCs/>
                <w:sz w:val="24"/>
              </w:rPr>
              <w:t>探伤时辐射防护工作</w:t>
            </w:r>
          </w:p>
          <w:p w14:paraId="443583C7">
            <w:pPr>
              <w:pStyle w:val="2"/>
              <w:spacing w:after="0" w:line="360" w:lineRule="auto"/>
              <w:ind w:left="0" w:leftChars="0" w:firstLine="480"/>
              <w:rPr>
                <w:bCs/>
                <w:sz w:val="24"/>
              </w:rPr>
            </w:pPr>
            <w:r>
              <w:rPr>
                <w:bCs/>
                <w:sz w:val="24"/>
              </w:rPr>
              <w:t>探伤准备：探伤机架设安装完毕后，再一次对探伤区和防护区进行清场；除探伤机操作人员外，其余工作人员与安全检查员一道分别在监督区边界指定位置放置警示牌，严禁无关人员进入该区域。</w:t>
            </w:r>
          </w:p>
          <w:p w14:paraId="540D4D9F">
            <w:pPr>
              <w:pStyle w:val="2"/>
              <w:spacing w:after="0" w:line="360" w:lineRule="auto"/>
              <w:ind w:left="0" w:leftChars="0" w:firstLine="480"/>
              <w:rPr>
                <w:bCs/>
                <w:sz w:val="24"/>
              </w:rPr>
            </w:pPr>
            <w:r>
              <w:rPr>
                <w:bCs/>
                <w:sz w:val="24"/>
              </w:rPr>
              <w:t>探伤操作：进行探伤时，采取设定时间后自动开机曝光操作，操作人员可在该段时间内退至控制区距离外，位于控制区边界的辐射工作人员需穿戴铅防护服。</w:t>
            </w:r>
          </w:p>
          <w:p w14:paraId="1D67AEEC">
            <w:pPr>
              <w:pStyle w:val="2"/>
              <w:spacing w:after="0" w:line="360" w:lineRule="auto"/>
              <w:ind w:left="0" w:leftChars="0" w:firstLine="480"/>
              <w:rPr>
                <w:bCs/>
                <w:sz w:val="24"/>
              </w:rPr>
            </w:pPr>
            <w:r>
              <w:rPr>
                <w:bCs/>
                <w:sz w:val="24"/>
              </w:rPr>
              <w:t>在野外（室外）探伤任务期间，未进行探伤时，由专人对探伤机进行保管。</w:t>
            </w:r>
            <w:bookmarkEnd w:id="35"/>
            <w:bookmarkEnd w:id="36"/>
          </w:p>
          <w:p w14:paraId="2DAE4543">
            <w:pPr>
              <w:spacing w:line="360" w:lineRule="auto"/>
              <w:rPr>
                <w:rFonts w:ascii="Times New Roman" w:hAnsi="Times New Roman" w:eastAsiaTheme="minorEastAsia"/>
                <w:b/>
                <w:kern w:val="0"/>
                <w:sz w:val="24"/>
              </w:rPr>
            </w:pPr>
            <w:r>
              <w:rPr>
                <w:rFonts w:ascii="Times New Roman" w:hAnsi="Times New Roman" w:eastAsiaTheme="minorEastAsia"/>
                <w:b/>
                <w:kern w:val="0"/>
                <w:sz w:val="24"/>
              </w:rPr>
              <w:t>三、</w:t>
            </w:r>
            <w:r>
              <w:rPr>
                <w:rFonts w:ascii="Times New Roman" w:hAnsi="Times New Roman" w:eastAsiaTheme="minorEastAsia"/>
                <w:b/>
                <w:sz w:val="28"/>
                <w:szCs w:val="28"/>
              </w:rPr>
              <w:t>辐射安全防护设施对照分析</w:t>
            </w:r>
          </w:p>
          <w:p w14:paraId="5A60931D">
            <w:pPr>
              <w:pStyle w:val="2"/>
              <w:spacing w:after="0" w:line="360" w:lineRule="auto"/>
              <w:ind w:left="0" w:leftChars="0" w:firstLine="480"/>
              <w:rPr>
                <w:sz w:val="24"/>
              </w:rPr>
            </w:pPr>
            <w:r>
              <w:rPr>
                <w:sz w:val="24"/>
              </w:rPr>
              <w:t>根据《放射性同位素与射线装置安全和防护管理办法》（环保部第18号令）、《放射性同位素与射线装置安全许可管理办法》（国家环境保护总局令第31号）、《环保部监测安全与防护监督检查技术程序》、</w:t>
            </w:r>
            <w:r>
              <w:rPr>
                <w:kern w:val="0"/>
                <w:sz w:val="24"/>
              </w:rPr>
              <w:t>《工业探伤放射防护标准》（GBZ 117-2022）</w:t>
            </w:r>
            <w:r>
              <w:rPr>
                <w:sz w:val="24"/>
              </w:rPr>
              <w:t>和《河北省辐射污染防治条例》（2020年7月30日修改）相关要求，将本项目的设施、措施进行对照分析，见表10-2。</w:t>
            </w:r>
          </w:p>
          <w:p w14:paraId="45F8AA62">
            <w:pPr>
              <w:pStyle w:val="2"/>
              <w:spacing w:after="0"/>
              <w:ind w:left="0" w:leftChars="0" w:firstLine="0" w:firstLineChars="0"/>
              <w:jc w:val="center"/>
              <w:rPr>
                <w:sz w:val="15"/>
              </w:rPr>
            </w:pPr>
            <w:r>
              <w:rPr>
                <w:b/>
                <w:bCs/>
              </w:rPr>
              <w:t>表</w:t>
            </w:r>
            <w:r>
              <w:t xml:space="preserve">10-2  </w:t>
            </w:r>
            <w:r>
              <w:rPr>
                <w:b/>
                <w:bCs/>
              </w:rPr>
              <w:t>本项目辐射安全防护设施对照分析表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275"/>
              <w:gridCol w:w="4962"/>
              <w:gridCol w:w="1878"/>
            </w:tblGrid>
            <w:tr w14:paraId="0711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Align w:val="center"/>
                </w:tcPr>
                <w:p w14:paraId="6FAD4C30">
                  <w:pPr>
                    <w:pStyle w:val="2"/>
                    <w:spacing w:after="0"/>
                    <w:ind w:left="0" w:leftChars="0" w:firstLine="0" w:firstLineChars="0"/>
                    <w:jc w:val="center"/>
                    <w:rPr>
                      <w:sz w:val="15"/>
                    </w:rPr>
                  </w:pPr>
                  <w:r>
                    <w:rPr>
                      <w:b/>
                      <w:bCs/>
                      <w:szCs w:val="21"/>
                    </w:rPr>
                    <w:t>项目</w:t>
                  </w:r>
                </w:p>
              </w:tc>
              <w:tc>
                <w:tcPr>
                  <w:tcW w:w="1275" w:type="dxa"/>
                  <w:vAlign w:val="center"/>
                </w:tcPr>
                <w:p w14:paraId="6650BE6D">
                  <w:pPr>
                    <w:pStyle w:val="2"/>
                    <w:spacing w:after="0"/>
                    <w:ind w:left="0" w:leftChars="0" w:firstLine="0" w:firstLineChars="0"/>
                    <w:jc w:val="center"/>
                    <w:rPr>
                      <w:sz w:val="15"/>
                    </w:rPr>
                  </w:pPr>
                  <w:r>
                    <w:rPr>
                      <w:b/>
                      <w:bCs/>
                      <w:szCs w:val="21"/>
                    </w:rPr>
                    <w:t>设备设施</w:t>
                  </w:r>
                </w:p>
              </w:tc>
              <w:tc>
                <w:tcPr>
                  <w:tcW w:w="4962" w:type="dxa"/>
                  <w:vAlign w:val="center"/>
                </w:tcPr>
                <w:p w14:paraId="42A65881">
                  <w:pPr>
                    <w:pStyle w:val="2"/>
                    <w:spacing w:after="0"/>
                    <w:ind w:left="0" w:leftChars="0" w:firstLine="0" w:firstLineChars="0"/>
                    <w:jc w:val="center"/>
                    <w:rPr>
                      <w:sz w:val="15"/>
                    </w:rPr>
                  </w:pPr>
                  <w:r>
                    <w:rPr>
                      <w:b/>
                      <w:bCs/>
                      <w:szCs w:val="21"/>
                    </w:rPr>
                    <w:t>具体要求</w:t>
                  </w:r>
                </w:p>
              </w:tc>
              <w:tc>
                <w:tcPr>
                  <w:tcW w:w="1878" w:type="dxa"/>
                  <w:vAlign w:val="center"/>
                </w:tcPr>
                <w:p w14:paraId="029E1ED7">
                  <w:pPr>
                    <w:pStyle w:val="2"/>
                    <w:spacing w:after="0"/>
                    <w:ind w:left="0" w:leftChars="0" w:firstLine="0" w:firstLineChars="0"/>
                    <w:jc w:val="center"/>
                    <w:rPr>
                      <w:sz w:val="15"/>
                    </w:rPr>
                  </w:pPr>
                  <w:r>
                    <w:rPr>
                      <w:b/>
                      <w:bCs/>
                      <w:szCs w:val="21"/>
                    </w:rPr>
                    <w:t>本项目实际情况</w:t>
                  </w:r>
                </w:p>
              </w:tc>
            </w:tr>
            <w:tr w14:paraId="777B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4FFE65AF">
                  <w:pPr>
                    <w:pStyle w:val="2"/>
                    <w:spacing w:after="0"/>
                    <w:ind w:left="0" w:leftChars="0" w:firstLine="0" w:firstLineChars="0"/>
                    <w:rPr>
                      <w:rFonts w:eastAsiaTheme="minorEastAsia"/>
                      <w:szCs w:val="21"/>
                    </w:rPr>
                  </w:pPr>
                  <w:r>
                    <w:rPr>
                      <w:rFonts w:eastAsiaTheme="minorEastAsia"/>
                      <w:szCs w:val="21"/>
                    </w:rPr>
                    <w:t>室外（野外）探伤场所</w:t>
                  </w:r>
                </w:p>
              </w:tc>
              <w:tc>
                <w:tcPr>
                  <w:tcW w:w="1275" w:type="dxa"/>
                  <w:vMerge w:val="restart"/>
                  <w:vAlign w:val="center"/>
                </w:tcPr>
                <w:p w14:paraId="6D8FCED1">
                  <w:pPr>
                    <w:pStyle w:val="2"/>
                    <w:spacing w:after="0"/>
                    <w:ind w:left="0" w:leftChars="0" w:firstLine="0" w:firstLineChars="0"/>
                    <w:jc w:val="center"/>
                    <w:rPr>
                      <w:rFonts w:eastAsiaTheme="minorEastAsia"/>
                      <w:szCs w:val="21"/>
                    </w:rPr>
                  </w:pPr>
                  <w:r>
                    <w:rPr>
                      <w:rFonts w:eastAsiaTheme="minorEastAsia"/>
                      <w:szCs w:val="21"/>
                    </w:rPr>
                    <w:t>工作场所</w:t>
                  </w:r>
                </w:p>
              </w:tc>
              <w:tc>
                <w:tcPr>
                  <w:tcW w:w="4962" w:type="dxa"/>
                  <w:vAlign w:val="center"/>
                </w:tcPr>
                <w:p w14:paraId="40FE1A31">
                  <w:pPr>
                    <w:pStyle w:val="2"/>
                    <w:spacing w:after="0"/>
                    <w:ind w:left="0" w:leftChars="0" w:firstLine="0" w:firstLineChars="0"/>
                    <w:jc w:val="center"/>
                    <w:rPr>
                      <w:rFonts w:eastAsiaTheme="minorEastAsia"/>
                      <w:szCs w:val="21"/>
                    </w:rPr>
                  </w:pPr>
                  <w:r>
                    <w:rPr>
                      <w:rFonts w:eastAsiaTheme="minorEastAsia"/>
                      <w:szCs w:val="21"/>
                    </w:rPr>
                    <w:t>作业公告：包含作业时间、作业地点、作业内容、拟采取 辐射防护措施</w:t>
                  </w:r>
                </w:p>
              </w:tc>
              <w:tc>
                <w:tcPr>
                  <w:tcW w:w="1878" w:type="dxa"/>
                  <w:vAlign w:val="center"/>
                </w:tcPr>
                <w:p w14:paraId="6F3FA3C9">
                  <w:pPr>
                    <w:pStyle w:val="2"/>
                    <w:spacing w:after="0"/>
                    <w:ind w:left="0" w:leftChars="0" w:firstLine="0" w:firstLineChars="0"/>
                    <w:jc w:val="center"/>
                    <w:rPr>
                      <w:rFonts w:eastAsiaTheme="minorEastAsia"/>
                      <w:szCs w:val="21"/>
                    </w:rPr>
                  </w:pPr>
                  <w:r>
                    <w:rPr>
                      <w:rFonts w:eastAsiaTheme="minorEastAsia"/>
                      <w:szCs w:val="21"/>
                    </w:rPr>
                    <w:t>拟实施</w:t>
                  </w:r>
                </w:p>
              </w:tc>
            </w:tr>
            <w:tr w14:paraId="6BA9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84F06C">
                  <w:pPr>
                    <w:pStyle w:val="2"/>
                    <w:spacing w:after="0"/>
                    <w:ind w:left="0" w:leftChars="0" w:firstLine="0" w:firstLineChars="0"/>
                    <w:jc w:val="center"/>
                    <w:rPr>
                      <w:rFonts w:eastAsiaTheme="minorEastAsia"/>
                      <w:szCs w:val="21"/>
                    </w:rPr>
                  </w:pPr>
                </w:p>
              </w:tc>
              <w:tc>
                <w:tcPr>
                  <w:tcW w:w="1275" w:type="dxa"/>
                  <w:vMerge w:val="continue"/>
                  <w:vAlign w:val="center"/>
                </w:tcPr>
                <w:p w14:paraId="51082E48">
                  <w:pPr>
                    <w:pStyle w:val="2"/>
                    <w:spacing w:after="0"/>
                    <w:ind w:left="0" w:leftChars="0" w:firstLine="0" w:firstLineChars="0"/>
                    <w:jc w:val="center"/>
                    <w:rPr>
                      <w:rFonts w:eastAsiaTheme="minorEastAsia"/>
                      <w:szCs w:val="21"/>
                    </w:rPr>
                  </w:pPr>
                </w:p>
              </w:tc>
              <w:tc>
                <w:tcPr>
                  <w:tcW w:w="4962" w:type="dxa"/>
                  <w:vAlign w:val="center"/>
                </w:tcPr>
                <w:p w14:paraId="41E47233">
                  <w:pPr>
                    <w:pStyle w:val="2"/>
                    <w:spacing w:after="0"/>
                    <w:ind w:left="0" w:leftChars="0" w:firstLine="0" w:firstLineChars="0"/>
                    <w:jc w:val="center"/>
                    <w:rPr>
                      <w:rFonts w:eastAsiaTheme="minorEastAsia"/>
                      <w:szCs w:val="21"/>
                    </w:rPr>
                  </w:pPr>
                  <w:r>
                    <w:rPr>
                      <w:rFonts w:eastAsiaTheme="minorEastAsia"/>
                      <w:szCs w:val="21"/>
                    </w:rPr>
                    <w:t>安全信息公示牌：面积不小于2m</w:t>
                  </w:r>
                  <w:r>
                    <w:rPr>
                      <w:rFonts w:eastAsiaTheme="minorEastAsia"/>
                      <w:szCs w:val="21"/>
                      <w:vertAlign w:val="superscript"/>
                    </w:rPr>
                    <w:t>2</w:t>
                  </w:r>
                  <w:r>
                    <w:rPr>
                      <w:rFonts w:eastAsiaTheme="minorEastAsia"/>
                      <w:szCs w:val="21"/>
                    </w:rPr>
                    <w:t>，公示内容：辐射安全许可证、单位法人代表姓名、环保监督举报电话、辐射安全负责人姓名及照片、操作人员姓名、照片及资质证书、现场安全员姓名、照片及资质证书</w:t>
                  </w:r>
                </w:p>
              </w:tc>
              <w:tc>
                <w:tcPr>
                  <w:tcW w:w="1878" w:type="dxa"/>
                  <w:vAlign w:val="center"/>
                </w:tcPr>
                <w:p w14:paraId="73FDD389">
                  <w:pPr>
                    <w:pStyle w:val="2"/>
                    <w:spacing w:after="0"/>
                    <w:ind w:left="0" w:leftChars="0" w:firstLine="0" w:firstLineChars="0"/>
                    <w:jc w:val="center"/>
                    <w:rPr>
                      <w:rFonts w:eastAsiaTheme="minorEastAsia"/>
                      <w:szCs w:val="21"/>
                    </w:rPr>
                  </w:pPr>
                  <w:r>
                    <w:rPr>
                      <w:rFonts w:eastAsiaTheme="minorEastAsia"/>
                      <w:szCs w:val="21"/>
                    </w:rPr>
                    <w:t>拟实施</w:t>
                  </w:r>
                </w:p>
              </w:tc>
            </w:tr>
            <w:tr w14:paraId="4804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686713">
                  <w:pPr>
                    <w:pStyle w:val="2"/>
                    <w:spacing w:after="0"/>
                    <w:ind w:left="0" w:leftChars="0" w:firstLine="0" w:firstLineChars="0"/>
                    <w:jc w:val="center"/>
                    <w:rPr>
                      <w:rFonts w:eastAsiaTheme="minorEastAsia"/>
                      <w:szCs w:val="21"/>
                    </w:rPr>
                  </w:pPr>
                </w:p>
              </w:tc>
              <w:tc>
                <w:tcPr>
                  <w:tcW w:w="1275" w:type="dxa"/>
                  <w:vMerge w:val="continue"/>
                  <w:vAlign w:val="center"/>
                </w:tcPr>
                <w:p w14:paraId="50471D24">
                  <w:pPr>
                    <w:pStyle w:val="2"/>
                    <w:spacing w:after="0"/>
                    <w:ind w:left="0" w:leftChars="0" w:firstLine="0" w:firstLineChars="0"/>
                    <w:jc w:val="center"/>
                    <w:rPr>
                      <w:rFonts w:eastAsiaTheme="minorEastAsia"/>
                      <w:szCs w:val="21"/>
                    </w:rPr>
                  </w:pPr>
                </w:p>
              </w:tc>
              <w:tc>
                <w:tcPr>
                  <w:tcW w:w="4962" w:type="dxa"/>
                  <w:vAlign w:val="center"/>
                </w:tcPr>
                <w:p w14:paraId="5335D4BB">
                  <w:pPr>
                    <w:pStyle w:val="2"/>
                    <w:spacing w:after="0"/>
                    <w:ind w:left="0" w:leftChars="0" w:firstLine="0" w:firstLineChars="0"/>
                    <w:jc w:val="center"/>
                    <w:rPr>
                      <w:rFonts w:eastAsiaTheme="minorEastAsia"/>
                      <w:szCs w:val="21"/>
                    </w:rPr>
                  </w:pPr>
                  <w:r>
                    <w:rPr>
                      <w:rFonts w:eastAsiaTheme="minorEastAsia"/>
                      <w:szCs w:val="21"/>
                    </w:rPr>
                    <w:t>场所分区</w:t>
                  </w:r>
                </w:p>
              </w:tc>
              <w:tc>
                <w:tcPr>
                  <w:tcW w:w="1878" w:type="dxa"/>
                  <w:vAlign w:val="center"/>
                </w:tcPr>
                <w:p w14:paraId="532EDDED">
                  <w:pPr>
                    <w:pStyle w:val="2"/>
                    <w:spacing w:after="0"/>
                    <w:ind w:left="0" w:leftChars="0" w:firstLine="0" w:firstLineChars="0"/>
                    <w:jc w:val="center"/>
                    <w:rPr>
                      <w:rFonts w:eastAsiaTheme="minorEastAsia"/>
                      <w:szCs w:val="21"/>
                    </w:rPr>
                  </w:pPr>
                  <w:r>
                    <w:rPr>
                      <w:rFonts w:eastAsiaTheme="minorEastAsia"/>
                      <w:szCs w:val="21"/>
                    </w:rPr>
                    <w:t>拟实施</w:t>
                  </w:r>
                </w:p>
              </w:tc>
            </w:tr>
            <w:tr w14:paraId="5E90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9144DDC">
                  <w:pPr>
                    <w:pStyle w:val="2"/>
                    <w:spacing w:after="0"/>
                    <w:ind w:left="0" w:leftChars="0" w:firstLine="0" w:firstLineChars="0"/>
                    <w:jc w:val="center"/>
                    <w:rPr>
                      <w:rFonts w:eastAsiaTheme="minorEastAsia"/>
                      <w:szCs w:val="21"/>
                    </w:rPr>
                  </w:pPr>
                </w:p>
              </w:tc>
              <w:tc>
                <w:tcPr>
                  <w:tcW w:w="1275" w:type="dxa"/>
                  <w:vMerge w:val="continue"/>
                  <w:vAlign w:val="center"/>
                </w:tcPr>
                <w:p w14:paraId="1AFBEEA7">
                  <w:pPr>
                    <w:pStyle w:val="2"/>
                    <w:spacing w:after="0"/>
                    <w:ind w:left="0" w:leftChars="0" w:firstLine="0" w:firstLineChars="0"/>
                    <w:jc w:val="center"/>
                    <w:rPr>
                      <w:rFonts w:eastAsiaTheme="minorEastAsia"/>
                      <w:szCs w:val="21"/>
                    </w:rPr>
                  </w:pPr>
                </w:p>
              </w:tc>
              <w:tc>
                <w:tcPr>
                  <w:tcW w:w="4962" w:type="dxa"/>
                  <w:vAlign w:val="center"/>
                </w:tcPr>
                <w:p w14:paraId="4DFF4EB7">
                  <w:pPr>
                    <w:pStyle w:val="2"/>
                    <w:spacing w:after="0"/>
                    <w:ind w:left="0" w:leftChars="0" w:firstLine="0" w:firstLineChars="0"/>
                    <w:jc w:val="center"/>
                    <w:rPr>
                      <w:rFonts w:eastAsiaTheme="minorEastAsia"/>
                      <w:szCs w:val="21"/>
                    </w:rPr>
                  </w:pPr>
                  <w:r>
                    <w:rPr>
                      <w:rFonts w:eastAsiaTheme="minorEastAsia"/>
                      <w:szCs w:val="21"/>
                    </w:rPr>
                    <w:t>警戒线及警告标志</w:t>
                  </w:r>
                </w:p>
              </w:tc>
              <w:tc>
                <w:tcPr>
                  <w:tcW w:w="1878" w:type="dxa"/>
                  <w:vAlign w:val="center"/>
                </w:tcPr>
                <w:p w14:paraId="567B9859">
                  <w:pPr>
                    <w:pStyle w:val="2"/>
                    <w:spacing w:after="0"/>
                    <w:ind w:left="0" w:leftChars="0" w:firstLine="0" w:firstLineChars="0"/>
                    <w:jc w:val="center"/>
                    <w:rPr>
                      <w:rFonts w:eastAsiaTheme="minorEastAsia"/>
                      <w:szCs w:val="21"/>
                    </w:rPr>
                  </w:pPr>
                  <w:r>
                    <w:rPr>
                      <w:rFonts w:eastAsiaTheme="minorEastAsia"/>
                      <w:szCs w:val="21"/>
                    </w:rPr>
                    <w:t>拟实施</w:t>
                  </w:r>
                </w:p>
              </w:tc>
            </w:tr>
            <w:tr w14:paraId="2036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5E4E70D">
                  <w:pPr>
                    <w:pStyle w:val="2"/>
                    <w:spacing w:after="0"/>
                    <w:ind w:left="0" w:leftChars="0" w:firstLine="0" w:firstLineChars="0"/>
                    <w:jc w:val="center"/>
                    <w:rPr>
                      <w:rFonts w:eastAsiaTheme="minorEastAsia"/>
                      <w:szCs w:val="21"/>
                    </w:rPr>
                  </w:pPr>
                </w:p>
              </w:tc>
              <w:tc>
                <w:tcPr>
                  <w:tcW w:w="1275" w:type="dxa"/>
                  <w:vMerge w:val="continue"/>
                  <w:vAlign w:val="center"/>
                </w:tcPr>
                <w:p w14:paraId="1980BE75">
                  <w:pPr>
                    <w:pStyle w:val="2"/>
                    <w:spacing w:after="0"/>
                    <w:ind w:left="0" w:leftChars="0" w:firstLine="0" w:firstLineChars="0"/>
                    <w:jc w:val="center"/>
                    <w:rPr>
                      <w:rFonts w:eastAsiaTheme="minorEastAsia"/>
                      <w:szCs w:val="21"/>
                    </w:rPr>
                  </w:pPr>
                </w:p>
              </w:tc>
              <w:tc>
                <w:tcPr>
                  <w:tcW w:w="4962" w:type="dxa"/>
                  <w:vAlign w:val="center"/>
                </w:tcPr>
                <w:p w14:paraId="7B175515">
                  <w:pPr>
                    <w:pStyle w:val="2"/>
                    <w:spacing w:after="0"/>
                    <w:ind w:left="0" w:leftChars="0" w:firstLine="0" w:firstLineChars="0"/>
                    <w:jc w:val="center"/>
                    <w:rPr>
                      <w:rFonts w:eastAsiaTheme="minorEastAsia"/>
                      <w:szCs w:val="21"/>
                    </w:rPr>
                  </w:pPr>
                  <w:r>
                    <w:rPr>
                      <w:rFonts w:eastAsiaTheme="minorEastAsia"/>
                      <w:szCs w:val="21"/>
                    </w:rPr>
                    <w:t>场所边界文字说明、声音、光电等警示</w:t>
                  </w:r>
                </w:p>
              </w:tc>
              <w:tc>
                <w:tcPr>
                  <w:tcW w:w="1878" w:type="dxa"/>
                  <w:vAlign w:val="center"/>
                </w:tcPr>
                <w:p w14:paraId="49280AE1">
                  <w:pPr>
                    <w:pStyle w:val="2"/>
                    <w:spacing w:after="0"/>
                    <w:ind w:left="0" w:leftChars="0" w:firstLine="0" w:firstLineChars="0"/>
                    <w:jc w:val="center"/>
                    <w:rPr>
                      <w:rFonts w:eastAsiaTheme="minorEastAsia"/>
                      <w:szCs w:val="21"/>
                    </w:rPr>
                  </w:pPr>
                  <w:r>
                    <w:rPr>
                      <w:rFonts w:eastAsiaTheme="minorEastAsia"/>
                      <w:szCs w:val="21"/>
                    </w:rPr>
                    <w:t>拟实施</w:t>
                  </w:r>
                </w:p>
              </w:tc>
            </w:tr>
            <w:tr w14:paraId="5DB8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156114">
                  <w:pPr>
                    <w:pStyle w:val="2"/>
                    <w:spacing w:after="0"/>
                    <w:ind w:left="0" w:leftChars="0" w:firstLine="0" w:firstLineChars="0"/>
                    <w:jc w:val="center"/>
                    <w:rPr>
                      <w:rFonts w:eastAsiaTheme="minorEastAsia"/>
                      <w:szCs w:val="21"/>
                    </w:rPr>
                  </w:pPr>
                </w:p>
              </w:tc>
              <w:tc>
                <w:tcPr>
                  <w:tcW w:w="1275" w:type="dxa"/>
                  <w:vMerge w:val="continue"/>
                  <w:vAlign w:val="center"/>
                </w:tcPr>
                <w:p w14:paraId="473A1A9A">
                  <w:pPr>
                    <w:pStyle w:val="2"/>
                    <w:spacing w:after="0"/>
                    <w:ind w:left="0" w:leftChars="0" w:firstLine="0" w:firstLineChars="0"/>
                    <w:jc w:val="center"/>
                    <w:rPr>
                      <w:rFonts w:eastAsiaTheme="minorEastAsia"/>
                      <w:szCs w:val="21"/>
                    </w:rPr>
                  </w:pPr>
                </w:p>
              </w:tc>
              <w:tc>
                <w:tcPr>
                  <w:tcW w:w="4962" w:type="dxa"/>
                  <w:vAlign w:val="center"/>
                </w:tcPr>
                <w:p w14:paraId="1B1B53B9">
                  <w:pPr>
                    <w:pStyle w:val="2"/>
                    <w:spacing w:after="0"/>
                    <w:ind w:left="0" w:leftChars="0" w:firstLine="0" w:firstLineChars="0"/>
                    <w:jc w:val="center"/>
                    <w:rPr>
                      <w:rFonts w:eastAsiaTheme="minorEastAsia"/>
                      <w:szCs w:val="21"/>
                    </w:rPr>
                  </w:pPr>
                  <w:r>
                    <w:rPr>
                      <w:rFonts w:eastAsiaTheme="minorEastAsia"/>
                      <w:szCs w:val="21"/>
                    </w:rPr>
                    <w:t>专人看守、巡查</w:t>
                  </w:r>
                </w:p>
              </w:tc>
              <w:tc>
                <w:tcPr>
                  <w:tcW w:w="1878" w:type="dxa"/>
                  <w:vAlign w:val="center"/>
                </w:tcPr>
                <w:p w14:paraId="0267A884">
                  <w:pPr>
                    <w:pStyle w:val="2"/>
                    <w:spacing w:after="0"/>
                    <w:ind w:left="0" w:leftChars="0" w:firstLine="0" w:firstLineChars="0"/>
                    <w:jc w:val="center"/>
                    <w:rPr>
                      <w:rFonts w:eastAsiaTheme="minorEastAsia"/>
                      <w:szCs w:val="21"/>
                    </w:rPr>
                  </w:pPr>
                  <w:r>
                    <w:rPr>
                      <w:rFonts w:eastAsiaTheme="minorEastAsia"/>
                      <w:szCs w:val="21"/>
                    </w:rPr>
                    <w:t>拟实施</w:t>
                  </w:r>
                </w:p>
              </w:tc>
            </w:tr>
            <w:tr w14:paraId="5AE6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C37B1E3">
                  <w:pPr>
                    <w:pStyle w:val="2"/>
                    <w:spacing w:after="0"/>
                    <w:ind w:left="0" w:leftChars="0" w:firstLine="0" w:firstLineChars="0"/>
                    <w:jc w:val="center"/>
                    <w:rPr>
                      <w:rFonts w:eastAsiaTheme="minorEastAsia"/>
                      <w:szCs w:val="21"/>
                    </w:rPr>
                  </w:pPr>
                </w:p>
              </w:tc>
              <w:tc>
                <w:tcPr>
                  <w:tcW w:w="1275" w:type="dxa"/>
                  <w:vMerge w:val="continue"/>
                  <w:vAlign w:val="center"/>
                </w:tcPr>
                <w:p w14:paraId="4FB00564">
                  <w:pPr>
                    <w:pStyle w:val="2"/>
                    <w:spacing w:after="0"/>
                    <w:ind w:left="0" w:leftChars="0" w:firstLine="0" w:firstLineChars="0"/>
                    <w:jc w:val="center"/>
                    <w:rPr>
                      <w:rFonts w:eastAsiaTheme="minorEastAsia"/>
                      <w:szCs w:val="21"/>
                    </w:rPr>
                  </w:pPr>
                </w:p>
              </w:tc>
              <w:tc>
                <w:tcPr>
                  <w:tcW w:w="4962" w:type="dxa"/>
                  <w:vAlign w:val="center"/>
                </w:tcPr>
                <w:p w14:paraId="2ECBA273">
                  <w:pPr>
                    <w:pStyle w:val="2"/>
                    <w:spacing w:after="0"/>
                    <w:ind w:left="0" w:leftChars="0" w:firstLine="0" w:firstLineChars="0"/>
                    <w:jc w:val="center"/>
                    <w:rPr>
                      <w:rFonts w:eastAsiaTheme="minorEastAsia"/>
                      <w:szCs w:val="21"/>
                    </w:rPr>
                  </w:pPr>
                  <w:r>
                    <w:rPr>
                      <w:rFonts w:eastAsiaTheme="minorEastAsia"/>
                      <w:szCs w:val="21"/>
                    </w:rPr>
                    <w:t>移动屏蔽措施（4个10mmPb铅屏风+4个5mmPb铅屏风）</w:t>
                  </w:r>
                </w:p>
              </w:tc>
              <w:tc>
                <w:tcPr>
                  <w:tcW w:w="1878" w:type="dxa"/>
                  <w:vAlign w:val="center"/>
                </w:tcPr>
                <w:p w14:paraId="5523D671">
                  <w:pPr>
                    <w:pStyle w:val="2"/>
                    <w:spacing w:after="0"/>
                    <w:ind w:left="0" w:leftChars="0" w:firstLine="0" w:firstLineChars="0"/>
                    <w:jc w:val="center"/>
                    <w:rPr>
                      <w:rFonts w:eastAsiaTheme="minorEastAsia"/>
                      <w:szCs w:val="21"/>
                    </w:rPr>
                  </w:pPr>
                  <w:r>
                    <w:rPr>
                      <w:rFonts w:eastAsiaTheme="minorEastAsia"/>
                      <w:szCs w:val="21"/>
                    </w:rPr>
                    <w:t>拟实施</w:t>
                  </w:r>
                </w:p>
              </w:tc>
            </w:tr>
            <w:tr w14:paraId="08DF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76A5AAA">
                  <w:pPr>
                    <w:pStyle w:val="2"/>
                    <w:spacing w:after="0"/>
                    <w:ind w:left="0" w:leftChars="0" w:firstLine="0" w:firstLineChars="0"/>
                    <w:jc w:val="center"/>
                    <w:rPr>
                      <w:rFonts w:eastAsiaTheme="minorEastAsia"/>
                      <w:szCs w:val="21"/>
                    </w:rPr>
                  </w:pPr>
                </w:p>
              </w:tc>
              <w:tc>
                <w:tcPr>
                  <w:tcW w:w="1275" w:type="dxa"/>
                  <w:vMerge w:val="restart"/>
                  <w:vAlign w:val="center"/>
                </w:tcPr>
                <w:p w14:paraId="2625158F">
                  <w:pPr>
                    <w:pStyle w:val="2"/>
                    <w:spacing w:after="0"/>
                    <w:ind w:left="0" w:leftChars="0" w:firstLine="0" w:firstLineChars="0"/>
                    <w:jc w:val="center"/>
                    <w:rPr>
                      <w:rFonts w:eastAsiaTheme="minorEastAsia"/>
                      <w:szCs w:val="21"/>
                    </w:rPr>
                  </w:pPr>
                  <w:r>
                    <w:rPr>
                      <w:rFonts w:eastAsiaTheme="minorEastAsia"/>
                      <w:szCs w:val="21"/>
                    </w:rPr>
                    <w:t>个人监测和防护设备</w:t>
                  </w:r>
                </w:p>
              </w:tc>
              <w:tc>
                <w:tcPr>
                  <w:tcW w:w="4962" w:type="dxa"/>
                  <w:vAlign w:val="center"/>
                </w:tcPr>
                <w:p w14:paraId="77B8D4B4">
                  <w:pPr>
                    <w:pStyle w:val="2"/>
                    <w:spacing w:after="0"/>
                    <w:ind w:left="0" w:leftChars="0" w:firstLine="0" w:firstLineChars="0"/>
                    <w:jc w:val="center"/>
                    <w:rPr>
                      <w:rFonts w:eastAsiaTheme="minorEastAsia"/>
                      <w:szCs w:val="21"/>
                    </w:rPr>
                  </w:pPr>
                  <w:r>
                    <w:rPr>
                      <w:rFonts w:eastAsiaTheme="minorEastAsia"/>
                      <w:szCs w:val="21"/>
                    </w:rPr>
                    <w:t>便携式辐射剂量监测仪</w:t>
                  </w:r>
                </w:p>
              </w:tc>
              <w:tc>
                <w:tcPr>
                  <w:tcW w:w="1878" w:type="dxa"/>
                  <w:vAlign w:val="center"/>
                </w:tcPr>
                <w:p w14:paraId="08C501B8">
                  <w:pPr>
                    <w:pStyle w:val="2"/>
                    <w:spacing w:after="0"/>
                    <w:ind w:left="0" w:leftChars="0" w:firstLine="0" w:firstLineChars="0"/>
                    <w:jc w:val="center"/>
                    <w:rPr>
                      <w:rFonts w:eastAsiaTheme="minorEastAsia"/>
                      <w:szCs w:val="21"/>
                    </w:rPr>
                  </w:pPr>
                  <w:r>
                    <w:rPr>
                      <w:rFonts w:eastAsiaTheme="minorEastAsia"/>
                      <w:szCs w:val="21"/>
                    </w:rPr>
                    <w:t>拟实施</w:t>
                  </w:r>
                </w:p>
              </w:tc>
            </w:tr>
            <w:tr w14:paraId="7755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54760F3">
                  <w:pPr>
                    <w:pStyle w:val="2"/>
                    <w:spacing w:after="0"/>
                    <w:ind w:left="0" w:leftChars="0" w:firstLine="0" w:firstLineChars="0"/>
                    <w:jc w:val="center"/>
                    <w:rPr>
                      <w:rFonts w:eastAsiaTheme="minorEastAsia"/>
                      <w:szCs w:val="21"/>
                    </w:rPr>
                  </w:pPr>
                </w:p>
              </w:tc>
              <w:tc>
                <w:tcPr>
                  <w:tcW w:w="1275" w:type="dxa"/>
                  <w:vMerge w:val="continue"/>
                  <w:vAlign w:val="center"/>
                </w:tcPr>
                <w:p w14:paraId="1E5EFE81">
                  <w:pPr>
                    <w:pStyle w:val="2"/>
                    <w:spacing w:after="0"/>
                    <w:ind w:left="0" w:leftChars="0" w:firstLine="0" w:firstLineChars="0"/>
                    <w:jc w:val="center"/>
                    <w:rPr>
                      <w:rFonts w:eastAsiaTheme="minorEastAsia"/>
                      <w:szCs w:val="21"/>
                    </w:rPr>
                  </w:pPr>
                </w:p>
              </w:tc>
              <w:tc>
                <w:tcPr>
                  <w:tcW w:w="4962" w:type="dxa"/>
                  <w:vAlign w:val="center"/>
                </w:tcPr>
                <w:p w14:paraId="3D56657E">
                  <w:pPr>
                    <w:pStyle w:val="2"/>
                    <w:spacing w:after="0"/>
                    <w:ind w:left="0" w:leftChars="0" w:firstLine="0" w:firstLineChars="0"/>
                    <w:jc w:val="center"/>
                    <w:rPr>
                      <w:rFonts w:eastAsiaTheme="minorEastAsia"/>
                      <w:szCs w:val="21"/>
                    </w:rPr>
                  </w:pPr>
                  <w:r>
                    <w:rPr>
                      <w:rFonts w:eastAsiaTheme="minorEastAsia"/>
                      <w:szCs w:val="21"/>
                    </w:rPr>
                    <w:t>个人剂量计</w:t>
                  </w:r>
                </w:p>
              </w:tc>
              <w:tc>
                <w:tcPr>
                  <w:tcW w:w="1878" w:type="dxa"/>
                  <w:vAlign w:val="center"/>
                </w:tcPr>
                <w:p w14:paraId="36806951">
                  <w:pPr>
                    <w:pStyle w:val="2"/>
                    <w:spacing w:after="0"/>
                    <w:ind w:left="0" w:leftChars="0" w:firstLine="0" w:firstLineChars="0"/>
                    <w:jc w:val="center"/>
                    <w:rPr>
                      <w:rFonts w:eastAsiaTheme="minorEastAsia"/>
                      <w:szCs w:val="21"/>
                    </w:rPr>
                  </w:pPr>
                  <w:r>
                    <w:rPr>
                      <w:rFonts w:eastAsiaTheme="minorEastAsia"/>
                      <w:szCs w:val="21"/>
                    </w:rPr>
                    <w:t>拟实施</w:t>
                  </w:r>
                </w:p>
              </w:tc>
            </w:tr>
            <w:tr w14:paraId="3BE9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6E289F5">
                  <w:pPr>
                    <w:pStyle w:val="2"/>
                    <w:spacing w:after="0"/>
                    <w:ind w:left="0" w:leftChars="0" w:firstLine="0" w:firstLineChars="0"/>
                    <w:jc w:val="center"/>
                    <w:rPr>
                      <w:rFonts w:eastAsiaTheme="minorEastAsia"/>
                      <w:szCs w:val="21"/>
                    </w:rPr>
                  </w:pPr>
                </w:p>
              </w:tc>
              <w:tc>
                <w:tcPr>
                  <w:tcW w:w="1275" w:type="dxa"/>
                  <w:vMerge w:val="continue"/>
                  <w:vAlign w:val="center"/>
                </w:tcPr>
                <w:p w14:paraId="0BD339D3">
                  <w:pPr>
                    <w:pStyle w:val="2"/>
                    <w:spacing w:after="0"/>
                    <w:ind w:left="0" w:leftChars="0" w:firstLine="0" w:firstLineChars="0"/>
                    <w:jc w:val="center"/>
                    <w:rPr>
                      <w:rFonts w:eastAsiaTheme="minorEastAsia"/>
                      <w:szCs w:val="21"/>
                    </w:rPr>
                  </w:pPr>
                </w:p>
              </w:tc>
              <w:tc>
                <w:tcPr>
                  <w:tcW w:w="4962" w:type="dxa"/>
                  <w:vAlign w:val="center"/>
                </w:tcPr>
                <w:p w14:paraId="415E0182">
                  <w:pPr>
                    <w:pStyle w:val="2"/>
                    <w:spacing w:after="0"/>
                    <w:ind w:left="0" w:leftChars="0" w:firstLine="0" w:firstLineChars="0"/>
                    <w:jc w:val="center"/>
                    <w:rPr>
                      <w:rFonts w:eastAsiaTheme="minorEastAsia"/>
                      <w:szCs w:val="21"/>
                    </w:rPr>
                  </w:pPr>
                  <w:r>
                    <w:rPr>
                      <w:rFonts w:eastAsiaTheme="minorEastAsia"/>
                      <w:szCs w:val="21"/>
                    </w:rPr>
                    <w:t>个人剂量报警仪</w:t>
                  </w:r>
                </w:p>
              </w:tc>
              <w:tc>
                <w:tcPr>
                  <w:tcW w:w="1878" w:type="dxa"/>
                  <w:vAlign w:val="center"/>
                </w:tcPr>
                <w:p w14:paraId="4E6CB85C">
                  <w:pPr>
                    <w:pStyle w:val="2"/>
                    <w:spacing w:after="0"/>
                    <w:ind w:left="0" w:leftChars="0" w:firstLine="0" w:firstLineChars="0"/>
                    <w:jc w:val="center"/>
                    <w:rPr>
                      <w:rFonts w:eastAsiaTheme="minorEastAsia"/>
                      <w:szCs w:val="21"/>
                    </w:rPr>
                  </w:pPr>
                  <w:r>
                    <w:rPr>
                      <w:rFonts w:eastAsiaTheme="minorEastAsia"/>
                      <w:szCs w:val="21"/>
                    </w:rPr>
                    <w:t>拟实施</w:t>
                  </w:r>
                </w:p>
              </w:tc>
            </w:tr>
            <w:tr w14:paraId="16C5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76CA80A">
                  <w:pPr>
                    <w:pStyle w:val="2"/>
                    <w:spacing w:after="0"/>
                    <w:ind w:left="0" w:leftChars="0" w:firstLine="0" w:firstLineChars="0"/>
                    <w:jc w:val="center"/>
                    <w:rPr>
                      <w:rFonts w:eastAsiaTheme="minorEastAsia"/>
                      <w:szCs w:val="21"/>
                    </w:rPr>
                  </w:pPr>
                </w:p>
              </w:tc>
              <w:tc>
                <w:tcPr>
                  <w:tcW w:w="1275" w:type="dxa"/>
                  <w:vMerge w:val="continue"/>
                  <w:vAlign w:val="center"/>
                </w:tcPr>
                <w:p w14:paraId="6E774EF6">
                  <w:pPr>
                    <w:pStyle w:val="2"/>
                    <w:spacing w:after="0"/>
                    <w:ind w:left="0" w:leftChars="0" w:firstLine="0" w:firstLineChars="0"/>
                    <w:jc w:val="center"/>
                    <w:rPr>
                      <w:rFonts w:eastAsiaTheme="minorEastAsia"/>
                      <w:szCs w:val="21"/>
                    </w:rPr>
                  </w:pPr>
                </w:p>
              </w:tc>
              <w:tc>
                <w:tcPr>
                  <w:tcW w:w="4962" w:type="dxa"/>
                  <w:vAlign w:val="center"/>
                </w:tcPr>
                <w:p w14:paraId="721D3092">
                  <w:pPr>
                    <w:pStyle w:val="2"/>
                    <w:spacing w:after="0"/>
                    <w:ind w:left="0" w:leftChars="0" w:firstLine="0" w:firstLineChars="0"/>
                    <w:jc w:val="center"/>
                    <w:rPr>
                      <w:rFonts w:eastAsiaTheme="minorEastAsia"/>
                      <w:szCs w:val="21"/>
                    </w:rPr>
                  </w:pPr>
                  <w:r>
                    <w:rPr>
                      <w:rFonts w:eastAsiaTheme="minorEastAsia"/>
                      <w:szCs w:val="21"/>
                    </w:rPr>
                    <w:t>个人防护用品（如铅衣、铅帽和铅眼镜等）</w:t>
                  </w:r>
                </w:p>
              </w:tc>
              <w:tc>
                <w:tcPr>
                  <w:tcW w:w="1878" w:type="dxa"/>
                  <w:vAlign w:val="center"/>
                </w:tcPr>
                <w:p w14:paraId="64DD3EF5">
                  <w:pPr>
                    <w:pStyle w:val="2"/>
                    <w:spacing w:after="0"/>
                    <w:ind w:left="0" w:leftChars="0" w:firstLine="0" w:firstLineChars="0"/>
                    <w:jc w:val="center"/>
                    <w:rPr>
                      <w:rFonts w:eastAsiaTheme="minorEastAsia"/>
                      <w:szCs w:val="21"/>
                    </w:rPr>
                  </w:pPr>
                  <w:r>
                    <w:rPr>
                      <w:rFonts w:eastAsiaTheme="minorEastAsia"/>
                      <w:szCs w:val="21"/>
                    </w:rPr>
                    <w:t>拟实施</w:t>
                  </w:r>
                </w:p>
              </w:tc>
            </w:tr>
          </w:tbl>
          <w:p w14:paraId="24BC0F1B">
            <w:pPr>
              <w:pStyle w:val="2"/>
              <w:spacing w:before="120" w:beforeLines="50" w:after="0" w:line="360" w:lineRule="auto"/>
              <w:ind w:left="0" w:leftChars="0"/>
              <w:rPr>
                <w:rFonts w:eastAsiaTheme="minorEastAsia"/>
                <w:b/>
                <w:kern w:val="24"/>
                <w:szCs w:val="21"/>
              </w:rPr>
            </w:pPr>
            <w:r>
              <w:rPr>
                <w:rFonts w:eastAsiaTheme="minorEastAsia"/>
                <w:szCs w:val="21"/>
              </w:rPr>
              <w:t>建设单位按照10-2中提出的要求落实，本项目辐射防护措施合理可行。</w:t>
            </w:r>
          </w:p>
          <w:p w14:paraId="5D9C3A3A">
            <w:pPr>
              <w:spacing w:line="360" w:lineRule="auto"/>
              <w:rPr>
                <w:rFonts w:ascii="Times New Roman" w:hAnsi="Times New Roman"/>
                <w:b/>
                <w:sz w:val="24"/>
              </w:rPr>
            </w:pPr>
            <w:r>
              <w:rPr>
                <w:rFonts w:ascii="Times New Roman" w:hAnsi="Times New Roman"/>
                <w:b/>
                <w:sz w:val="24"/>
              </w:rPr>
              <w:t>二、辐射安全管理措施</w:t>
            </w:r>
          </w:p>
          <w:p w14:paraId="4D729E7B">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（1）为了辐射安全和防护管理，做好射线装置的使用管理工作，保证工作的正常进行，避免发生各类事故，保障人员的健康，公司成立了</w:t>
            </w:r>
            <w:r>
              <w:rPr>
                <w:rFonts w:ascii="Times New Roman" w:hAnsi="Times New Roman"/>
                <w:sz w:val="24"/>
              </w:rPr>
              <w:t>辐射安全与环境保护管理机构小组</w:t>
            </w:r>
            <w:r>
              <w:rPr>
                <w:rFonts w:ascii="Times New Roman" w:hAnsi="Times New Roman"/>
                <w:kern w:val="0"/>
                <w:sz w:val="24"/>
              </w:rPr>
              <w:t>，</w:t>
            </w:r>
            <w:r>
              <w:rPr>
                <w:rFonts w:hint="eastAsia" w:ascii="Times New Roman" w:hAnsi="Times New Roman"/>
                <w:sz w:val="24"/>
              </w:rPr>
              <w:t>并</w:t>
            </w:r>
            <w:r>
              <w:rPr>
                <w:rFonts w:ascii="Times New Roman" w:hAnsi="Times New Roman"/>
                <w:sz w:val="24"/>
              </w:rPr>
              <w:t>制定了辐射安全管理制度：《辐射安全与环境保护管理机构制度》、《X射线探伤机操作规程》、《辐射工作人员岗位职责》、《辐射安全与防护保卫制度》、《设备检修与维护制度》、《</w:t>
            </w:r>
            <w:r>
              <w:rPr>
                <w:rFonts w:ascii="Times New Roman" w:hAnsi="Times New Roman"/>
                <w:bCs/>
                <w:sz w:val="24"/>
              </w:rPr>
              <w:t>X射线机使用登记制度</w:t>
            </w:r>
            <w:r>
              <w:rPr>
                <w:rFonts w:ascii="Times New Roman" w:hAnsi="Times New Roman"/>
                <w:sz w:val="24"/>
              </w:rPr>
              <w:t>》、《监测仪表使用与校验管理制度》、《辐射工作人员培训管理制度》、《个人剂量监测制度》、《辐射监测方案》、《</w:t>
            </w:r>
            <w:r>
              <w:rPr>
                <w:rFonts w:ascii="Times New Roman" w:hAnsi="Times New Roman"/>
                <w:bCs/>
                <w:sz w:val="24"/>
              </w:rPr>
              <w:t>辐射工作安全责任制度</w:t>
            </w:r>
            <w:r>
              <w:rPr>
                <w:rFonts w:ascii="Times New Roman" w:hAnsi="Times New Roman"/>
                <w:sz w:val="24"/>
              </w:rPr>
              <w:t>》和《辐射事故应急预案》等规章制度。</w:t>
            </w:r>
          </w:p>
          <w:p w14:paraId="4136C59A">
            <w:pPr>
              <w:autoSpaceDE w:val="0"/>
              <w:autoSpaceDN w:val="0"/>
              <w:adjustRightInd w:val="0"/>
              <w:spacing w:line="360" w:lineRule="auto"/>
              <w:ind w:firstLine="480" w:firstLineChars="200"/>
              <w:rPr>
                <w:rFonts w:ascii="Times New Roman" w:hAnsi="Times New Roman"/>
              </w:rPr>
            </w:pPr>
            <w:r>
              <w:rPr>
                <w:rFonts w:ascii="Times New Roman" w:hAnsi="Times New Roman"/>
                <w:kern w:val="0"/>
                <w:sz w:val="24"/>
              </w:rPr>
              <w:t>（2）辐射工作人员上岗前进行培训，进行安全防护和安全思想教育，通过辐射安全和防护专业知识及相关法律法规的培训和考核，持证上岗。职业工作人员开展个人剂量检测，建立个人剂量档案，终身保存。</w:t>
            </w:r>
          </w:p>
        </w:tc>
      </w:tr>
      <w:tr w14:paraId="038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9216" w:type="dxa"/>
          </w:tcPr>
          <w:p w14:paraId="694DE868">
            <w:pPr>
              <w:adjustRightInd w:val="0"/>
              <w:snapToGrid w:val="0"/>
              <w:spacing w:before="120" w:beforeLines="50" w:line="360" w:lineRule="auto"/>
              <w:rPr>
                <w:rFonts w:ascii="Times New Roman" w:hAnsi="Times New Roman"/>
                <w:b/>
                <w:bCs/>
                <w:sz w:val="28"/>
                <w:szCs w:val="28"/>
              </w:rPr>
            </w:pPr>
            <w:r>
              <w:rPr>
                <w:rFonts w:ascii="Times New Roman" w:hAnsi="Times New Roman"/>
                <w:b/>
                <w:bCs/>
                <w:sz w:val="28"/>
                <w:szCs w:val="28"/>
              </w:rPr>
              <w:t>三废的治理</w:t>
            </w:r>
          </w:p>
          <w:p w14:paraId="6CD9D2BE">
            <w:pPr>
              <w:spacing w:line="360" w:lineRule="auto"/>
              <w:rPr>
                <w:rFonts w:ascii="Times New Roman" w:hAnsi="Times New Roman"/>
                <w:b/>
                <w:sz w:val="24"/>
              </w:rPr>
            </w:pPr>
            <w:r>
              <w:rPr>
                <w:rFonts w:ascii="Times New Roman" w:hAnsi="Times New Roman"/>
                <w:b/>
                <w:sz w:val="24"/>
              </w:rPr>
              <w:t>一、废气</w:t>
            </w:r>
          </w:p>
          <w:p w14:paraId="636C4CE2">
            <w:pPr>
              <w:pStyle w:val="32"/>
              <w:widowControl w:val="0"/>
              <w:spacing w:before="0" w:beforeAutospacing="0" w:after="0" w:afterAutospacing="0" w:line="360" w:lineRule="auto"/>
              <w:ind w:firstLine="480" w:firstLineChars="200"/>
              <w:jc w:val="both"/>
              <w:rPr>
                <w:rFonts w:ascii="Times New Roman" w:hAnsi="Times New Roman" w:cs="Times New Roman"/>
                <w:bCs/>
              </w:rPr>
            </w:pPr>
            <w:r>
              <w:rPr>
                <w:rFonts w:hint="eastAsia" w:ascii="Times New Roman" w:hAnsi="Times New Roman" w:cs="Times New Roman"/>
                <w:bCs/>
              </w:rPr>
              <w:t>项目运行过程中，不产生放射性“三废”。</w:t>
            </w:r>
          </w:p>
          <w:p w14:paraId="03D87330">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X射线探伤机在曝光过程中会产生有害气体臭氧和</w:t>
            </w:r>
            <w:r>
              <w:rPr>
                <w:rFonts w:ascii="Times New Roman" w:hAnsi="Times New Roman" w:cs="Times New Roman"/>
                <w:bCs/>
              </w:rPr>
              <w:t>氮氧化物</w:t>
            </w:r>
            <w:r>
              <w:rPr>
                <w:rFonts w:ascii="Times New Roman" w:hAnsi="Times New Roman" w:cs="Times New Roman"/>
              </w:rPr>
              <w:t>，本项目探伤不涉及室内探伤，探伤工作地点周围一般为较开放的场所，大气扩散条件良好，产生的臭氧和氮氧化物经自然分解和稀释后，对周围大气环境的影响较小。</w:t>
            </w:r>
          </w:p>
          <w:p w14:paraId="21C79BF5">
            <w:pPr>
              <w:spacing w:line="360" w:lineRule="auto"/>
              <w:rPr>
                <w:rFonts w:ascii="Times New Roman" w:hAnsi="Times New Roman"/>
                <w:b/>
                <w:sz w:val="24"/>
              </w:rPr>
            </w:pPr>
            <w:r>
              <w:rPr>
                <w:rFonts w:ascii="Times New Roman" w:hAnsi="Times New Roman"/>
                <w:b/>
                <w:sz w:val="24"/>
              </w:rPr>
              <w:t>二、废水</w:t>
            </w:r>
          </w:p>
          <w:p w14:paraId="2CFF70EC">
            <w:pPr>
              <w:spacing w:line="360" w:lineRule="auto"/>
              <w:ind w:firstLine="480" w:firstLineChars="200"/>
              <w:rPr>
                <w:rFonts w:ascii="Times New Roman" w:hAnsi="Times New Roman"/>
                <w:sz w:val="24"/>
                <w:lang w:bidi="ar"/>
              </w:rPr>
            </w:pPr>
            <w:r>
              <w:rPr>
                <w:rFonts w:ascii="Times New Roman" w:hAnsi="Times New Roman"/>
                <w:sz w:val="24"/>
                <w:lang w:bidi="ar"/>
              </w:rPr>
              <w:t>本项目工作人员由公司原有人员调剂使用，不新增工作人员，不新增生活污水。</w:t>
            </w:r>
          </w:p>
          <w:p w14:paraId="5A862EE3">
            <w:pPr>
              <w:spacing w:line="360" w:lineRule="auto"/>
              <w:rPr>
                <w:rFonts w:ascii="Times New Roman" w:hAnsi="Times New Roman"/>
                <w:b/>
                <w:sz w:val="24"/>
              </w:rPr>
            </w:pPr>
            <w:r>
              <w:rPr>
                <w:rFonts w:ascii="Times New Roman" w:hAnsi="Times New Roman"/>
                <w:b/>
                <w:sz w:val="24"/>
              </w:rPr>
              <w:t>三、固废</w:t>
            </w:r>
          </w:p>
          <w:p w14:paraId="68C1ABFB">
            <w:pPr>
              <w:pStyle w:val="32"/>
              <w:widowControl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lang w:bidi="ar"/>
              </w:rPr>
              <w:t>本项目工作人员由公司原有人员调剂使用，不新增工作人员，不新增生活垃圾；</w:t>
            </w:r>
            <w:r>
              <w:rPr>
                <w:rFonts w:ascii="Times New Roman" w:hAnsi="Times New Roman" w:cs="Times New Roman"/>
              </w:rPr>
              <w:t>运营期产生的固废主要为洗片过程中产生的废显影液、废定影液（含冲洗废水）、废胶片等危险废物，</w:t>
            </w:r>
            <w:bookmarkStart w:id="37" w:name="OLE_LINK19"/>
            <w:bookmarkStart w:id="38" w:name="OLE_LINK18"/>
            <w:r>
              <w:rPr>
                <w:rFonts w:ascii="Times New Roman" w:hAnsi="Times New Roman" w:cs="Times New Roman"/>
              </w:rPr>
              <w:t>废显影液、废定影液（含冲洗废水）、废胶片</w:t>
            </w:r>
            <w:bookmarkEnd w:id="37"/>
            <w:bookmarkEnd w:id="38"/>
            <w:r>
              <w:rPr>
                <w:rFonts w:ascii="Times New Roman" w:hAnsi="Times New Roman" w:cs="Times New Roman"/>
              </w:rPr>
              <w:t>等危险废物产生后暂存于危废间内，定期（处置周期为一</w:t>
            </w:r>
            <w:r>
              <w:rPr>
                <w:rFonts w:hint="eastAsia" w:ascii="Times New Roman" w:hAnsi="Times New Roman" w:cs="Times New Roman"/>
              </w:rPr>
              <w:t>年</w:t>
            </w:r>
            <w:r>
              <w:rPr>
                <w:rFonts w:ascii="Times New Roman" w:hAnsi="Times New Roman" w:cs="Times New Roman"/>
              </w:rPr>
              <w:t>）</w:t>
            </w:r>
            <w:r>
              <w:t>经承德双然环保科技有限公司收集后交由有危废处理资质的</w:t>
            </w:r>
            <w:r>
              <w:rPr>
                <w:rFonts w:hint="eastAsia"/>
              </w:rPr>
              <w:t>万德斯(唐山曹妃甸)环保科技有限公司处置</w:t>
            </w:r>
            <w:r>
              <w:rPr>
                <w:rFonts w:ascii="Times New Roman" w:hAnsi="Times New Roman" w:cs="Times New Roman"/>
              </w:rPr>
              <w:t>。</w:t>
            </w:r>
          </w:p>
          <w:p w14:paraId="04B360D6">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7096A571">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5E55C6A0">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1BB1DB98">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1142062D">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2CF3A96A">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1AB722C6">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7EBDC28B">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50DD4CAD">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54D35E31">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4BD1535E">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3878279F">
            <w:pPr>
              <w:pStyle w:val="32"/>
              <w:widowControl w:val="0"/>
              <w:spacing w:before="0" w:beforeAutospacing="0" w:after="0" w:afterAutospacing="0" w:line="360" w:lineRule="auto"/>
              <w:ind w:firstLine="480" w:firstLineChars="200"/>
              <w:jc w:val="both"/>
              <w:rPr>
                <w:rFonts w:ascii="Times New Roman" w:hAnsi="Times New Roman" w:cs="Times New Roman"/>
              </w:rPr>
            </w:pPr>
          </w:p>
          <w:p w14:paraId="236C0EF1">
            <w:pPr>
              <w:pStyle w:val="32"/>
              <w:widowControl w:val="0"/>
              <w:spacing w:before="0" w:beforeAutospacing="0" w:after="0" w:afterAutospacing="0" w:line="360" w:lineRule="auto"/>
              <w:jc w:val="both"/>
              <w:rPr>
                <w:rFonts w:ascii="Times New Roman" w:hAnsi="Times New Roman" w:cs="Times New Roman"/>
                <w:sz w:val="18"/>
              </w:rPr>
            </w:pPr>
          </w:p>
        </w:tc>
      </w:tr>
    </w:tbl>
    <w:p w14:paraId="5B58E8DB">
      <w:pPr>
        <w:pStyle w:val="14"/>
        <w:jc w:val="left"/>
        <w:outlineLvl w:val="0"/>
        <w:rPr>
          <w:rFonts w:ascii="Times New Roman" w:hAnsi="Times New Roman"/>
          <w:b/>
          <w:bCs/>
          <w:szCs w:val="28"/>
        </w:rPr>
        <w:sectPr>
          <w:footerReference r:id="rId6" w:type="default"/>
          <w:pgSz w:w="11906" w:h="16838"/>
          <w:pgMar w:top="1134" w:right="1134" w:bottom="1134" w:left="1701" w:header="851" w:footer="851" w:gutter="0"/>
          <w:cols w:space="720" w:num="1"/>
          <w:docGrid w:linePitch="312" w:charSpace="0"/>
        </w:sectPr>
      </w:pPr>
    </w:p>
    <w:p w14:paraId="0A60968C">
      <w:pPr>
        <w:pStyle w:val="14"/>
        <w:jc w:val="left"/>
        <w:outlineLvl w:val="0"/>
        <w:rPr>
          <w:rFonts w:ascii="Times New Roman" w:hAnsi="Times New Roman"/>
          <w:b/>
          <w:bCs/>
          <w:szCs w:val="28"/>
        </w:rPr>
      </w:pPr>
      <w:bookmarkStart w:id="39" w:name="_Toc188277748"/>
      <w:r>
        <w:rPr>
          <w:rFonts w:ascii="Times New Roman" w:hAnsi="Times New Roman"/>
          <w:b/>
          <w:bCs/>
          <w:szCs w:val="28"/>
        </w:rPr>
        <w:t>表11 环境影响分析</w:t>
      </w:r>
      <w:bookmarkEnd w:id="39"/>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9B9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14:paraId="367C2DD6">
            <w:pPr>
              <w:adjustRightInd w:val="0"/>
              <w:snapToGrid w:val="0"/>
              <w:spacing w:line="360" w:lineRule="auto"/>
              <w:rPr>
                <w:rFonts w:ascii="Times New Roman" w:hAnsi="Times New Roman"/>
                <w:b/>
                <w:bCs/>
                <w:sz w:val="28"/>
                <w:szCs w:val="28"/>
              </w:rPr>
            </w:pPr>
            <w:r>
              <w:rPr>
                <w:rFonts w:ascii="Times New Roman" w:hAnsi="Times New Roman"/>
                <w:b/>
                <w:bCs/>
                <w:sz w:val="28"/>
                <w:szCs w:val="28"/>
              </w:rPr>
              <w:t>建设阶段对环境的影响</w:t>
            </w:r>
          </w:p>
          <w:p w14:paraId="54F72E54">
            <w:pPr>
              <w:tabs>
                <w:tab w:val="left" w:pos="700"/>
              </w:tabs>
              <w:spacing w:line="360" w:lineRule="auto"/>
              <w:ind w:firstLine="480" w:firstLineChars="200"/>
              <w:rPr>
                <w:rFonts w:ascii="Times New Roman" w:hAnsi="Times New Roman"/>
                <w:sz w:val="24"/>
              </w:rPr>
            </w:pPr>
            <w:r>
              <w:rPr>
                <w:rFonts w:ascii="Times New Roman" w:hAnsi="Times New Roman"/>
                <w:sz w:val="24"/>
              </w:rPr>
              <w:t>本项目利用公司原有厂区一层设备室储存探伤机，利用公司厂区已有暗室进行胶片处理工作，利用公司厂区已有危废间进行危废暂存，野外（室外）探伤作业无施工期，因此，本项目不存在施工期环境影响。</w:t>
            </w:r>
          </w:p>
        </w:tc>
      </w:tr>
      <w:tr w14:paraId="03A7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14:paraId="3E158D56">
            <w:pPr>
              <w:adjustRightInd w:val="0"/>
              <w:snapToGrid w:val="0"/>
              <w:spacing w:line="360" w:lineRule="auto"/>
              <w:jc w:val="left"/>
              <w:rPr>
                <w:rFonts w:ascii="Times New Roman" w:hAnsi="Times New Roman"/>
                <w:b/>
                <w:bCs/>
                <w:sz w:val="28"/>
                <w:szCs w:val="28"/>
              </w:rPr>
            </w:pPr>
            <w:r>
              <w:rPr>
                <w:rFonts w:ascii="Times New Roman" w:hAnsi="Times New Roman"/>
                <w:b/>
                <w:bCs/>
                <w:sz w:val="28"/>
                <w:szCs w:val="28"/>
              </w:rPr>
              <w:t>运行阶段对环境的影响</w:t>
            </w:r>
          </w:p>
          <w:p w14:paraId="31129C96">
            <w:pPr>
              <w:spacing w:line="360" w:lineRule="auto"/>
              <w:ind w:firstLine="480" w:firstLineChars="200"/>
              <w:rPr>
                <w:rFonts w:ascii="Times New Roman" w:hAnsi="Times New Roman"/>
                <w:sz w:val="24"/>
              </w:rPr>
            </w:pPr>
            <w:r>
              <w:rPr>
                <w:rFonts w:ascii="Times New Roman" w:hAnsi="Times New Roman"/>
                <w:sz w:val="24"/>
              </w:rPr>
              <w:t>本项目</w:t>
            </w:r>
            <w:r>
              <w:rPr>
                <w:rFonts w:ascii="Times New Roman" w:hAnsi="Times New Roman"/>
                <w:bCs/>
                <w:sz w:val="24"/>
              </w:rPr>
              <w:t>购置1台XT1605D型定向X射线探伤机(额定最大管电压160kV，额定最大管电流5mA)、1台XXH2005C型周向X射线探伤机(额定最大管电压200kV，额定最大管电流5mA)、1台XT2505C型周向X射线探伤机(额定最大管电压250kV，额定最大管电流5mA)、1台XT2505D型定向X射线探伤机(额定最大管电压250kV，额定最大管电流5mA)和1台XT3005D型定向X射线探伤机(额定最大管电压300kV，额定最大管电流5mA)，</w:t>
            </w:r>
            <w:r>
              <w:rPr>
                <w:rFonts w:ascii="Times New Roman" w:hAnsi="Times New Roman"/>
                <w:sz w:val="24"/>
              </w:rPr>
              <w:t>均属于Ⅱ类射线装置。无野外（室外）探伤作业时，探伤机存放在公司一层设备室内（承德市双滦区双塔山镇256省道地质四队对面），对周围环境无影响。</w:t>
            </w:r>
          </w:p>
          <w:p w14:paraId="5BDBEE4A">
            <w:pPr>
              <w:spacing w:line="360" w:lineRule="auto"/>
              <w:ind w:firstLine="480" w:firstLineChars="200"/>
              <w:rPr>
                <w:rFonts w:ascii="Times New Roman" w:hAnsi="Times New Roman"/>
                <w:sz w:val="24"/>
              </w:rPr>
            </w:pPr>
            <w:r>
              <w:rPr>
                <w:rFonts w:ascii="Times New Roman" w:hAnsi="Times New Roman"/>
                <w:sz w:val="24"/>
              </w:rPr>
              <w:t>年野外（室外）探伤曝光时间总计最大约750h。本项目运营期的环境影响因素为：X射线探伤机工作时产生的X射线、臭氧、</w:t>
            </w:r>
            <w:r>
              <w:rPr>
                <w:rFonts w:ascii="Times New Roman" w:hAnsi="Times New Roman"/>
                <w:bCs/>
                <w:sz w:val="24"/>
              </w:rPr>
              <w:t>氮氧化物</w:t>
            </w:r>
            <w:r>
              <w:rPr>
                <w:rFonts w:ascii="Times New Roman" w:hAnsi="Times New Roman"/>
                <w:sz w:val="24"/>
              </w:rPr>
              <w:t>，洗片过程中产生的废显影液、废定影液、废胶片、洗片废水。</w:t>
            </w:r>
          </w:p>
          <w:p w14:paraId="1F5162C1">
            <w:pPr>
              <w:spacing w:line="360" w:lineRule="auto"/>
              <w:ind w:firstLine="482" w:firstLineChars="200"/>
              <w:rPr>
                <w:rFonts w:ascii="Times New Roman" w:hAnsi="Times New Roman"/>
                <w:b/>
                <w:bCs/>
                <w:kern w:val="0"/>
                <w:sz w:val="24"/>
              </w:rPr>
            </w:pPr>
            <w:r>
              <w:rPr>
                <w:rFonts w:ascii="Times New Roman" w:hAnsi="Times New Roman"/>
                <w:b/>
                <w:bCs/>
                <w:sz w:val="24"/>
              </w:rPr>
              <w:t>一、野外（室外）探伤控制区和监督区的理论划分</w:t>
            </w:r>
          </w:p>
          <w:p w14:paraId="10463FBD">
            <w:pPr>
              <w:adjustRightInd w:val="0"/>
              <w:snapToGrid w:val="0"/>
              <w:spacing w:line="360" w:lineRule="auto"/>
              <w:ind w:firstLine="480" w:firstLineChars="200"/>
              <w:rPr>
                <w:rFonts w:ascii="Times New Roman" w:hAnsi="Times New Roman"/>
                <w:sz w:val="24"/>
              </w:rPr>
            </w:pPr>
            <w:r>
              <w:rPr>
                <w:rFonts w:ascii="Times New Roman" w:hAnsi="Times New Roman"/>
                <w:sz w:val="24"/>
              </w:rPr>
              <w:t>在实际探伤过程中，定向探伤机的主束射向被检查的工件。射线能量根据被检工件的厚度进行调节，有用射束被工件所屏蔽，射线经工件屏蔽后的漏射线对总的剂量贡献较小。在此基础上，建设单位须严格《工业探伤放射防护标准》（GBZ 117-2022），利用辐射剂量率仪将作业场所中周围剂量当量率大于15μSv/h的范围内划为控制区，严禁任何人进入该区域；将控制区边界外、作业时周围剂量当量率大于2.5μSv/h的范围划为监督区，严禁公众成员进入该区域。</w:t>
            </w:r>
          </w:p>
          <w:p w14:paraId="7207DCEB">
            <w:pPr>
              <w:adjustRightInd w:val="0"/>
              <w:snapToGrid w:val="0"/>
              <w:spacing w:line="360" w:lineRule="auto"/>
              <w:ind w:firstLine="480" w:firstLineChars="200"/>
              <w:rPr>
                <w:rFonts w:ascii="Times New Roman" w:hAnsi="Times New Roman"/>
                <w:sz w:val="24"/>
              </w:rPr>
            </w:pPr>
            <w:r>
              <w:rPr>
                <w:rFonts w:ascii="Times New Roman" w:hAnsi="Times New Roman"/>
                <w:bCs/>
                <w:sz w:val="24"/>
              </w:rPr>
              <w:t>本项目在野外（室外）探伤在进行作业时，探伤机作业拟设置铅屏风对</w:t>
            </w:r>
            <w:r>
              <w:rPr>
                <w:rFonts w:ascii="Times New Roman" w:hAnsi="Times New Roman"/>
                <w:sz w:val="24"/>
              </w:rPr>
              <w:t>X</w:t>
            </w:r>
            <w:r>
              <w:rPr>
                <w:rFonts w:ascii="Times New Roman" w:hAnsi="Times New Roman"/>
                <w:bCs/>
                <w:sz w:val="24"/>
              </w:rPr>
              <w:t>射线进行防护。根据</w:t>
            </w:r>
            <w:r>
              <w:rPr>
                <w:rFonts w:ascii="Times New Roman" w:hAnsi="Times New Roman"/>
                <w:sz w:val="24"/>
              </w:rPr>
              <w:t>本项目探伤机类型，分以下两种情况：</w:t>
            </w:r>
          </w:p>
          <w:p w14:paraId="32B32A78">
            <w:pPr>
              <w:adjustRightInd w:val="0"/>
              <w:snapToGrid w:val="0"/>
              <w:spacing w:line="360" w:lineRule="auto"/>
              <w:ind w:firstLine="480"/>
              <w:rPr>
                <w:rFonts w:ascii="Times New Roman" w:hAnsi="Times New Roman"/>
                <w:sz w:val="24"/>
              </w:rPr>
            </w:pPr>
            <w:r>
              <w:rPr>
                <w:rFonts w:hint="eastAsia" w:ascii="宋体" w:hAnsi="宋体" w:cs="宋体"/>
                <w:bCs/>
                <w:sz w:val="24"/>
              </w:rPr>
              <w:t>①</w:t>
            </w:r>
            <w:r>
              <w:rPr>
                <w:rFonts w:ascii="Times New Roman" w:hAnsi="Times New Roman"/>
                <w:bCs/>
                <w:sz w:val="24"/>
              </w:rPr>
              <w:t>定向探伤机：</w:t>
            </w:r>
            <w:r>
              <w:rPr>
                <w:rFonts w:ascii="Times New Roman" w:hAnsi="Times New Roman"/>
                <w:sz w:val="24"/>
              </w:rPr>
              <w:t>在探伤作业前，先将探伤机采用支架固定在被测工件附近。本项目探伤机在探伤过程过程中，出束方向主要朝向地面、平行地面、朝向天空三种情况。本项目探伤机主射方向朝向地面和天空时，四周拟采用不低于“1m×1m”尺寸的5mm铅当量铅屏风进行屏蔽；当主射线束平行于地面时，主射方向拟采用不低于“1m×1m”尺寸的10mm铅当量铅屏风进行屏蔽，其余三侧拟采用5mm铅当量铅屏风进行屏蔽。</w:t>
            </w:r>
          </w:p>
          <w:p w14:paraId="1E710441">
            <w:pPr>
              <w:adjustRightInd w:val="0"/>
              <w:snapToGrid w:val="0"/>
              <w:spacing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bCs/>
                <w:sz w:val="24"/>
              </w:rPr>
              <w:t>周向探伤机：</w:t>
            </w:r>
            <w:r>
              <w:rPr>
                <w:rFonts w:ascii="Times New Roman" w:hAnsi="Times New Roman"/>
                <w:sz w:val="24"/>
              </w:rPr>
              <w:t>本项目</w:t>
            </w:r>
            <w:r>
              <w:rPr>
                <w:rFonts w:ascii="Times New Roman" w:hAnsi="Times New Roman"/>
                <w:bCs/>
                <w:sz w:val="24"/>
              </w:rPr>
              <w:t>周向探伤机</w:t>
            </w:r>
            <w:r>
              <w:rPr>
                <w:rFonts w:ascii="Times New Roman" w:hAnsi="Times New Roman"/>
                <w:sz w:val="24"/>
              </w:rPr>
              <w:t>在探伤作业前，先将探伤机采用支架固定在被测工件内部或者附近，在探伤过程中，出束方向朝向四周及天空。四周拟采用不低于“1m×1m”尺寸的10mm铅当量铅屏风进行屏蔽。</w:t>
            </w:r>
          </w:p>
          <w:p w14:paraId="70BCF01A">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探伤机控制电缆长度约为25m，具备延时功能。探伤作业时，操作人员位于探伤机非主射方向或控制区外，电缆长度或控制距离大于非主射方向控制区范围。因此，本项目电缆长度能够满足人员位于控制区边界外的要求。建设单位在探伤中可通过巡测调整控制区边界位置或者可配合本项目探伤机延时出束功能。室外探伤作业主要采用距离防护，即采用延时曝光后，工作人员迅速退居到控制区范围外的方式进行防护。探伤工件一般大于探伤机照射野，若探伤工件小于探伤机照射野，加准直器以保证探伤工件大于照射野的范围，因此，本项目不存在裸照的情况，仅考虑X射线探伤机经工件屏蔽后的控制区和监督区的距离。</w:t>
            </w:r>
          </w:p>
          <w:p w14:paraId="1B540205">
            <w:pPr>
              <w:adjustRightInd w:val="0"/>
              <w:snapToGrid w:val="0"/>
              <w:spacing w:line="360" w:lineRule="auto"/>
              <w:ind w:firstLine="482" w:firstLineChars="200"/>
              <w:rPr>
                <w:rFonts w:ascii="Times New Roman" w:hAnsi="Times New Roman"/>
                <w:b/>
                <w:sz w:val="24"/>
              </w:rPr>
            </w:pPr>
            <w:r>
              <w:rPr>
                <w:rFonts w:ascii="Times New Roman" w:hAnsi="Times New Roman"/>
                <w:b/>
                <w:bCs/>
                <w:sz w:val="24"/>
              </w:rPr>
              <w:t>二、理论计算</w:t>
            </w:r>
          </w:p>
          <w:p w14:paraId="00DE34F0">
            <w:pPr>
              <w:adjustRightInd w:val="0"/>
              <w:snapToGrid w:val="0"/>
              <w:spacing w:line="360" w:lineRule="auto"/>
              <w:ind w:firstLine="482" w:firstLineChars="200"/>
              <w:rPr>
                <w:rFonts w:ascii="Times New Roman" w:hAnsi="Times New Roman"/>
                <w:b/>
                <w:bCs/>
                <w:sz w:val="24"/>
              </w:rPr>
            </w:pPr>
            <w:r>
              <w:rPr>
                <w:rFonts w:ascii="Times New Roman" w:hAnsi="Times New Roman"/>
                <w:b/>
                <w:sz w:val="24"/>
              </w:rPr>
              <w:t>1</w:t>
            </w:r>
            <w:r>
              <w:rPr>
                <w:rFonts w:ascii="Times New Roman" w:hAnsi="Times New Roman"/>
                <w:b/>
                <w:bCs/>
                <w:sz w:val="24"/>
              </w:rPr>
              <w:t>、有用线束</w:t>
            </w:r>
          </w:p>
          <w:p w14:paraId="67A19AB9">
            <w:pPr>
              <w:adjustRightInd w:val="0"/>
              <w:snapToGrid w:val="0"/>
              <w:spacing w:line="360" w:lineRule="auto"/>
              <w:ind w:firstLine="480" w:firstLineChars="200"/>
              <w:rPr>
                <w:rFonts w:ascii="Times New Roman" w:hAnsi="Times New Roman"/>
                <w:sz w:val="24"/>
              </w:rPr>
            </w:pPr>
            <w:r>
              <w:rPr>
                <w:rFonts w:ascii="Times New Roman" w:hAnsi="Times New Roman"/>
                <w:sz w:val="24"/>
              </w:rPr>
              <w:t>根据《辐射防护导论》（方杰主编，P69，式3.1），在距离靶r（m）处由X射线探伤机产生的初级X射线束造成的空气比释动能率计算公式如下：</w:t>
            </w:r>
          </w:p>
          <w:p w14:paraId="3DB9AC9C">
            <w:pPr>
              <w:adjustRightInd w:val="0"/>
              <w:snapToGrid w:val="0"/>
              <w:spacing w:line="360" w:lineRule="auto"/>
              <w:jc w:val="center"/>
              <w:rPr>
                <w:rFonts w:ascii="Times New Roman" w:hAnsi="Times New Roman"/>
                <w:sz w:val="24"/>
              </w:rPr>
            </w:pPr>
            <w:r>
              <w:rPr>
                <w:rFonts w:ascii="Times New Roman" w:hAnsi="Times New Roman"/>
                <w:i/>
                <w:sz w:val="24"/>
              </w:rPr>
              <w:t>D</w:t>
            </w:r>
            <w:r>
              <w:rPr>
                <w:rFonts w:ascii="Times New Roman" w:hAnsi="Times New Roman"/>
                <w:i/>
                <w:sz w:val="24"/>
                <w:vertAlign w:val="subscript"/>
              </w:rPr>
              <w:t>1</w:t>
            </w:r>
            <w:r>
              <w:rPr>
                <w:rFonts w:ascii="Times New Roman" w:hAnsi="Times New Roman"/>
                <w:i/>
                <w:sz w:val="24"/>
              </w:rPr>
              <w:t>=Iδ</w:t>
            </w:r>
            <w:r>
              <w:rPr>
                <w:rFonts w:ascii="Times New Roman" w:hAnsi="Times New Roman"/>
                <w:i/>
                <w:sz w:val="24"/>
                <w:vertAlign w:val="subscript"/>
              </w:rPr>
              <w:t>X</w:t>
            </w:r>
            <w:r>
              <w:rPr>
                <w:rFonts w:ascii="Times New Roman" w:hAnsi="Times New Roman"/>
                <w:i/>
                <w:sz w:val="24"/>
              </w:rPr>
              <w:t>/r</w:t>
            </w:r>
            <w:r>
              <w:rPr>
                <w:rFonts w:ascii="Times New Roman" w:hAnsi="Times New Roman"/>
                <w:i/>
                <w:sz w:val="24"/>
                <w:vertAlign w:val="superscript"/>
              </w:rPr>
              <w:t>2</w:t>
            </w:r>
            <w:r>
              <w:rPr>
                <w:rFonts w:ascii="Times New Roman" w:hAnsi="Times New Roman"/>
                <w:sz w:val="24"/>
              </w:rPr>
              <w:t>……………………（式 1）</w:t>
            </w:r>
          </w:p>
          <w:p w14:paraId="171FB637">
            <w:pPr>
              <w:adjustRightInd w:val="0"/>
              <w:snapToGrid w:val="0"/>
              <w:spacing w:line="360" w:lineRule="auto"/>
              <w:jc w:val="center"/>
              <w:rPr>
                <w:rFonts w:ascii="Times New Roman" w:hAnsi="Times New Roman"/>
                <w:sz w:val="24"/>
              </w:rPr>
            </w:pPr>
            <w:r>
              <w:rPr>
                <w:rFonts w:ascii="Times New Roman" w:hAnsi="Times New Roman"/>
                <w:i/>
                <w:sz w:val="24"/>
              </w:rPr>
              <w:t>D</w:t>
            </w:r>
            <w:r>
              <w:rPr>
                <w:rFonts w:ascii="Times New Roman" w:hAnsi="Times New Roman"/>
                <w:i/>
                <w:sz w:val="24"/>
                <w:vertAlign w:val="subscript"/>
              </w:rPr>
              <w:t>2</w:t>
            </w:r>
            <w:r>
              <w:rPr>
                <w:rFonts w:ascii="Times New Roman" w:hAnsi="Times New Roman"/>
                <w:i/>
                <w:sz w:val="24"/>
              </w:rPr>
              <w:t>=B×D</w:t>
            </w:r>
            <w:r>
              <w:rPr>
                <w:rFonts w:ascii="Times New Roman" w:hAnsi="Times New Roman"/>
                <w:i/>
                <w:sz w:val="24"/>
                <w:vertAlign w:val="subscript"/>
              </w:rPr>
              <w:t>1</w:t>
            </w:r>
            <w:r>
              <w:rPr>
                <w:rFonts w:ascii="Times New Roman" w:hAnsi="Times New Roman"/>
                <w:sz w:val="24"/>
              </w:rPr>
              <w:t>……………………（式 2）</w:t>
            </w:r>
          </w:p>
          <w:p w14:paraId="369E11C8">
            <w:pPr>
              <w:adjustRightInd w:val="0"/>
              <w:snapToGrid w:val="0"/>
              <w:spacing w:line="360" w:lineRule="auto"/>
              <w:jc w:val="center"/>
              <w:rPr>
                <w:rFonts w:ascii="Times New Roman" w:hAnsi="Times New Roman"/>
                <w:b/>
                <w:sz w:val="24"/>
              </w:rPr>
            </w:pPr>
            <w:r>
              <w:rPr>
                <w:rFonts w:ascii="Times New Roman" w:hAnsi="Times New Roman"/>
                <w:i/>
                <w:sz w:val="24"/>
              </w:rPr>
              <w:t>B=10</w:t>
            </w:r>
            <w:r>
              <w:rPr>
                <w:rFonts w:ascii="Times New Roman" w:hAnsi="Times New Roman"/>
                <w:i/>
                <w:sz w:val="24"/>
                <w:vertAlign w:val="superscript"/>
              </w:rPr>
              <w:t>-X/TVL</w:t>
            </w:r>
            <w:r>
              <w:rPr>
                <w:rFonts w:ascii="Times New Roman" w:hAnsi="Times New Roman"/>
                <w:sz w:val="24"/>
              </w:rPr>
              <w:t>……………………（式 3）</w:t>
            </w:r>
          </w:p>
          <w:p w14:paraId="691CE92A">
            <w:pPr>
              <w:pStyle w:val="2"/>
              <w:spacing w:after="0" w:line="360" w:lineRule="auto"/>
              <w:ind w:left="0" w:leftChars="0" w:firstLine="0" w:firstLineChars="0"/>
              <w:rPr>
                <w:sz w:val="24"/>
              </w:rPr>
            </w:pPr>
            <w:r>
              <w:rPr>
                <w:sz w:val="24"/>
              </w:rPr>
              <w:t>公式中：D</w:t>
            </w:r>
            <w:r>
              <w:rPr>
                <w:sz w:val="24"/>
                <w:vertAlign w:val="subscript"/>
              </w:rPr>
              <w:t>1</w:t>
            </w:r>
            <w:r>
              <w:rPr>
                <w:sz w:val="24"/>
              </w:rPr>
              <w:t>—未经工件屏蔽前空气吸收剂量率，mGy·min</w:t>
            </w:r>
            <w:r>
              <w:rPr>
                <w:sz w:val="24"/>
                <w:vertAlign w:val="superscript"/>
              </w:rPr>
              <w:t>-1</w:t>
            </w:r>
            <w:r>
              <w:rPr>
                <w:sz w:val="24"/>
              </w:rPr>
              <w:t>；</w:t>
            </w:r>
          </w:p>
          <w:p w14:paraId="1529E35A">
            <w:pPr>
              <w:pStyle w:val="2"/>
              <w:spacing w:after="0" w:line="360" w:lineRule="auto"/>
              <w:ind w:left="0" w:leftChars="0" w:firstLine="480"/>
              <w:rPr>
                <w:sz w:val="24"/>
              </w:rPr>
            </w:pPr>
            <w:r>
              <w:rPr>
                <w:sz w:val="24"/>
              </w:rPr>
              <w:t>D</w:t>
            </w:r>
            <w:r>
              <w:rPr>
                <w:sz w:val="24"/>
                <w:vertAlign w:val="subscript"/>
              </w:rPr>
              <w:t>2</w:t>
            </w:r>
            <w:r>
              <w:rPr>
                <w:sz w:val="24"/>
              </w:rPr>
              <w:t>—经工件屏蔽后空气吸收剂量率，mGy·min</w:t>
            </w:r>
            <w:r>
              <w:rPr>
                <w:sz w:val="24"/>
                <w:vertAlign w:val="superscript"/>
              </w:rPr>
              <w:t>-1</w:t>
            </w:r>
            <w:r>
              <w:rPr>
                <w:sz w:val="24"/>
              </w:rPr>
              <w:t>；</w:t>
            </w:r>
          </w:p>
          <w:p w14:paraId="0303A72D">
            <w:pPr>
              <w:pStyle w:val="2"/>
              <w:spacing w:after="0" w:line="360" w:lineRule="auto"/>
              <w:ind w:left="0" w:leftChars="0" w:firstLine="480"/>
              <w:rPr>
                <w:sz w:val="24"/>
              </w:rPr>
            </w:pPr>
            <w:r>
              <w:rPr>
                <w:sz w:val="24"/>
              </w:rPr>
              <w:t>I—管电流，mA，本项目5台探伤机的管电流最大均为5mA；</w:t>
            </w:r>
          </w:p>
          <w:p w14:paraId="3E3114A8">
            <w:pPr>
              <w:pStyle w:val="2"/>
              <w:spacing w:after="0" w:line="360" w:lineRule="auto"/>
              <w:ind w:left="0" w:leftChars="0" w:firstLine="480"/>
              <w:rPr>
                <w:sz w:val="24"/>
              </w:rPr>
            </w:pPr>
            <w:r>
              <w:rPr>
                <w:sz w:val="24"/>
              </w:rPr>
              <w:t>δ</w:t>
            </w:r>
            <w:r>
              <w:rPr>
                <w:sz w:val="24"/>
                <w:vertAlign w:val="subscript"/>
              </w:rPr>
              <w:t>X</w:t>
            </w:r>
            <w:r>
              <w:rPr>
                <w:sz w:val="24"/>
              </w:rPr>
              <w:t>—发射率常数，mGy·m</w:t>
            </w:r>
            <w:r>
              <w:rPr>
                <w:sz w:val="24"/>
                <w:vertAlign w:val="superscript"/>
              </w:rPr>
              <w:t>2</w:t>
            </w:r>
            <w:r>
              <w:rPr>
                <w:sz w:val="24"/>
              </w:rPr>
              <w:t>·mA</w:t>
            </w:r>
            <w:r>
              <w:rPr>
                <w:sz w:val="24"/>
                <w:vertAlign w:val="superscript"/>
              </w:rPr>
              <w:t>-1</w:t>
            </w:r>
            <w:r>
              <w:rPr>
                <w:sz w:val="24"/>
              </w:rPr>
              <w:t>min</w:t>
            </w:r>
            <w:r>
              <w:rPr>
                <w:sz w:val="24"/>
                <w:vertAlign w:val="superscript"/>
              </w:rPr>
              <w:t>-1</w:t>
            </w:r>
            <w:r>
              <w:rPr>
                <w:sz w:val="24"/>
              </w:rPr>
              <w:t>，本项目探伤机过滤片材料均按偏保守考虑，参考《工业X射线探伤室辐射屏蔽规范》（GBZ/T 250-2014，表B.1），本项目XT3005D型定向探伤机取滤过条件3mm铝的输出量20.9mGy·m</w:t>
            </w:r>
            <w:r>
              <w:rPr>
                <w:sz w:val="24"/>
                <w:vertAlign w:val="superscript"/>
              </w:rPr>
              <w:t>2</w:t>
            </w:r>
            <w:r>
              <w:rPr>
                <w:sz w:val="24"/>
              </w:rPr>
              <w:t>·mA</w:t>
            </w:r>
            <w:r>
              <w:rPr>
                <w:sz w:val="24"/>
                <w:vertAlign w:val="superscript"/>
              </w:rPr>
              <w:t>-1</w:t>
            </w:r>
            <w:r>
              <w:rPr>
                <w:sz w:val="24"/>
              </w:rPr>
              <w:t>min</w:t>
            </w:r>
            <w:r>
              <w:rPr>
                <w:sz w:val="24"/>
                <w:vertAlign w:val="superscript"/>
              </w:rPr>
              <w:t>-1</w:t>
            </w:r>
            <w:r>
              <w:rPr>
                <w:szCs w:val="22"/>
              </w:rPr>
              <w:t>；</w:t>
            </w:r>
            <w:r>
              <w:rPr>
                <w:sz w:val="24"/>
              </w:rPr>
              <w:t>XT2505D型定向探伤机取滤过条件0.5mm铜的输出量16.5mGy·m</w:t>
            </w:r>
            <w:r>
              <w:rPr>
                <w:sz w:val="24"/>
                <w:vertAlign w:val="superscript"/>
              </w:rPr>
              <w:t>2</w:t>
            </w:r>
            <w:r>
              <w:rPr>
                <w:sz w:val="24"/>
              </w:rPr>
              <w:t>·mA</w:t>
            </w:r>
            <w:r>
              <w:rPr>
                <w:sz w:val="24"/>
                <w:vertAlign w:val="superscript"/>
              </w:rPr>
              <w:t>-1</w:t>
            </w:r>
            <w:r>
              <w:rPr>
                <w:sz w:val="24"/>
              </w:rPr>
              <w:t>min</w:t>
            </w:r>
            <w:r>
              <w:rPr>
                <w:sz w:val="24"/>
                <w:vertAlign w:val="superscript"/>
              </w:rPr>
              <w:t>-1</w:t>
            </w:r>
            <w:r>
              <w:rPr>
                <w:sz w:val="24"/>
              </w:rPr>
              <w:t>；XXH2005C型周向探伤机取滤过条件2mm铝的输出量28.7mGy·m</w:t>
            </w:r>
            <w:r>
              <w:rPr>
                <w:sz w:val="24"/>
                <w:vertAlign w:val="superscript"/>
              </w:rPr>
              <w:t>2</w:t>
            </w:r>
            <w:r>
              <w:rPr>
                <w:sz w:val="24"/>
              </w:rPr>
              <w:t>·mA</w:t>
            </w:r>
            <w:r>
              <w:rPr>
                <w:sz w:val="24"/>
                <w:vertAlign w:val="superscript"/>
              </w:rPr>
              <w:t>-1</w:t>
            </w:r>
            <w:r>
              <w:rPr>
                <w:sz w:val="24"/>
              </w:rPr>
              <w:t>min</w:t>
            </w:r>
            <w:r>
              <w:rPr>
                <w:sz w:val="24"/>
                <w:vertAlign w:val="superscript"/>
              </w:rPr>
              <w:t>-1</w:t>
            </w:r>
            <w:r>
              <w:rPr>
                <w:sz w:val="24"/>
              </w:rPr>
              <w:t>；XT1605D型定向探伤机取滤过条件2mm铝的输出量28.7mGy·m</w:t>
            </w:r>
            <w:r>
              <w:rPr>
                <w:sz w:val="24"/>
                <w:vertAlign w:val="superscript"/>
              </w:rPr>
              <w:t>2</w:t>
            </w:r>
            <w:r>
              <w:rPr>
                <w:sz w:val="24"/>
              </w:rPr>
              <w:t>·mA</w:t>
            </w:r>
            <w:r>
              <w:rPr>
                <w:sz w:val="24"/>
                <w:vertAlign w:val="superscript"/>
              </w:rPr>
              <w:t>-1</w:t>
            </w:r>
            <w:r>
              <w:rPr>
                <w:sz w:val="24"/>
              </w:rPr>
              <w:t>min</w:t>
            </w:r>
            <w:r>
              <w:rPr>
                <w:sz w:val="24"/>
                <w:vertAlign w:val="superscript"/>
              </w:rPr>
              <w:t>-1</w:t>
            </w:r>
            <w:r>
              <w:rPr>
                <w:sz w:val="24"/>
              </w:rPr>
              <w:t>。</w:t>
            </w:r>
          </w:p>
          <w:p w14:paraId="7BF24A6B">
            <w:pPr>
              <w:pStyle w:val="2"/>
              <w:spacing w:after="0" w:line="360" w:lineRule="auto"/>
              <w:ind w:left="0" w:leftChars="0" w:firstLine="480"/>
              <w:rPr>
                <w:sz w:val="24"/>
              </w:rPr>
            </w:pPr>
            <w:r>
              <w:rPr>
                <w:sz w:val="24"/>
              </w:rPr>
              <w:t>r—参考点距X射线管靶点的距离m；</w:t>
            </w:r>
          </w:p>
          <w:p w14:paraId="191DF677">
            <w:pPr>
              <w:pStyle w:val="2"/>
              <w:spacing w:after="0" w:line="360" w:lineRule="auto"/>
              <w:ind w:left="0" w:leftChars="0" w:firstLine="480"/>
              <w:rPr>
                <w:sz w:val="24"/>
              </w:rPr>
            </w:pPr>
            <w:r>
              <w:rPr>
                <w:sz w:val="24"/>
              </w:rPr>
              <w:t>B—透射因子，根据《工业X射线探伤室辐射屏蔽规范》（GBZ/T 250-2014，图B.1），取等效铅当量的对应值，钢箱梁结构钢板对接焊缝厚度为20mm～50mm；压力管道探伤管件厚度为12mm～50mm。根据建设单位提供信息，本项目XT3005型探伤机探伤工件厚度范围为30mm～50mm。则XT3005型定向X射线探伤机探伤工件厚度保守按30mm考虑，根据《辐射防护手册》（第三分册）P63页表3.4，管电压300kV条件下28mm厚铁为3mm铅当量厚度，探伤工件保守按照3mm铅当量进行考虑；</w:t>
            </w:r>
            <w:bookmarkStart w:id="40" w:name="OLE_LINK3"/>
            <w:r>
              <w:rPr>
                <w:sz w:val="24"/>
              </w:rPr>
              <w:t>XT2505型探伤机探伤工件厚度范围为12mm～40mm，XT2505型定向X射线探伤机探伤工件厚度保守按12mm考虑</w:t>
            </w:r>
            <w:bookmarkEnd w:id="40"/>
            <w:r>
              <w:rPr>
                <w:sz w:val="24"/>
              </w:rPr>
              <w:t>，XXH2005型探伤机探伤工件最大厚度24mm，XXH2005型周向X射线探伤机探伤工件厚度保守按12mm考虑；XT1605型探伤机探伤工件厚度最大为20mm，XT1605型定向X射线探伤机探伤工件厚度保守按12mm考虑。根据《辐射防护手册》（第三分册）P63页表3.4，管电压150kV条件下11mm厚铁为1mm铅当量厚度、200kV及300kV条件下12mm厚铁均为1mm铅当量厚度，探伤工件保守按照1mm铅当量进行考虑；</w:t>
            </w:r>
          </w:p>
          <w:p w14:paraId="2D84F5FE">
            <w:pPr>
              <w:pStyle w:val="2"/>
              <w:spacing w:after="0" w:line="360" w:lineRule="auto"/>
              <w:ind w:left="0" w:leftChars="0" w:firstLine="480"/>
              <w:rPr>
                <w:sz w:val="24"/>
              </w:rPr>
            </w:pPr>
            <w:r>
              <w:rPr>
                <w:sz w:val="24"/>
              </w:rPr>
              <w:t>X—屏蔽体厚度；</w:t>
            </w:r>
          </w:p>
          <w:p w14:paraId="60DDE50B">
            <w:pPr>
              <w:pStyle w:val="2"/>
              <w:spacing w:after="0" w:line="360" w:lineRule="auto"/>
              <w:ind w:left="0" w:leftChars="0" w:firstLine="480"/>
              <w:rPr>
                <w:sz w:val="24"/>
              </w:rPr>
            </w:pPr>
            <w:r>
              <w:rPr>
                <w:sz w:val="24"/>
              </w:rPr>
              <w:t>TVL—管电压300kV条件下铅的什值层厚度为5.7mm；管电压250kV条件下铅的什值层厚度为2.9mm；管电压200kV条件下铅的什值层厚度为1.4mm；管电压150kV条件下铅的什值层厚度为0.96mm，本项目XT1605D型探伤机管电压为160kV，保守取200kV条件下铅的什值层厚度为1.4mm。</w:t>
            </w:r>
          </w:p>
          <w:p w14:paraId="3BA8B3AF">
            <w:pPr>
              <w:pStyle w:val="2"/>
              <w:spacing w:after="0" w:line="360" w:lineRule="auto"/>
              <w:ind w:left="0" w:leftChars="0" w:firstLine="480"/>
              <w:rPr>
                <w:sz w:val="24"/>
              </w:rPr>
            </w:pPr>
            <w:r>
              <w:rPr>
                <w:sz w:val="24"/>
              </w:rPr>
              <w:t>根据上述分析，XT1605D型探伤机保守所选参数与XXH2005C型探伤机所选参数以及计算结果一致，因此，只列举其一，计算结果见下表：</w:t>
            </w:r>
          </w:p>
          <w:p w14:paraId="52020E80">
            <w:pPr>
              <w:adjustRightInd w:val="0"/>
              <w:snapToGrid w:val="0"/>
              <w:jc w:val="center"/>
              <w:rPr>
                <w:rFonts w:ascii="Times New Roman" w:hAnsi="Times New Roman"/>
                <w:b/>
                <w:sz w:val="24"/>
              </w:rPr>
            </w:pPr>
            <w:r>
              <w:rPr>
                <w:rFonts w:ascii="Times New Roman" w:hAnsi="Times New Roman"/>
                <w:b/>
                <w:bCs/>
              </w:rPr>
              <w:t>表</w:t>
            </w:r>
            <w:r>
              <w:rPr>
                <w:rFonts w:ascii="Times New Roman" w:hAnsi="Times New Roman"/>
                <w:b/>
              </w:rPr>
              <w:t xml:space="preserve">11-1 </w:t>
            </w:r>
            <w:r>
              <w:rPr>
                <w:rFonts w:ascii="Times New Roman" w:hAnsi="Times New Roman"/>
                <w:b/>
                <w:bCs/>
              </w:rPr>
              <w:t>不同距离主射方向空气吸收剂量计算表（</w:t>
            </w:r>
            <w:r>
              <w:rPr>
                <w:rFonts w:ascii="Times New Roman" w:hAnsi="Times New Roman"/>
                <w:b/>
              </w:rPr>
              <w:t>μSv/h</w:t>
            </w:r>
            <w:r>
              <w:rPr>
                <w:rFonts w:ascii="Times New Roman" w:hAnsi="Times New Roman"/>
                <w:b/>
                <w:bCs/>
              </w:rPr>
              <w:t>）</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166"/>
              <w:gridCol w:w="1505"/>
              <w:gridCol w:w="1111"/>
              <w:gridCol w:w="1539"/>
              <w:gridCol w:w="1191"/>
              <w:gridCol w:w="1532"/>
            </w:tblGrid>
            <w:tr w14:paraId="2ACE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vAlign w:val="center"/>
                </w:tcPr>
                <w:p w14:paraId="33F31ABE">
                  <w:pPr>
                    <w:adjustRightInd w:val="0"/>
                    <w:snapToGrid w:val="0"/>
                    <w:spacing w:line="360" w:lineRule="auto"/>
                    <w:rPr>
                      <w:rFonts w:ascii="Times New Roman" w:hAnsi="Times New Roman"/>
                      <w:b/>
                      <w:bCs/>
                      <w:szCs w:val="21"/>
                    </w:rPr>
                  </w:pPr>
                  <w:bookmarkStart w:id="41" w:name="OLE_LINK1"/>
                  <w:bookmarkStart w:id="42" w:name="OLE_LINK2"/>
                  <w:r>
                    <w:rPr>
                      <w:rFonts w:ascii="Times New Roman" w:hAnsi="Times New Roman"/>
                      <w:b/>
                      <w:bCs/>
                      <w:szCs w:val="21"/>
                    </w:rPr>
                    <w:t>距射线靶的距离（</w:t>
                  </w:r>
                  <w:r>
                    <w:rPr>
                      <w:rFonts w:ascii="Times New Roman" w:hAnsi="Times New Roman"/>
                      <w:szCs w:val="21"/>
                    </w:rPr>
                    <w:t>m</w:t>
                  </w:r>
                  <w:r>
                    <w:rPr>
                      <w:rFonts w:ascii="Times New Roman" w:hAnsi="Times New Roman"/>
                      <w:b/>
                      <w:bCs/>
                      <w:szCs w:val="21"/>
                    </w:rPr>
                    <w:t>）</w:t>
                  </w:r>
                </w:p>
              </w:tc>
              <w:tc>
                <w:tcPr>
                  <w:tcW w:w="1510" w:type="pct"/>
                  <w:gridSpan w:val="2"/>
                  <w:tcBorders>
                    <w:top w:val="single" w:color="auto" w:sz="4" w:space="0"/>
                    <w:left w:val="single" w:color="auto" w:sz="4" w:space="0"/>
                    <w:bottom w:val="single" w:color="auto" w:sz="4" w:space="0"/>
                    <w:right w:val="single" w:color="auto" w:sz="4" w:space="0"/>
                  </w:tcBorders>
                </w:tcPr>
                <w:p w14:paraId="1055C77D">
                  <w:pPr>
                    <w:adjustRightInd w:val="0"/>
                    <w:snapToGrid w:val="0"/>
                    <w:spacing w:line="360" w:lineRule="auto"/>
                    <w:jc w:val="center"/>
                    <w:rPr>
                      <w:rFonts w:ascii="Times New Roman" w:hAnsi="Times New Roman"/>
                      <w:b/>
                      <w:bCs/>
                      <w:szCs w:val="21"/>
                    </w:rPr>
                  </w:pPr>
                  <w:r>
                    <w:rPr>
                      <w:rFonts w:ascii="Times New Roman" w:hAnsi="Times New Roman"/>
                      <w:szCs w:val="21"/>
                    </w:rPr>
                    <w:t>XT1605D</w:t>
                  </w:r>
                  <w:r>
                    <w:rPr>
                      <w:rFonts w:ascii="Times New Roman" w:hAnsi="Times New Roman"/>
                      <w:b/>
                      <w:bCs/>
                      <w:szCs w:val="21"/>
                    </w:rPr>
                    <w:t>定向</w:t>
                  </w:r>
                </w:p>
                <w:p w14:paraId="45D2BF6E">
                  <w:pPr>
                    <w:adjustRightInd w:val="0"/>
                    <w:snapToGrid w:val="0"/>
                    <w:spacing w:line="360" w:lineRule="auto"/>
                    <w:jc w:val="center"/>
                    <w:rPr>
                      <w:rFonts w:ascii="Times New Roman" w:hAnsi="Times New Roman"/>
                      <w:szCs w:val="21"/>
                    </w:rPr>
                  </w:pPr>
                  <w:r>
                    <w:rPr>
                      <w:rFonts w:ascii="Times New Roman" w:hAnsi="Times New Roman"/>
                      <w:szCs w:val="21"/>
                    </w:rPr>
                    <w:t>X</w:t>
                  </w:r>
                  <w:r>
                    <w:rPr>
                      <w:rFonts w:ascii="Times New Roman" w:hAnsi="Times New Roman"/>
                      <w:b/>
                      <w:bCs/>
                      <w:szCs w:val="21"/>
                    </w:rPr>
                    <w:t>射线探伤机</w:t>
                  </w:r>
                </w:p>
              </w:tc>
              <w:tc>
                <w:tcPr>
                  <w:tcW w:w="1498" w:type="pct"/>
                  <w:gridSpan w:val="2"/>
                  <w:vAlign w:val="center"/>
                </w:tcPr>
                <w:p w14:paraId="4106C191">
                  <w:pPr>
                    <w:adjustRightInd w:val="0"/>
                    <w:snapToGrid w:val="0"/>
                    <w:spacing w:line="360" w:lineRule="auto"/>
                    <w:jc w:val="center"/>
                    <w:rPr>
                      <w:rFonts w:ascii="Times New Roman" w:hAnsi="Times New Roman"/>
                      <w:b/>
                      <w:bCs/>
                      <w:szCs w:val="21"/>
                    </w:rPr>
                  </w:pPr>
                  <w:r>
                    <w:rPr>
                      <w:rFonts w:ascii="Times New Roman" w:hAnsi="Times New Roman"/>
                      <w:szCs w:val="21"/>
                    </w:rPr>
                    <w:t>XT2505D</w:t>
                  </w:r>
                  <w:r>
                    <w:rPr>
                      <w:rFonts w:ascii="Times New Roman" w:hAnsi="Times New Roman"/>
                      <w:b/>
                      <w:bCs/>
                      <w:szCs w:val="21"/>
                    </w:rPr>
                    <w:t>定向</w:t>
                  </w:r>
                </w:p>
                <w:p w14:paraId="3B3CB304">
                  <w:pPr>
                    <w:adjustRightInd w:val="0"/>
                    <w:snapToGrid w:val="0"/>
                    <w:spacing w:line="360" w:lineRule="auto"/>
                    <w:jc w:val="center"/>
                    <w:rPr>
                      <w:rFonts w:ascii="Times New Roman" w:hAnsi="Times New Roman"/>
                      <w:b/>
                      <w:szCs w:val="21"/>
                    </w:rPr>
                  </w:pPr>
                  <w:r>
                    <w:rPr>
                      <w:rFonts w:ascii="Times New Roman" w:hAnsi="Times New Roman"/>
                      <w:szCs w:val="21"/>
                    </w:rPr>
                    <w:t>X</w:t>
                  </w:r>
                  <w:r>
                    <w:rPr>
                      <w:rFonts w:ascii="Times New Roman" w:hAnsi="Times New Roman"/>
                      <w:b/>
                      <w:bCs/>
                      <w:szCs w:val="21"/>
                    </w:rPr>
                    <w:t>射线探伤机</w:t>
                  </w:r>
                </w:p>
              </w:tc>
              <w:tc>
                <w:tcPr>
                  <w:tcW w:w="1539" w:type="pct"/>
                  <w:gridSpan w:val="2"/>
                  <w:vAlign w:val="center"/>
                </w:tcPr>
                <w:p w14:paraId="22AC640A">
                  <w:pPr>
                    <w:adjustRightInd w:val="0"/>
                    <w:snapToGrid w:val="0"/>
                    <w:spacing w:line="360" w:lineRule="auto"/>
                    <w:jc w:val="center"/>
                    <w:rPr>
                      <w:rFonts w:ascii="Times New Roman" w:hAnsi="Times New Roman"/>
                      <w:b/>
                      <w:bCs/>
                      <w:szCs w:val="21"/>
                    </w:rPr>
                  </w:pPr>
                  <w:r>
                    <w:rPr>
                      <w:rFonts w:ascii="Times New Roman" w:hAnsi="Times New Roman"/>
                      <w:szCs w:val="21"/>
                    </w:rPr>
                    <w:t>XT3005D</w:t>
                  </w:r>
                  <w:r>
                    <w:rPr>
                      <w:rFonts w:ascii="Times New Roman" w:hAnsi="Times New Roman"/>
                      <w:b/>
                      <w:bCs/>
                      <w:szCs w:val="21"/>
                    </w:rPr>
                    <w:t>定向</w:t>
                  </w:r>
                </w:p>
                <w:p w14:paraId="4A86A754">
                  <w:pPr>
                    <w:adjustRightInd w:val="0"/>
                    <w:snapToGrid w:val="0"/>
                    <w:spacing w:line="360" w:lineRule="auto"/>
                    <w:jc w:val="center"/>
                    <w:rPr>
                      <w:rFonts w:ascii="Times New Roman" w:hAnsi="Times New Roman"/>
                      <w:b/>
                      <w:szCs w:val="21"/>
                    </w:rPr>
                  </w:pPr>
                  <w:r>
                    <w:rPr>
                      <w:rFonts w:ascii="Times New Roman" w:hAnsi="Times New Roman"/>
                      <w:szCs w:val="21"/>
                    </w:rPr>
                    <w:t>X</w:t>
                  </w:r>
                  <w:r>
                    <w:rPr>
                      <w:rFonts w:ascii="Times New Roman" w:hAnsi="Times New Roman"/>
                      <w:b/>
                      <w:bCs/>
                      <w:szCs w:val="21"/>
                    </w:rPr>
                    <w:t>射线探伤机</w:t>
                  </w:r>
                </w:p>
              </w:tc>
            </w:tr>
            <w:tr w14:paraId="0C72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vAlign w:val="center"/>
                </w:tcPr>
                <w:p w14:paraId="3F5E2AD8">
                  <w:pPr>
                    <w:adjustRightInd w:val="0"/>
                    <w:snapToGrid w:val="0"/>
                    <w:spacing w:line="360" w:lineRule="auto"/>
                    <w:jc w:val="center"/>
                    <w:rPr>
                      <w:rFonts w:ascii="Times New Roman" w:hAnsi="Times New Roman"/>
                      <w:b/>
                      <w:szCs w:val="21"/>
                    </w:rPr>
                  </w:pPr>
                </w:p>
              </w:tc>
              <w:tc>
                <w:tcPr>
                  <w:tcW w:w="659" w:type="pct"/>
                  <w:tcBorders>
                    <w:top w:val="single" w:color="auto" w:sz="4" w:space="0"/>
                    <w:left w:val="single" w:color="auto" w:sz="4" w:space="0"/>
                    <w:bottom w:val="single" w:color="auto" w:sz="4" w:space="0"/>
                    <w:right w:val="single" w:color="auto" w:sz="4" w:space="0"/>
                  </w:tcBorders>
                  <w:vAlign w:val="center"/>
                </w:tcPr>
                <w:p w14:paraId="1A9E7657">
                  <w:pPr>
                    <w:tabs>
                      <w:tab w:val="left" w:pos="465"/>
                    </w:tabs>
                    <w:adjustRightInd w:val="0"/>
                    <w:snapToGrid w:val="0"/>
                    <w:spacing w:line="360" w:lineRule="auto"/>
                    <w:jc w:val="center"/>
                    <w:rPr>
                      <w:rFonts w:ascii="Times New Roman" w:hAnsi="Times New Roman"/>
                      <w:b/>
                      <w:bCs/>
                      <w:szCs w:val="21"/>
                    </w:rPr>
                  </w:pPr>
                  <w:r>
                    <w:rPr>
                      <w:rFonts w:ascii="Times New Roman" w:hAnsi="Times New Roman"/>
                      <w:b/>
                      <w:bCs/>
                      <w:szCs w:val="21"/>
                    </w:rPr>
                    <w:t>无铅屏风遮挡</w:t>
                  </w:r>
                </w:p>
              </w:tc>
              <w:tc>
                <w:tcPr>
                  <w:tcW w:w="851" w:type="pct"/>
                  <w:tcBorders>
                    <w:top w:val="single" w:color="auto" w:sz="4" w:space="0"/>
                    <w:left w:val="single" w:color="auto" w:sz="4" w:space="0"/>
                    <w:bottom w:val="single" w:color="auto" w:sz="4" w:space="0"/>
                    <w:right w:val="single" w:color="auto" w:sz="4" w:space="0"/>
                  </w:tcBorders>
                  <w:vAlign w:val="center"/>
                </w:tcPr>
                <w:p w14:paraId="4C2EA13A">
                  <w:pPr>
                    <w:tabs>
                      <w:tab w:val="left" w:pos="465"/>
                    </w:tabs>
                    <w:adjustRightInd w:val="0"/>
                    <w:snapToGrid w:val="0"/>
                    <w:spacing w:line="360" w:lineRule="auto"/>
                    <w:jc w:val="center"/>
                    <w:rPr>
                      <w:rFonts w:ascii="Times New Roman" w:hAnsi="Times New Roman"/>
                      <w:b/>
                      <w:szCs w:val="21"/>
                    </w:rPr>
                  </w:pPr>
                  <w:r>
                    <w:rPr>
                      <w:rFonts w:ascii="Times New Roman" w:hAnsi="Times New Roman"/>
                      <w:b/>
                      <w:bCs/>
                      <w:szCs w:val="21"/>
                    </w:rPr>
                    <w:t>有铅屏风遮挡（</w:t>
                  </w:r>
                  <w:r>
                    <w:rPr>
                      <w:rFonts w:ascii="Times New Roman" w:hAnsi="Times New Roman"/>
                      <w:szCs w:val="21"/>
                    </w:rPr>
                    <w:t>5mm</w:t>
                  </w:r>
                  <w:r>
                    <w:rPr>
                      <w:rFonts w:ascii="Times New Roman" w:hAnsi="Times New Roman"/>
                      <w:b/>
                      <w:bCs/>
                      <w:szCs w:val="21"/>
                    </w:rPr>
                    <w:t>）</w:t>
                  </w:r>
                </w:p>
              </w:tc>
              <w:tc>
                <w:tcPr>
                  <w:tcW w:w="628" w:type="pct"/>
                  <w:vAlign w:val="center"/>
                </w:tcPr>
                <w:p w14:paraId="33EBFBB2">
                  <w:pPr>
                    <w:tabs>
                      <w:tab w:val="left" w:pos="465"/>
                    </w:tabs>
                    <w:adjustRightInd w:val="0"/>
                    <w:snapToGrid w:val="0"/>
                    <w:spacing w:line="360" w:lineRule="auto"/>
                    <w:jc w:val="center"/>
                    <w:rPr>
                      <w:rFonts w:ascii="Times New Roman" w:hAnsi="Times New Roman"/>
                      <w:b/>
                      <w:bCs/>
                      <w:szCs w:val="21"/>
                    </w:rPr>
                  </w:pPr>
                  <w:r>
                    <w:rPr>
                      <w:rFonts w:ascii="Times New Roman" w:hAnsi="Times New Roman"/>
                      <w:b/>
                      <w:bCs/>
                      <w:szCs w:val="21"/>
                    </w:rPr>
                    <w:t>无铅屏风遮挡</w:t>
                  </w:r>
                </w:p>
              </w:tc>
              <w:tc>
                <w:tcPr>
                  <w:tcW w:w="870" w:type="pct"/>
                  <w:vAlign w:val="center"/>
                </w:tcPr>
                <w:p w14:paraId="7F23BC65">
                  <w:pPr>
                    <w:tabs>
                      <w:tab w:val="left" w:pos="465"/>
                    </w:tabs>
                    <w:adjustRightInd w:val="0"/>
                    <w:snapToGrid w:val="0"/>
                    <w:spacing w:line="360" w:lineRule="auto"/>
                    <w:jc w:val="center"/>
                    <w:rPr>
                      <w:rFonts w:ascii="Times New Roman" w:hAnsi="Times New Roman"/>
                      <w:b/>
                      <w:szCs w:val="21"/>
                    </w:rPr>
                  </w:pPr>
                  <w:r>
                    <w:rPr>
                      <w:rFonts w:ascii="Times New Roman" w:hAnsi="Times New Roman"/>
                      <w:b/>
                      <w:bCs/>
                      <w:szCs w:val="21"/>
                    </w:rPr>
                    <w:t>有铅屏风遮挡（</w:t>
                  </w:r>
                  <w:r>
                    <w:rPr>
                      <w:rFonts w:ascii="Times New Roman" w:hAnsi="Times New Roman"/>
                      <w:szCs w:val="21"/>
                    </w:rPr>
                    <w:t>10mm</w:t>
                  </w:r>
                  <w:r>
                    <w:rPr>
                      <w:rFonts w:ascii="Times New Roman" w:hAnsi="Times New Roman"/>
                      <w:b/>
                      <w:bCs/>
                      <w:szCs w:val="21"/>
                    </w:rPr>
                    <w:t>）</w:t>
                  </w:r>
                </w:p>
              </w:tc>
              <w:tc>
                <w:tcPr>
                  <w:tcW w:w="673" w:type="pct"/>
                  <w:vAlign w:val="center"/>
                </w:tcPr>
                <w:p w14:paraId="18FF5BA4">
                  <w:pPr>
                    <w:tabs>
                      <w:tab w:val="left" w:pos="465"/>
                    </w:tabs>
                    <w:adjustRightInd w:val="0"/>
                    <w:snapToGrid w:val="0"/>
                    <w:spacing w:line="360" w:lineRule="auto"/>
                    <w:jc w:val="center"/>
                    <w:rPr>
                      <w:rFonts w:ascii="Times New Roman" w:hAnsi="Times New Roman"/>
                      <w:b/>
                      <w:bCs/>
                      <w:szCs w:val="21"/>
                    </w:rPr>
                  </w:pPr>
                  <w:r>
                    <w:rPr>
                      <w:rFonts w:ascii="Times New Roman" w:hAnsi="Times New Roman"/>
                      <w:b/>
                      <w:bCs/>
                      <w:szCs w:val="21"/>
                    </w:rPr>
                    <w:t>无铅屏风遮挡</w:t>
                  </w:r>
                </w:p>
              </w:tc>
              <w:tc>
                <w:tcPr>
                  <w:tcW w:w="866" w:type="pct"/>
                  <w:vAlign w:val="center"/>
                </w:tcPr>
                <w:p w14:paraId="176B5A41">
                  <w:pPr>
                    <w:tabs>
                      <w:tab w:val="left" w:pos="465"/>
                    </w:tabs>
                    <w:adjustRightInd w:val="0"/>
                    <w:snapToGrid w:val="0"/>
                    <w:spacing w:line="360" w:lineRule="auto"/>
                    <w:jc w:val="center"/>
                    <w:rPr>
                      <w:rFonts w:ascii="Times New Roman" w:hAnsi="Times New Roman"/>
                      <w:b/>
                      <w:szCs w:val="21"/>
                    </w:rPr>
                  </w:pPr>
                  <w:r>
                    <w:rPr>
                      <w:rFonts w:ascii="Times New Roman" w:hAnsi="Times New Roman"/>
                      <w:b/>
                      <w:bCs/>
                      <w:szCs w:val="21"/>
                    </w:rPr>
                    <w:t>有铅屏风遮挡（</w:t>
                  </w:r>
                  <w:r>
                    <w:rPr>
                      <w:rFonts w:ascii="Times New Roman" w:hAnsi="Times New Roman"/>
                      <w:szCs w:val="21"/>
                    </w:rPr>
                    <w:t>10mm</w:t>
                  </w:r>
                  <w:r>
                    <w:rPr>
                      <w:rFonts w:ascii="Times New Roman" w:hAnsi="Times New Roman"/>
                      <w:b/>
                      <w:bCs/>
                      <w:szCs w:val="21"/>
                    </w:rPr>
                    <w:t>）</w:t>
                  </w:r>
                </w:p>
              </w:tc>
            </w:tr>
            <w:tr w14:paraId="15C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117C9DBF">
                  <w:pPr>
                    <w:adjustRightInd w:val="0"/>
                    <w:snapToGrid w:val="0"/>
                    <w:jc w:val="center"/>
                    <w:rPr>
                      <w:rFonts w:ascii="Times New Roman" w:hAnsi="Times New Roman"/>
                      <w:b/>
                      <w:szCs w:val="21"/>
                    </w:rPr>
                  </w:pPr>
                  <w:r>
                    <w:rPr>
                      <w:rFonts w:ascii="Times New Roman" w:hAnsi="Times New Roman"/>
                      <w:b/>
                      <w:szCs w:val="21"/>
                    </w:rPr>
                    <w:t>4</w:t>
                  </w:r>
                </w:p>
              </w:tc>
              <w:tc>
                <w:tcPr>
                  <w:tcW w:w="659" w:type="pct"/>
                  <w:tcBorders>
                    <w:top w:val="single" w:color="auto" w:sz="4" w:space="0"/>
                    <w:left w:val="single" w:color="auto" w:sz="4" w:space="0"/>
                    <w:bottom w:val="single" w:color="auto" w:sz="4" w:space="0"/>
                    <w:right w:val="single" w:color="auto" w:sz="4" w:space="0"/>
                  </w:tcBorders>
                  <w:vAlign w:val="center"/>
                </w:tcPr>
                <w:p w14:paraId="74BC653A">
                  <w:pPr>
                    <w:widowControl/>
                    <w:jc w:val="center"/>
                    <w:rPr>
                      <w:rFonts w:ascii="Times New Roman" w:hAnsi="Times New Roman"/>
                      <w:kern w:val="0"/>
                      <w:sz w:val="22"/>
                      <w:szCs w:val="22"/>
                    </w:rPr>
                  </w:pPr>
                  <w:r>
                    <w:rPr>
                      <w:rFonts w:ascii="Times New Roman" w:hAnsi="Times New Roman"/>
                      <w:sz w:val="22"/>
                      <w:szCs w:val="22"/>
                    </w:rPr>
                    <w:t xml:space="preserve">103895.67 </w:t>
                  </w:r>
                </w:p>
              </w:tc>
              <w:tc>
                <w:tcPr>
                  <w:tcW w:w="851" w:type="pct"/>
                  <w:tcBorders>
                    <w:top w:val="single" w:color="auto" w:sz="4" w:space="0"/>
                    <w:left w:val="single" w:color="auto" w:sz="4" w:space="0"/>
                    <w:bottom w:val="single" w:color="auto" w:sz="4" w:space="0"/>
                    <w:right w:val="single" w:color="auto" w:sz="4" w:space="0"/>
                  </w:tcBorders>
                  <w:vAlign w:val="center"/>
                </w:tcPr>
                <w:p w14:paraId="7A844ECA">
                  <w:pPr>
                    <w:widowControl/>
                    <w:jc w:val="center"/>
                    <w:rPr>
                      <w:rFonts w:ascii="Times New Roman" w:hAnsi="Times New Roman"/>
                      <w:kern w:val="0"/>
                      <w:sz w:val="22"/>
                      <w:szCs w:val="22"/>
                    </w:rPr>
                  </w:pPr>
                  <w:r>
                    <w:rPr>
                      <w:rFonts w:ascii="Times New Roman" w:hAnsi="Times New Roman"/>
                      <w:sz w:val="22"/>
                      <w:szCs w:val="22"/>
                    </w:rPr>
                    <w:t xml:space="preserve">27.87 </w:t>
                  </w:r>
                </w:p>
              </w:tc>
              <w:tc>
                <w:tcPr>
                  <w:tcW w:w="628" w:type="pct"/>
                  <w:vAlign w:val="center"/>
                </w:tcPr>
                <w:p w14:paraId="40CF8ACD">
                  <w:pPr>
                    <w:jc w:val="center"/>
                    <w:rPr>
                      <w:rFonts w:ascii="Times New Roman" w:hAnsi="Times New Roman"/>
                      <w:szCs w:val="21"/>
                    </w:rPr>
                  </w:pPr>
                  <w:r>
                    <w:rPr>
                      <w:rFonts w:ascii="Times New Roman" w:hAnsi="Times New Roman"/>
                      <w:szCs w:val="21"/>
                    </w:rPr>
                    <w:t>139848.44</w:t>
                  </w:r>
                </w:p>
              </w:tc>
              <w:tc>
                <w:tcPr>
                  <w:tcW w:w="870" w:type="pct"/>
                  <w:vAlign w:val="center"/>
                </w:tcPr>
                <w:p w14:paraId="750CB834">
                  <w:pPr>
                    <w:jc w:val="center"/>
                    <w:rPr>
                      <w:rFonts w:ascii="Times New Roman" w:hAnsi="Times New Roman"/>
                      <w:szCs w:val="21"/>
                    </w:rPr>
                  </w:pPr>
                  <w:r>
                    <w:rPr>
                      <w:rFonts w:ascii="Times New Roman" w:hAnsi="Times New Roman"/>
                      <w:szCs w:val="21"/>
                    </w:rPr>
                    <w:t>49.82</w:t>
                  </w:r>
                </w:p>
              </w:tc>
              <w:tc>
                <w:tcPr>
                  <w:tcW w:w="673" w:type="pct"/>
                  <w:vAlign w:val="center"/>
                </w:tcPr>
                <w:p w14:paraId="0403AC03">
                  <w:pPr>
                    <w:jc w:val="center"/>
                    <w:rPr>
                      <w:rFonts w:ascii="Times New Roman" w:hAnsi="Times New Roman"/>
                      <w:szCs w:val="21"/>
                    </w:rPr>
                  </w:pPr>
                  <w:r>
                    <w:rPr>
                      <w:rFonts w:ascii="Times New Roman" w:hAnsi="Times New Roman"/>
                      <w:szCs w:val="21"/>
                    </w:rPr>
                    <w:t>116635.77</w:t>
                  </w:r>
                </w:p>
              </w:tc>
              <w:tc>
                <w:tcPr>
                  <w:tcW w:w="866" w:type="pct"/>
                  <w:vAlign w:val="center"/>
                </w:tcPr>
                <w:p w14:paraId="1BEAB227">
                  <w:pPr>
                    <w:jc w:val="center"/>
                    <w:rPr>
                      <w:rFonts w:ascii="Times New Roman" w:hAnsi="Times New Roman"/>
                      <w:szCs w:val="21"/>
                    </w:rPr>
                  </w:pPr>
                  <w:r>
                    <w:rPr>
                      <w:rFonts w:ascii="Times New Roman" w:hAnsi="Times New Roman"/>
                      <w:szCs w:val="21"/>
                    </w:rPr>
                    <w:t>2053.27</w:t>
                  </w:r>
                </w:p>
              </w:tc>
            </w:tr>
            <w:tr w14:paraId="74C6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337846FB">
                  <w:pPr>
                    <w:adjustRightInd w:val="0"/>
                    <w:snapToGrid w:val="0"/>
                    <w:jc w:val="center"/>
                    <w:rPr>
                      <w:rFonts w:ascii="Times New Roman" w:hAnsi="Times New Roman"/>
                      <w:b/>
                      <w:szCs w:val="21"/>
                    </w:rPr>
                  </w:pPr>
                  <w:r>
                    <w:rPr>
                      <w:rFonts w:ascii="Times New Roman" w:hAnsi="Times New Roman"/>
                      <w:b/>
                      <w:szCs w:val="21"/>
                    </w:rPr>
                    <w:t>5</w:t>
                  </w:r>
                </w:p>
              </w:tc>
              <w:tc>
                <w:tcPr>
                  <w:tcW w:w="659" w:type="pct"/>
                  <w:tcBorders>
                    <w:top w:val="single" w:color="auto" w:sz="4" w:space="0"/>
                    <w:left w:val="single" w:color="auto" w:sz="4" w:space="0"/>
                    <w:bottom w:val="single" w:color="auto" w:sz="4" w:space="0"/>
                    <w:right w:val="single" w:color="auto" w:sz="4" w:space="0"/>
                  </w:tcBorders>
                  <w:vAlign w:val="center"/>
                </w:tcPr>
                <w:p w14:paraId="2847DA9C">
                  <w:pPr>
                    <w:jc w:val="center"/>
                    <w:rPr>
                      <w:rFonts w:ascii="Times New Roman" w:hAnsi="Times New Roman"/>
                      <w:sz w:val="22"/>
                      <w:szCs w:val="22"/>
                    </w:rPr>
                  </w:pPr>
                  <w:r>
                    <w:rPr>
                      <w:rFonts w:ascii="Times New Roman" w:hAnsi="Times New Roman"/>
                      <w:sz w:val="22"/>
                      <w:szCs w:val="22"/>
                    </w:rPr>
                    <w:t xml:space="preserve">66493.23 </w:t>
                  </w:r>
                </w:p>
              </w:tc>
              <w:tc>
                <w:tcPr>
                  <w:tcW w:w="851" w:type="pct"/>
                  <w:tcBorders>
                    <w:top w:val="single" w:color="auto" w:sz="4" w:space="0"/>
                    <w:left w:val="single" w:color="auto" w:sz="4" w:space="0"/>
                    <w:bottom w:val="single" w:color="auto" w:sz="4" w:space="0"/>
                    <w:right w:val="single" w:color="auto" w:sz="4" w:space="0"/>
                  </w:tcBorders>
                  <w:vAlign w:val="center"/>
                </w:tcPr>
                <w:p w14:paraId="679A5AD3">
                  <w:pPr>
                    <w:jc w:val="center"/>
                    <w:rPr>
                      <w:rFonts w:ascii="Times New Roman" w:hAnsi="Times New Roman"/>
                      <w:sz w:val="22"/>
                      <w:szCs w:val="22"/>
                    </w:rPr>
                  </w:pPr>
                  <w:r>
                    <w:rPr>
                      <w:rFonts w:ascii="Times New Roman" w:hAnsi="Times New Roman"/>
                      <w:sz w:val="22"/>
                      <w:szCs w:val="22"/>
                    </w:rPr>
                    <w:t xml:space="preserve">17.84 </w:t>
                  </w:r>
                </w:p>
              </w:tc>
              <w:tc>
                <w:tcPr>
                  <w:tcW w:w="628" w:type="pct"/>
                  <w:vAlign w:val="center"/>
                </w:tcPr>
                <w:p w14:paraId="279B4DC9">
                  <w:pPr>
                    <w:widowControl/>
                    <w:jc w:val="center"/>
                    <w:rPr>
                      <w:rFonts w:ascii="Times New Roman" w:hAnsi="Times New Roman"/>
                      <w:kern w:val="0"/>
                      <w:sz w:val="22"/>
                      <w:szCs w:val="22"/>
                    </w:rPr>
                  </w:pPr>
                  <w:r>
                    <w:rPr>
                      <w:rFonts w:ascii="Times New Roman" w:hAnsi="Times New Roman"/>
                      <w:sz w:val="22"/>
                      <w:szCs w:val="22"/>
                    </w:rPr>
                    <w:t xml:space="preserve">89503.00 </w:t>
                  </w:r>
                </w:p>
              </w:tc>
              <w:tc>
                <w:tcPr>
                  <w:tcW w:w="870" w:type="pct"/>
                  <w:vAlign w:val="center"/>
                </w:tcPr>
                <w:p w14:paraId="0C03D889">
                  <w:pPr>
                    <w:widowControl/>
                    <w:jc w:val="center"/>
                    <w:rPr>
                      <w:rFonts w:ascii="Times New Roman" w:hAnsi="Times New Roman"/>
                      <w:szCs w:val="21"/>
                    </w:rPr>
                  </w:pPr>
                  <w:r>
                    <w:rPr>
                      <w:rFonts w:ascii="Times New Roman" w:hAnsi="Times New Roman"/>
                      <w:sz w:val="22"/>
                      <w:szCs w:val="22"/>
                    </w:rPr>
                    <w:t>31.88</w:t>
                  </w:r>
                </w:p>
              </w:tc>
              <w:tc>
                <w:tcPr>
                  <w:tcW w:w="673" w:type="pct"/>
                  <w:vAlign w:val="center"/>
                </w:tcPr>
                <w:p w14:paraId="0A96C24F">
                  <w:pPr>
                    <w:widowControl/>
                    <w:jc w:val="center"/>
                    <w:rPr>
                      <w:rFonts w:ascii="Times New Roman" w:hAnsi="Times New Roman"/>
                      <w:kern w:val="0"/>
                      <w:sz w:val="22"/>
                      <w:szCs w:val="22"/>
                    </w:rPr>
                  </w:pPr>
                  <w:r>
                    <w:rPr>
                      <w:rFonts w:ascii="Times New Roman" w:hAnsi="Times New Roman"/>
                      <w:sz w:val="22"/>
                      <w:szCs w:val="22"/>
                    </w:rPr>
                    <w:t xml:space="preserve">74646.89 </w:t>
                  </w:r>
                </w:p>
              </w:tc>
              <w:tc>
                <w:tcPr>
                  <w:tcW w:w="866" w:type="pct"/>
                  <w:vAlign w:val="center"/>
                </w:tcPr>
                <w:p w14:paraId="54A90F90">
                  <w:pPr>
                    <w:widowControl/>
                    <w:jc w:val="center"/>
                    <w:rPr>
                      <w:rFonts w:ascii="Times New Roman" w:hAnsi="Times New Roman"/>
                      <w:kern w:val="0"/>
                      <w:sz w:val="22"/>
                      <w:szCs w:val="22"/>
                    </w:rPr>
                  </w:pPr>
                  <w:r>
                    <w:rPr>
                      <w:rFonts w:ascii="Times New Roman" w:hAnsi="Times New Roman"/>
                      <w:sz w:val="22"/>
                      <w:szCs w:val="22"/>
                    </w:rPr>
                    <w:t xml:space="preserve">1314.09 </w:t>
                  </w:r>
                </w:p>
              </w:tc>
            </w:tr>
            <w:tr w14:paraId="2A0C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0EFFEC97">
                  <w:pPr>
                    <w:adjustRightInd w:val="0"/>
                    <w:snapToGrid w:val="0"/>
                    <w:jc w:val="center"/>
                    <w:rPr>
                      <w:rFonts w:ascii="Times New Roman" w:hAnsi="Times New Roman"/>
                      <w:b/>
                      <w:szCs w:val="21"/>
                    </w:rPr>
                  </w:pPr>
                  <w:r>
                    <w:rPr>
                      <w:rFonts w:ascii="Times New Roman" w:hAnsi="Times New Roman"/>
                      <w:b/>
                      <w:szCs w:val="21"/>
                    </w:rPr>
                    <w:t>6</w:t>
                  </w:r>
                </w:p>
              </w:tc>
              <w:tc>
                <w:tcPr>
                  <w:tcW w:w="659" w:type="pct"/>
                  <w:tcBorders>
                    <w:top w:val="single" w:color="auto" w:sz="4" w:space="0"/>
                    <w:left w:val="single" w:color="auto" w:sz="4" w:space="0"/>
                    <w:bottom w:val="single" w:color="auto" w:sz="4" w:space="0"/>
                    <w:right w:val="single" w:color="auto" w:sz="4" w:space="0"/>
                  </w:tcBorders>
                  <w:vAlign w:val="center"/>
                </w:tcPr>
                <w:p w14:paraId="0B241761">
                  <w:pPr>
                    <w:jc w:val="center"/>
                    <w:rPr>
                      <w:rFonts w:ascii="Times New Roman" w:hAnsi="Times New Roman"/>
                      <w:sz w:val="22"/>
                      <w:szCs w:val="22"/>
                    </w:rPr>
                  </w:pPr>
                  <w:r>
                    <w:rPr>
                      <w:rFonts w:ascii="Times New Roman" w:hAnsi="Times New Roman"/>
                      <w:sz w:val="22"/>
                      <w:szCs w:val="22"/>
                    </w:rPr>
                    <w:t xml:space="preserve">46175.85 </w:t>
                  </w:r>
                </w:p>
              </w:tc>
              <w:tc>
                <w:tcPr>
                  <w:tcW w:w="851" w:type="pct"/>
                  <w:tcBorders>
                    <w:top w:val="single" w:color="auto" w:sz="4" w:space="0"/>
                    <w:left w:val="single" w:color="auto" w:sz="4" w:space="0"/>
                    <w:bottom w:val="single" w:color="auto" w:sz="4" w:space="0"/>
                    <w:right w:val="single" w:color="auto" w:sz="4" w:space="0"/>
                  </w:tcBorders>
                  <w:vAlign w:val="center"/>
                </w:tcPr>
                <w:p w14:paraId="02A19266">
                  <w:pPr>
                    <w:jc w:val="center"/>
                    <w:rPr>
                      <w:rFonts w:ascii="Times New Roman" w:hAnsi="Times New Roman"/>
                      <w:sz w:val="22"/>
                      <w:szCs w:val="22"/>
                    </w:rPr>
                  </w:pPr>
                  <w:r>
                    <w:rPr>
                      <w:rFonts w:ascii="Times New Roman" w:hAnsi="Times New Roman"/>
                      <w:sz w:val="22"/>
                      <w:szCs w:val="22"/>
                    </w:rPr>
                    <w:t>12.39</w:t>
                  </w:r>
                  <w:r>
                    <w:rPr>
                      <w:rFonts w:ascii="Times New Roman" w:hAnsi="Times New Roman"/>
                      <w:szCs w:val="21"/>
                    </w:rPr>
                    <w:t>(控制区)</w:t>
                  </w:r>
                </w:p>
              </w:tc>
              <w:tc>
                <w:tcPr>
                  <w:tcW w:w="628" w:type="pct"/>
                  <w:vAlign w:val="center"/>
                </w:tcPr>
                <w:p w14:paraId="0B7A0257">
                  <w:pPr>
                    <w:jc w:val="center"/>
                    <w:rPr>
                      <w:rFonts w:ascii="Times New Roman" w:hAnsi="Times New Roman"/>
                      <w:szCs w:val="21"/>
                    </w:rPr>
                  </w:pPr>
                  <w:r>
                    <w:rPr>
                      <w:rFonts w:ascii="Times New Roman" w:hAnsi="Times New Roman"/>
                      <w:szCs w:val="21"/>
                    </w:rPr>
                    <w:t>62154.86</w:t>
                  </w:r>
                </w:p>
              </w:tc>
              <w:tc>
                <w:tcPr>
                  <w:tcW w:w="870" w:type="pct"/>
                  <w:vAlign w:val="center"/>
                </w:tcPr>
                <w:p w14:paraId="62B86852">
                  <w:pPr>
                    <w:jc w:val="center"/>
                    <w:rPr>
                      <w:rFonts w:ascii="Times New Roman" w:hAnsi="Times New Roman"/>
                      <w:szCs w:val="21"/>
                    </w:rPr>
                  </w:pPr>
                  <w:r>
                    <w:rPr>
                      <w:rFonts w:ascii="Times New Roman" w:hAnsi="Times New Roman"/>
                      <w:szCs w:val="21"/>
                    </w:rPr>
                    <w:t>22.14</w:t>
                  </w:r>
                </w:p>
              </w:tc>
              <w:tc>
                <w:tcPr>
                  <w:tcW w:w="673" w:type="pct"/>
                  <w:vAlign w:val="center"/>
                </w:tcPr>
                <w:p w14:paraId="578702C5">
                  <w:pPr>
                    <w:jc w:val="center"/>
                    <w:rPr>
                      <w:rFonts w:ascii="Times New Roman" w:hAnsi="Times New Roman"/>
                      <w:szCs w:val="21"/>
                    </w:rPr>
                  </w:pPr>
                  <w:r>
                    <w:rPr>
                      <w:rFonts w:ascii="Times New Roman" w:hAnsi="Times New Roman"/>
                      <w:szCs w:val="21"/>
                    </w:rPr>
                    <w:t>51838.12</w:t>
                  </w:r>
                </w:p>
              </w:tc>
              <w:tc>
                <w:tcPr>
                  <w:tcW w:w="866" w:type="pct"/>
                  <w:vAlign w:val="center"/>
                </w:tcPr>
                <w:p w14:paraId="71822D2F">
                  <w:pPr>
                    <w:jc w:val="center"/>
                    <w:rPr>
                      <w:rFonts w:ascii="Times New Roman" w:hAnsi="Times New Roman"/>
                      <w:szCs w:val="21"/>
                    </w:rPr>
                  </w:pPr>
                  <w:r>
                    <w:rPr>
                      <w:rFonts w:ascii="Times New Roman" w:hAnsi="Times New Roman"/>
                      <w:szCs w:val="21"/>
                    </w:rPr>
                    <w:t>912.56</w:t>
                  </w:r>
                </w:p>
              </w:tc>
            </w:tr>
            <w:tr w14:paraId="37FC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36F17AD1">
                  <w:pPr>
                    <w:adjustRightInd w:val="0"/>
                    <w:snapToGrid w:val="0"/>
                    <w:jc w:val="center"/>
                    <w:rPr>
                      <w:rFonts w:ascii="Times New Roman" w:hAnsi="Times New Roman"/>
                      <w:b/>
                      <w:szCs w:val="21"/>
                    </w:rPr>
                  </w:pPr>
                  <w:r>
                    <w:rPr>
                      <w:rFonts w:ascii="Times New Roman" w:hAnsi="Times New Roman"/>
                      <w:b/>
                      <w:szCs w:val="21"/>
                    </w:rPr>
                    <w:t>7</w:t>
                  </w:r>
                </w:p>
              </w:tc>
              <w:tc>
                <w:tcPr>
                  <w:tcW w:w="659" w:type="pct"/>
                  <w:tcBorders>
                    <w:top w:val="single" w:color="auto" w:sz="4" w:space="0"/>
                    <w:left w:val="single" w:color="auto" w:sz="4" w:space="0"/>
                    <w:bottom w:val="single" w:color="auto" w:sz="4" w:space="0"/>
                    <w:right w:val="single" w:color="auto" w:sz="4" w:space="0"/>
                  </w:tcBorders>
                  <w:vAlign w:val="center"/>
                </w:tcPr>
                <w:p w14:paraId="69016FE7">
                  <w:pPr>
                    <w:jc w:val="center"/>
                    <w:rPr>
                      <w:rFonts w:ascii="Times New Roman" w:hAnsi="Times New Roman"/>
                      <w:sz w:val="22"/>
                      <w:szCs w:val="22"/>
                    </w:rPr>
                  </w:pPr>
                  <w:r>
                    <w:rPr>
                      <w:rFonts w:ascii="Times New Roman" w:hAnsi="Times New Roman"/>
                      <w:sz w:val="22"/>
                      <w:szCs w:val="22"/>
                    </w:rPr>
                    <w:t xml:space="preserve">33925.12 </w:t>
                  </w:r>
                </w:p>
              </w:tc>
              <w:tc>
                <w:tcPr>
                  <w:tcW w:w="851" w:type="pct"/>
                  <w:tcBorders>
                    <w:top w:val="single" w:color="auto" w:sz="4" w:space="0"/>
                    <w:left w:val="single" w:color="auto" w:sz="4" w:space="0"/>
                    <w:bottom w:val="single" w:color="auto" w:sz="4" w:space="0"/>
                    <w:right w:val="single" w:color="auto" w:sz="4" w:space="0"/>
                  </w:tcBorders>
                  <w:vAlign w:val="center"/>
                </w:tcPr>
                <w:p w14:paraId="772ED1CC">
                  <w:pPr>
                    <w:jc w:val="center"/>
                    <w:rPr>
                      <w:rFonts w:ascii="Times New Roman" w:hAnsi="Times New Roman"/>
                      <w:sz w:val="22"/>
                      <w:szCs w:val="22"/>
                    </w:rPr>
                  </w:pPr>
                  <w:r>
                    <w:rPr>
                      <w:rFonts w:ascii="Times New Roman" w:hAnsi="Times New Roman"/>
                      <w:sz w:val="22"/>
                      <w:szCs w:val="22"/>
                    </w:rPr>
                    <w:t xml:space="preserve">9.10 </w:t>
                  </w:r>
                </w:p>
              </w:tc>
              <w:tc>
                <w:tcPr>
                  <w:tcW w:w="628" w:type="pct"/>
                  <w:vAlign w:val="center"/>
                </w:tcPr>
                <w:p w14:paraId="5A3379FE">
                  <w:pPr>
                    <w:jc w:val="center"/>
                    <w:rPr>
                      <w:rFonts w:ascii="Times New Roman" w:hAnsi="Times New Roman"/>
                      <w:szCs w:val="21"/>
                    </w:rPr>
                  </w:pPr>
                  <w:r>
                    <w:rPr>
                      <w:rFonts w:ascii="Times New Roman" w:hAnsi="Times New Roman"/>
                      <w:szCs w:val="21"/>
                    </w:rPr>
                    <w:t>45664.797</w:t>
                  </w:r>
                </w:p>
              </w:tc>
              <w:tc>
                <w:tcPr>
                  <w:tcW w:w="870" w:type="pct"/>
                  <w:vAlign w:val="center"/>
                </w:tcPr>
                <w:p w14:paraId="03DBDAEC">
                  <w:pPr>
                    <w:jc w:val="center"/>
                    <w:rPr>
                      <w:rFonts w:ascii="Times New Roman" w:hAnsi="Times New Roman"/>
                      <w:szCs w:val="21"/>
                    </w:rPr>
                  </w:pPr>
                  <w:r>
                    <w:rPr>
                      <w:rFonts w:ascii="Times New Roman" w:hAnsi="Times New Roman"/>
                      <w:szCs w:val="21"/>
                    </w:rPr>
                    <w:t>16.27</w:t>
                  </w:r>
                </w:p>
              </w:tc>
              <w:tc>
                <w:tcPr>
                  <w:tcW w:w="673" w:type="pct"/>
                  <w:vAlign w:val="center"/>
                </w:tcPr>
                <w:p w14:paraId="246A3474">
                  <w:pPr>
                    <w:jc w:val="center"/>
                    <w:rPr>
                      <w:rFonts w:ascii="Times New Roman" w:hAnsi="Times New Roman"/>
                      <w:szCs w:val="21"/>
                    </w:rPr>
                  </w:pPr>
                  <w:r>
                    <w:rPr>
                      <w:rFonts w:ascii="Times New Roman" w:hAnsi="Times New Roman"/>
                      <w:szCs w:val="21"/>
                    </w:rPr>
                    <w:t>38085.15</w:t>
                  </w:r>
                </w:p>
              </w:tc>
              <w:tc>
                <w:tcPr>
                  <w:tcW w:w="866" w:type="pct"/>
                  <w:vAlign w:val="center"/>
                </w:tcPr>
                <w:p w14:paraId="196AF9C5">
                  <w:pPr>
                    <w:jc w:val="center"/>
                    <w:rPr>
                      <w:rFonts w:ascii="Times New Roman" w:hAnsi="Times New Roman"/>
                      <w:szCs w:val="21"/>
                    </w:rPr>
                  </w:pPr>
                  <w:r>
                    <w:rPr>
                      <w:rFonts w:ascii="Times New Roman" w:hAnsi="Times New Roman"/>
                      <w:szCs w:val="21"/>
                    </w:rPr>
                    <w:t>670.46</w:t>
                  </w:r>
                </w:p>
              </w:tc>
            </w:tr>
            <w:tr w14:paraId="125E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48B03B5">
                  <w:pPr>
                    <w:adjustRightInd w:val="0"/>
                    <w:snapToGrid w:val="0"/>
                    <w:jc w:val="center"/>
                    <w:rPr>
                      <w:rFonts w:ascii="Times New Roman" w:hAnsi="Times New Roman"/>
                      <w:b/>
                      <w:szCs w:val="21"/>
                    </w:rPr>
                  </w:pPr>
                  <w:r>
                    <w:rPr>
                      <w:rFonts w:ascii="Times New Roman" w:hAnsi="Times New Roman"/>
                      <w:b/>
                      <w:szCs w:val="21"/>
                    </w:rPr>
                    <w:t>8</w:t>
                  </w:r>
                </w:p>
              </w:tc>
              <w:tc>
                <w:tcPr>
                  <w:tcW w:w="659" w:type="pct"/>
                  <w:tcBorders>
                    <w:top w:val="single" w:color="auto" w:sz="4" w:space="0"/>
                    <w:left w:val="single" w:color="auto" w:sz="4" w:space="0"/>
                    <w:bottom w:val="single" w:color="auto" w:sz="4" w:space="0"/>
                    <w:right w:val="single" w:color="auto" w:sz="4" w:space="0"/>
                  </w:tcBorders>
                  <w:vAlign w:val="center"/>
                </w:tcPr>
                <w:p w14:paraId="141A2C18">
                  <w:pPr>
                    <w:jc w:val="center"/>
                    <w:rPr>
                      <w:rFonts w:ascii="Times New Roman" w:hAnsi="Times New Roman"/>
                      <w:sz w:val="22"/>
                      <w:szCs w:val="22"/>
                    </w:rPr>
                  </w:pPr>
                  <w:r>
                    <w:rPr>
                      <w:rFonts w:ascii="Times New Roman" w:hAnsi="Times New Roman"/>
                      <w:sz w:val="22"/>
                      <w:szCs w:val="22"/>
                    </w:rPr>
                    <w:t xml:space="preserve">25973.92 </w:t>
                  </w:r>
                </w:p>
              </w:tc>
              <w:tc>
                <w:tcPr>
                  <w:tcW w:w="851" w:type="pct"/>
                  <w:tcBorders>
                    <w:top w:val="single" w:color="auto" w:sz="4" w:space="0"/>
                    <w:left w:val="single" w:color="auto" w:sz="4" w:space="0"/>
                    <w:bottom w:val="single" w:color="auto" w:sz="4" w:space="0"/>
                    <w:right w:val="single" w:color="auto" w:sz="4" w:space="0"/>
                  </w:tcBorders>
                  <w:vAlign w:val="center"/>
                </w:tcPr>
                <w:p w14:paraId="4B1A5994">
                  <w:pPr>
                    <w:jc w:val="center"/>
                    <w:rPr>
                      <w:rFonts w:ascii="Times New Roman" w:hAnsi="Times New Roman"/>
                      <w:sz w:val="22"/>
                      <w:szCs w:val="22"/>
                    </w:rPr>
                  </w:pPr>
                  <w:r>
                    <w:rPr>
                      <w:rFonts w:ascii="Times New Roman" w:hAnsi="Times New Roman"/>
                      <w:sz w:val="22"/>
                      <w:szCs w:val="22"/>
                    </w:rPr>
                    <w:t xml:space="preserve">6.97 </w:t>
                  </w:r>
                </w:p>
              </w:tc>
              <w:tc>
                <w:tcPr>
                  <w:tcW w:w="628" w:type="pct"/>
                  <w:vAlign w:val="center"/>
                </w:tcPr>
                <w:p w14:paraId="4CEB59D5">
                  <w:pPr>
                    <w:jc w:val="center"/>
                    <w:rPr>
                      <w:rFonts w:ascii="Times New Roman" w:hAnsi="Times New Roman"/>
                      <w:szCs w:val="21"/>
                    </w:rPr>
                  </w:pPr>
                  <w:r>
                    <w:rPr>
                      <w:rFonts w:ascii="Times New Roman" w:hAnsi="Times New Roman"/>
                      <w:szCs w:val="21"/>
                    </w:rPr>
                    <w:t>34962.11</w:t>
                  </w:r>
                </w:p>
              </w:tc>
              <w:tc>
                <w:tcPr>
                  <w:tcW w:w="870" w:type="pct"/>
                  <w:vAlign w:val="center"/>
                </w:tcPr>
                <w:p w14:paraId="7BE21CC3">
                  <w:pPr>
                    <w:jc w:val="center"/>
                    <w:rPr>
                      <w:rFonts w:ascii="Times New Roman" w:hAnsi="Times New Roman"/>
                      <w:szCs w:val="21"/>
                    </w:rPr>
                  </w:pPr>
                  <w:r>
                    <w:rPr>
                      <w:rFonts w:ascii="Times New Roman" w:hAnsi="Times New Roman"/>
                      <w:szCs w:val="21"/>
                    </w:rPr>
                    <w:t>12.45(控制区)</w:t>
                  </w:r>
                </w:p>
              </w:tc>
              <w:tc>
                <w:tcPr>
                  <w:tcW w:w="673" w:type="pct"/>
                  <w:vAlign w:val="center"/>
                </w:tcPr>
                <w:p w14:paraId="2C76639F">
                  <w:pPr>
                    <w:jc w:val="center"/>
                    <w:rPr>
                      <w:rFonts w:ascii="Times New Roman" w:hAnsi="Times New Roman"/>
                      <w:szCs w:val="21"/>
                    </w:rPr>
                  </w:pPr>
                  <w:r>
                    <w:rPr>
                      <w:rFonts w:ascii="Times New Roman" w:hAnsi="Times New Roman"/>
                      <w:szCs w:val="21"/>
                    </w:rPr>
                    <w:t>29158.94</w:t>
                  </w:r>
                </w:p>
              </w:tc>
              <w:tc>
                <w:tcPr>
                  <w:tcW w:w="866" w:type="pct"/>
                  <w:vAlign w:val="center"/>
                </w:tcPr>
                <w:p w14:paraId="54D88B20">
                  <w:pPr>
                    <w:jc w:val="center"/>
                    <w:rPr>
                      <w:rFonts w:ascii="Times New Roman" w:hAnsi="Times New Roman"/>
                      <w:szCs w:val="21"/>
                    </w:rPr>
                  </w:pPr>
                  <w:r>
                    <w:rPr>
                      <w:rFonts w:ascii="Times New Roman" w:hAnsi="Times New Roman"/>
                      <w:szCs w:val="21"/>
                    </w:rPr>
                    <w:t>513.32</w:t>
                  </w:r>
                </w:p>
              </w:tc>
            </w:tr>
            <w:tr w14:paraId="6DD4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40D4D8F6">
                  <w:pPr>
                    <w:adjustRightInd w:val="0"/>
                    <w:snapToGrid w:val="0"/>
                    <w:jc w:val="center"/>
                    <w:rPr>
                      <w:rFonts w:ascii="Times New Roman" w:hAnsi="Times New Roman"/>
                      <w:b/>
                      <w:szCs w:val="21"/>
                    </w:rPr>
                  </w:pPr>
                  <w:r>
                    <w:rPr>
                      <w:rFonts w:ascii="Times New Roman" w:hAnsi="Times New Roman"/>
                      <w:b/>
                      <w:szCs w:val="21"/>
                    </w:rPr>
                    <w:t>10</w:t>
                  </w:r>
                </w:p>
              </w:tc>
              <w:tc>
                <w:tcPr>
                  <w:tcW w:w="659" w:type="pct"/>
                  <w:tcBorders>
                    <w:top w:val="single" w:color="auto" w:sz="4" w:space="0"/>
                    <w:left w:val="single" w:color="auto" w:sz="4" w:space="0"/>
                    <w:bottom w:val="single" w:color="auto" w:sz="4" w:space="0"/>
                    <w:right w:val="single" w:color="auto" w:sz="4" w:space="0"/>
                  </w:tcBorders>
                  <w:vAlign w:val="center"/>
                </w:tcPr>
                <w:p w14:paraId="40943DAB">
                  <w:pPr>
                    <w:jc w:val="center"/>
                    <w:rPr>
                      <w:rFonts w:ascii="Times New Roman" w:hAnsi="Times New Roman"/>
                      <w:sz w:val="22"/>
                      <w:szCs w:val="22"/>
                    </w:rPr>
                  </w:pPr>
                  <w:r>
                    <w:rPr>
                      <w:rFonts w:ascii="Times New Roman" w:hAnsi="Times New Roman"/>
                      <w:sz w:val="22"/>
                      <w:szCs w:val="22"/>
                    </w:rPr>
                    <w:t xml:space="preserve">16623.31 </w:t>
                  </w:r>
                </w:p>
              </w:tc>
              <w:tc>
                <w:tcPr>
                  <w:tcW w:w="851" w:type="pct"/>
                  <w:tcBorders>
                    <w:top w:val="single" w:color="auto" w:sz="4" w:space="0"/>
                    <w:left w:val="single" w:color="auto" w:sz="4" w:space="0"/>
                    <w:bottom w:val="single" w:color="auto" w:sz="4" w:space="0"/>
                    <w:right w:val="single" w:color="auto" w:sz="4" w:space="0"/>
                  </w:tcBorders>
                  <w:vAlign w:val="center"/>
                </w:tcPr>
                <w:p w14:paraId="120E9CF8">
                  <w:pPr>
                    <w:jc w:val="center"/>
                    <w:rPr>
                      <w:rFonts w:ascii="Times New Roman" w:hAnsi="Times New Roman"/>
                      <w:sz w:val="22"/>
                      <w:szCs w:val="22"/>
                    </w:rPr>
                  </w:pPr>
                  <w:r>
                    <w:rPr>
                      <w:rFonts w:ascii="Times New Roman" w:hAnsi="Times New Roman"/>
                      <w:sz w:val="22"/>
                      <w:szCs w:val="22"/>
                    </w:rPr>
                    <w:t xml:space="preserve">4.46 </w:t>
                  </w:r>
                </w:p>
              </w:tc>
              <w:tc>
                <w:tcPr>
                  <w:tcW w:w="628" w:type="pct"/>
                  <w:vAlign w:val="center"/>
                </w:tcPr>
                <w:p w14:paraId="55A89362">
                  <w:pPr>
                    <w:jc w:val="center"/>
                    <w:rPr>
                      <w:rFonts w:ascii="Times New Roman" w:hAnsi="Times New Roman"/>
                      <w:szCs w:val="21"/>
                    </w:rPr>
                  </w:pPr>
                  <w:r>
                    <w:rPr>
                      <w:rFonts w:ascii="Times New Roman" w:hAnsi="Times New Roman"/>
                      <w:szCs w:val="21"/>
                    </w:rPr>
                    <w:t>22375.75</w:t>
                  </w:r>
                </w:p>
              </w:tc>
              <w:tc>
                <w:tcPr>
                  <w:tcW w:w="870" w:type="pct"/>
                  <w:vAlign w:val="center"/>
                </w:tcPr>
                <w:p w14:paraId="3F2B06C5">
                  <w:pPr>
                    <w:jc w:val="center"/>
                    <w:rPr>
                      <w:rFonts w:ascii="Times New Roman" w:hAnsi="Times New Roman"/>
                      <w:szCs w:val="21"/>
                    </w:rPr>
                  </w:pPr>
                  <w:r>
                    <w:rPr>
                      <w:rFonts w:ascii="Times New Roman" w:hAnsi="Times New Roman"/>
                      <w:szCs w:val="21"/>
                    </w:rPr>
                    <w:t>7.97</w:t>
                  </w:r>
                </w:p>
              </w:tc>
              <w:tc>
                <w:tcPr>
                  <w:tcW w:w="673" w:type="pct"/>
                  <w:vAlign w:val="center"/>
                </w:tcPr>
                <w:p w14:paraId="70AF8A2E">
                  <w:pPr>
                    <w:jc w:val="center"/>
                    <w:rPr>
                      <w:rFonts w:ascii="Times New Roman" w:hAnsi="Times New Roman"/>
                      <w:szCs w:val="21"/>
                    </w:rPr>
                  </w:pPr>
                  <w:r>
                    <w:rPr>
                      <w:rFonts w:ascii="Times New Roman" w:hAnsi="Times New Roman"/>
                      <w:szCs w:val="21"/>
                    </w:rPr>
                    <w:t>18661.72</w:t>
                  </w:r>
                </w:p>
              </w:tc>
              <w:tc>
                <w:tcPr>
                  <w:tcW w:w="866" w:type="pct"/>
                  <w:vAlign w:val="center"/>
                </w:tcPr>
                <w:p w14:paraId="19550604">
                  <w:pPr>
                    <w:jc w:val="center"/>
                    <w:rPr>
                      <w:rFonts w:ascii="Times New Roman" w:hAnsi="Times New Roman"/>
                      <w:szCs w:val="21"/>
                    </w:rPr>
                  </w:pPr>
                  <w:r>
                    <w:rPr>
                      <w:rFonts w:ascii="Times New Roman" w:hAnsi="Times New Roman"/>
                      <w:szCs w:val="21"/>
                    </w:rPr>
                    <w:t>328.52</w:t>
                  </w:r>
                </w:p>
              </w:tc>
            </w:tr>
            <w:tr w14:paraId="01D0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0EFDA5C9">
                  <w:pPr>
                    <w:adjustRightInd w:val="0"/>
                    <w:snapToGrid w:val="0"/>
                    <w:jc w:val="center"/>
                    <w:rPr>
                      <w:rFonts w:ascii="Times New Roman" w:hAnsi="Times New Roman"/>
                      <w:b/>
                      <w:szCs w:val="21"/>
                    </w:rPr>
                  </w:pPr>
                  <w:r>
                    <w:rPr>
                      <w:rFonts w:ascii="Times New Roman" w:hAnsi="Times New Roman"/>
                      <w:b/>
                      <w:szCs w:val="21"/>
                    </w:rPr>
                    <w:t>13</w:t>
                  </w:r>
                </w:p>
              </w:tc>
              <w:tc>
                <w:tcPr>
                  <w:tcW w:w="659" w:type="pct"/>
                  <w:tcBorders>
                    <w:top w:val="single" w:color="auto" w:sz="4" w:space="0"/>
                    <w:left w:val="single" w:color="auto" w:sz="4" w:space="0"/>
                    <w:bottom w:val="single" w:color="auto" w:sz="4" w:space="0"/>
                    <w:right w:val="single" w:color="auto" w:sz="4" w:space="0"/>
                  </w:tcBorders>
                  <w:vAlign w:val="center"/>
                </w:tcPr>
                <w:p w14:paraId="33CDD5C7">
                  <w:pPr>
                    <w:jc w:val="center"/>
                    <w:rPr>
                      <w:rFonts w:ascii="Times New Roman" w:hAnsi="Times New Roman"/>
                      <w:sz w:val="22"/>
                      <w:szCs w:val="22"/>
                    </w:rPr>
                  </w:pPr>
                  <w:r>
                    <w:rPr>
                      <w:rFonts w:ascii="Times New Roman" w:hAnsi="Times New Roman"/>
                      <w:sz w:val="22"/>
                      <w:szCs w:val="22"/>
                    </w:rPr>
                    <w:t xml:space="preserve">9836.28 </w:t>
                  </w:r>
                </w:p>
              </w:tc>
              <w:tc>
                <w:tcPr>
                  <w:tcW w:w="851" w:type="pct"/>
                  <w:tcBorders>
                    <w:top w:val="single" w:color="auto" w:sz="4" w:space="0"/>
                    <w:left w:val="single" w:color="auto" w:sz="4" w:space="0"/>
                    <w:bottom w:val="single" w:color="auto" w:sz="4" w:space="0"/>
                    <w:right w:val="single" w:color="auto" w:sz="4" w:space="0"/>
                  </w:tcBorders>
                  <w:vAlign w:val="center"/>
                </w:tcPr>
                <w:p w14:paraId="7A8F1140">
                  <w:pPr>
                    <w:jc w:val="center"/>
                    <w:rPr>
                      <w:rFonts w:ascii="Times New Roman" w:hAnsi="Times New Roman"/>
                      <w:sz w:val="22"/>
                      <w:szCs w:val="22"/>
                    </w:rPr>
                  </w:pPr>
                  <w:r>
                    <w:rPr>
                      <w:rFonts w:ascii="Times New Roman" w:hAnsi="Times New Roman"/>
                      <w:sz w:val="22"/>
                      <w:szCs w:val="22"/>
                    </w:rPr>
                    <w:t xml:space="preserve">2.64 </w:t>
                  </w:r>
                </w:p>
              </w:tc>
              <w:tc>
                <w:tcPr>
                  <w:tcW w:w="628" w:type="pct"/>
                  <w:vAlign w:val="center"/>
                </w:tcPr>
                <w:p w14:paraId="5D95BBE9">
                  <w:pPr>
                    <w:widowControl/>
                    <w:jc w:val="center"/>
                    <w:rPr>
                      <w:rFonts w:ascii="Times New Roman" w:hAnsi="Times New Roman"/>
                      <w:kern w:val="0"/>
                      <w:sz w:val="22"/>
                      <w:szCs w:val="22"/>
                    </w:rPr>
                  </w:pPr>
                  <w:r>
                    <w:rPr>
                      <w:rFonts w:ascii="Times New Roman" w:hAnsi="Times New Roman"/>
                      <w:sz w:val="22"/>
                      <w:szCs w:val="22"/>
                    </w:rPr>
                    <w:t xml:space="preserve">13240.09 </w:t>
                  </w:r>
                </w:p>
              </w:tc>
              <w:tc>
                <w:tcPr>
                  <w:tcW w:w="870" w:type="pct"/>
                  <w:vAlign w:val="center"/>
                </w:tcPr>
                <w:p w14:paraId="5456B6A1">
                  <w:pPr>
                    <w:widowControl/>
                    <w:jc w:val="center"/>
                    <w:rPr>
                      <w:rFonts w:ascii="Times New Roman" w:hAnsi="Times New Roman"/>
                      <w:kern w:val="0"/>
                      <w:sz w:val="22"/>
                      <w:szCs w:val="22"/>
                    </w:rPr>
                  </w:pPr>
                  <w:r>
                    <w:rPr>
                      <w:rFonts w:ascii="Times New Roman" w:hAnsi="Times New Roman"/>
                      <w:sz w:val="22"/>
                      <w:szCs w:val="22"/>
                    </w:rPr>
                    <w:t>4.72</w:t>
                  </w:r>
                </w:p>
              </w:tc>
              <w:tc>
                <w:tcPr>
                  <w:tcW w:w="673" w:type="pct"/>
                  <w:vAlign w:val="center"/>
                </w:tcPr>
                <w:p w14:paraId="1DA9284A">
                  <w:pPr>
                    <w:widowControl/>
                    <w:jc w:val="center"/>
                    <w:rPr>
                      <w:rFonts w:ascii="Times New Roman" w:hAnsi="Times New Roman"/>
                      <w:kern w:val="0"/>
                      <w:sz w:val="22"/>
                      <w:szCs w:val="22"/>
                    </w:rPr>
                  </w:pPr>
                  <w:r>
                    <w:rPr>
                      <w:rFonts w:ascii="Times New Roman" w:hAnsi="Times New Roman"/>
                      <w:sz w:val="22"/>
                      <w:szCs w:val="22"/>
                    </w:rPr>
                    <w:t xml:space="preserve">11042.44 </w:t>
                  </w:r>
                </w:p>
              </w:tc>
              <w:tc>
                <w:tcPr>
                  <w:tcW w:w="866" w:type="pct"/>
                  <w:vAlign w:val="center"/>
                </w:tcPr>
                <w:p w14:paraId="7D7B64A3">
                  <w:pPr>
                    <w:widowControl/>
                    <w:jc w:val="center"/>
                    <w:rPr>
                      <w:rFonts w:ascii="Times New Roman" w:hAnsi="Times New Roman"/>
                      <w:kern w:val="0"/>
                      <w:sz w:val="22"/>
                      <w:szCs w:val="22"/>
                    </w:rPr>
                  </w:pPr>
                  <w:r>
                    <w:rPr>
                      <w:rFonts w:ascii="Times New Roman" w:hAnsi="Times New Roman"/>
                      <w:sz w:val="22"/>
                      <w:szCs w:val="22"/>
                    </w:rPr>
                    <w:t xml:space="preserve">194.39 </w:t>
                  </w:r>
                </w:p>
              </w:tc>
            </w:tr>
            <w:tr w14:paraId="7F03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41371095">
                  <w:pPr>
                    <w:adjustRightInd w:val="0"/>
                    <w:snapToGrid w:val="0"/>
                    <w:jc w:val="center"/>
                    <w:rPr>
                      <w:rFonts w:ascii="Times New Roman" w:hAnsi="Times New Roman"/>
                      <w:b/>
                      <w:szCs w:val="21"/>
                    </w:rPr>
                  </w:pPr>
                  <w:r>
                    <w:rPr>
                      <w:rFonts w:ascii="Times New Roman" w:hAnsi="Times New Roman"/>
                      <w:b/>
                      <w:szCs w:val="21"/>
                    </w:rPr>
                    <w:t>14</w:t>
                  </w:r>
                </w:p>
              </w:tc>
              <w:tc>
                <w:tcPr>
                  <w:tcW w:w="659" w:type="pct"/>
                  <w:tcBorders>
                    <w:top w:val="single" w:color="auto" w:sz="4" w:space="0"/>
                    <w:left w:val="single" w:color="auto" w:sz="4" w:space="0"/>
                    <w:bottom w:val="single" w:color="auto" w:sz="4" w:space="0"/>
                    <w:right w:val="single" w:color="auto" w:sz="4" w:space="0"/>
                  </w:tcBorders>
                  <w:vAlign w:val="center"/>
                </w:tcPr>
                <w:p w14:paraId="7883E89D">
                  <w:pPr>
                    <w:jc w:val="center"/>
                    <w:rPr>
                      <w:rFonts w:ascii="Times New Roman" w:hAnsi="Times New Roman"/>
                      <w:sz w:val="22"/>
                      <w:szCs w:val="22"/>
                    </w:rPr>
                  </w:pPr>
                  <w:r>
                    <w:rPr>
                      <w:rFonts w:ascii="Times New Roman" w:hAnsi="Times New Roman"/>
                      <w:sz w:val="22"/>
                      <w:szCs w:val="22"/>
                    </w:rPr>
                    <w:t xml:space="preserve">8481.28 </w:t>
                  </w:r>
                </w:p>
              </w:tc>
              <w:tc>
                <w:tcPr>
                  <w:tcW w:w="851" w:type="pct"/>
                  <w:tcBorders>
                    <w:top w:val="single" w:color="auto" w:sz="4" w:space="0"/>
                    <w:left w:val="single" w:color="auto" w:sz="4" w:space="0"/>
                    <w:bottom w:val="single" w:color="auto" w:sz="4" w:space="0"/>
                    <w:right w:val="single" w:color="auto" w:sz="4" w:space="0"/>
                  </w:tcBorders>
                  <w:vAlign w:val="center"/>
                </w:tcPr>
                <w:p w14:paraId="777FC0A0">
                  <w:pPr>
                    <w:jc w:val="center"/>
                    <w:rPr>
                      <w:rFonts w:ascii="Times New Roman" w:hAnsi="Times New Roman"/>
                      <w:sz w:val="22"/>
                      <w:szCs w:val="22"/>
                    </w:rPr>
                  </w:pPr>
                  <w:r>
                    <w:rPr>
                      <w:rFonts w:ascii="Times New Roman" w:hAnsi="Times New Roman"/>
                      <w:sz w:val="22"/>
                      <w:szCs w:val="22"/>
                    </w:rPr>
                    <w:t>2.28</w:t>
                  </w:r>
                  <w:r>
                    <w:rPr>
                      <w:rFonts w:ascii="Times New Roman" w:hAnsi="Times New Roman"/>
                      <w:szCs w:val="21"/>
                    </w:rPr>
                    <w:t>(监督区)</w:t>
                  </w:r>
                </w:p>
              </w:tc>
              <w:tc>
                <w:tcPr>
                  <w:tcW w:w="628" w:type="pct"/>
                  <w:vAlign w:val="center"/>
                </w:tcPr>
                <w:p w14:paraId="7B0DA20C">
                  <w:pPr>
                    <w:jc w:val="center"/>
                    <w:rPr>
                      <w:rFonts w:ascii="Times New Roman" w:hAnsi="Times New Roman"/>
                      <w:sz w:val="22"/>
                      <w:szCs w:val="22"/>
                    </w:rPr>
                  </w:pPr>
                  <w:r>
                    <w:rPr>
                      <w:rFonts w:ascii="Times New Roman" w:hAnsi="Times New Roman"/>
                      <w:sz w:val="22"/>
                      <w:szCs w:val="22"/>
                    </w:rPr>
                    <w:t xml:space="preserve">11416.20 </w:t>
                  </w:r>
                </w:p>
              </w:tc>
              <w:tc>
                <w:tcPr>
                  <w:tcW w:w="870" w:type="pct"/>
                  <w:vAlign w:val="center"/>
                </w:tcPr>
                <w:p w14:paraId="550EA42A">
                  <w:pPr>
                    <w:jc w:val="center"/>
                    <w:rPr>
                      <w:rFonts w:ascii="Times New Roman" w:hAnsi="Times New Roman"/>
                      <w:sz w:val="22"/>
                      <w:szCs w:val="22"/>
                    </w:rPr>
                  </w:pPr>
                  <w:r>
                    <w:rPr>
                      <w:rFonts w:ascii="Times New Roman" w:hAnsi="Times New Roman"/>
                      <w:sz w:val="22"/>
                      <w:szCs w:val="22"/>
                    </w:rPr>
                    <w:t>4.07</w:t>
                  </w:r>
                </w:p>
              </w:tc>
              <w:tc>
                <w:tcPr>
                  <w:tcW w:w="673" w:type="pct"/>
                  <w:vAlign w:val="center"/>
                </w:tcPr>
                <w:p w14:paraId="2DBCB833">
                  <w:pPr>
                    <w:jc w:val="center"/>
                    <w:rPr>
                      <w:rFonts w:ascii="Times New Roman" w:hAnsi="Times New Roman"/>
                      <w:sz w:val="22"/>
                      <w:szCs w:val="22"/>
                    </w:rPr>
                  </w:pPr>
                  <w:r>
                    <w:rPr>
                      <w:rFonts w:ascii="Times New Roman" w:hAnsi="Times New Roman"/>
                      <w:sz w:val="22"/>
                      <w:szCs w:val="22"/>
                    </w:rPr>
                    <w:t xml:space="preserve">9521.29 </w:t>
                  </w:r>
                </w:p>
              </w:tc>
              <w:tc>
                <w:tcPr>
                  <w:tcW w:w="866" w:type="pct"/>
                  <w:vAlign w:val="center"/>
                </w:tcPr>
                <w:p w14:paraId="3BF3474E">
                  <w:pPr>
                    <w:jc w:val="center"/>
                    <w:rPr>
                      <w:rFonts w:ascii="Times New Roman" w:hAnsi="Times New Roman"/>
                      <w:sz w:val="22"/>
                      <w:szCs w:val="22"/>
                    </w:rPr>
                  </w:pPr>
                  <w:r>
                    <w:rPr>
                      <w:rFonts w:ascii="Times New Roman" w:hAnsi="Times New Roman"/>
                      <w:sz w:val="22"/>
                      <w:szCs w:val="22"/>
                    </w:rPr>
                    <w:t xml:space="preserve">167.61 </w:t>
                  </w:r>
                </w:p>
              </w:tc>
            </w:tr>
            <w:tr w14:paraId="322D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3F7F9EA8">
                  <w:pPr>
                    <w:adjustRightInd w:val="0"/>
                    <w:snapToGrid w:val="0"/>
                    <w:jc w:val="center"/>
                    <w:rPr>
                      <w:rFonts w:ascii="Times New Roman" w:hAnsi="Times New Roman"/>
                      <w:b/>
                      <w:szCs w:val="21"/>
                    </w:rPr>
                  </w:pPr>
                  <w:r>
                    <w:rPr>
                      <w:rFonts w:ascii="Times New Roman" w:hAnsi="Times New Roman"/>
                      <w:b/>
                      <w:szCs w:val="21"/>
                    </w:rPr>
                    <w:t>15</w:t>
                  </w:r>
                </w:p>
              </w:tc>
              <w:tc>
                <w:tcPr>
                  <w:tcW w:w="659" w:type="pct"/>
                  <w:tcBorders>
                    <w:top w:val="single" w:color="auto" w:sz="4" w:space="0"/>
                    <w:left w:val="single" w:color="auto" w:sz="4" w:space="0"/>
                    <w:bottom w:val="single" w:color="auto" w:sz="4" w:space="0"/>
                    <w:right w:val="single" w:color="auto" w:sz="4" w:space="0"/>
                  </w:tcBorders>
                  <w:vAlign w:val="center"/>
                </w:tcPr>
                <w:p w14:paraId="1DF662AF">
                  <w:pPr>
                    <w:jc w:val="center"/>
                    <w:rPr>
                      <w:rFonts w:ascii="Times New Roman" w:hAnsi="Times New Roman"/>
                      <w:sz w:val="22"/>
                      <w:szCs w:val="22"/>
                    </w:rPr>
                  </w:pPr>
                  <w:r>
                    <w:rPr>
                      <w:rFonts w:ascii="Times New Roman" w:hAnsi="Times New Roman"/>
                      <w:sz w:val="22"/>
                      <w:szCs w:val="22"/>
                    </w:rPr>
                    <w:t xml:space="preserve">7388.14 </w:t>
                  </w:r>
                </w:p>
              </w:tc>
              <w:tc>
                <w:tcPr>
                  <w:tcW w:w="851" w:type="pct"/>
                  <w:tcBorders>
                    <w:top w:val="single" w:color="auto" w:sz="4" w:space="0"/>
                    <w:left w:val="single" w:color="auto" w:sz="4" w:space="0"/>
                    <w:bottom w:val="single" w:color="auto" w:sz="4" w:space="0"/>
                    <w:right w:val="single" w:color="auto" w:sz="4" w:space="0"/>
                  </w:tcBorders>
                  <w:vAlign w:val="center"/>
                </w:tcPr>
                <w:p w14:paraId="10348A46">
                  <w:pPr>
                    <w:jc w:val="center"/>
                    <w:rPr>
                      <w:rFonts w:ascii="Times New Roman" w:hAnsi="Times New Roman"/>
                      <w:sz w:val="22"/>
                      <w:szCs w:val="22"/>
                    </w:rPr>
                  </w:pPr>
                  <w:r>
                    <w:rPr>
                      <w:rFonts w:ascii="Times New Roman" w:hAnsi="Times New Roman"/>
                      <w:sz w:val="22"/>
                      <w:szCs w:val="22"/>
                    </w:rPr>
                    <w:t xml:space="preserve">1.98 </w:t>
                  </w:r>
                </w:p>
              </w:tc>
              <w:tc>
                <w:tcPr>
                  <w:tcW w:w="628" w:type="pct"/>
                  <w:vAlign w:val="center"/>
                </w:tcPr>
                <w:p w14:paraId="4AA969D5">
                  <w:pPr>
                    <w:jc w:val="center"/>
                    <w:rPr>
                      <w:rFonts w:ascii="Times New Roman" w:hAnsi="Times New Roman"/>
                      <w:szCs w:val="21"/>
                    </w:rPr>
                  </w:pPr>
                  <w:r>
                    <w:rPr>
                      <w:rFonts w:ascii="Times New Roman" w:hAnsi="Times New Roman"/>
                      <w:szCs w:val="21"/>
                    </w:rPr>
                    <w:t>9944.78</w:t>
                  </w:r>
                </w:p>
              </w:tc>
              <w:tc>
                <w:tcPr>
                  <w:tcW w:w="870" w:type="pct"/>
                  <w:vAlign w:val="center"/>
                </w:tcPr>
                <w:p w14:paraId="604DF861">
                  <w:pPr>
                    <w:jc w:val="center"/>
                    <w:rPr>
                      <w:rFonts w:ascii="Times New Roman" w:hAnsi="Times New Roman"/>
                      <w:szCs w:val="21"/>
                    </w:rPr>
                  </w:pPr>
                  <w:r>
                    <w:rPr>
                      <w:rFonts w:ascii="Times New Roman" w:hAnsi="Times New Roman"/>
                      <w:szCs w:val="21"/>
                    </w:rPr>
                    <w:t>3.54</w:t>
                  </w:r>
                </w:p>
              </w:tc>
              <w:tc>
                <w:tcPr>
                  <w:tcW w:w="673" w:type="pct"/>
                  <w:vAlign w:val="center"/>
                </w:tcPr>
                <w:p w14:paraId="2A3E7F93">
                  <w:pPr>
                    <w:jc w:val="center"/>
                    <w:rPr>
                      <w:rFonts w:ascii="Times New Roman" w:hAnsi="Times New Roman"/>
                      <w:szCs w:val="21"/>
                    </w:rPr>
                  </w:pPr>
                  <w:r>
                    <w:rPr>
                      <w:rFonts w:ascii="Times New Roman" w:hAnsi="Times New Roman"/>
                      <w:szCs w:val="21"/>
                    </w:rPr>
                    <w:t>8294.10</w:t>
                  </w:r>
                </w:p>
              </w:tc>
              <w:tc>
                <w:tcPr>
                  <w:tcW w:w="866" w:type="pct"/>
                  <w:vAlign w:val="center"/>
                </w:tcPr>
                <w:p w14:paraId="3AB0F82E">
                  <w:pPr>
                    <w:jc w:val="center"/>
                    <w:rPr>
                      <w:rFonts w:ascii="Times New Roman" w:hAnsi="Times New Roman"/>
                      <w:szCs w:val="21"/>
                    </w:rPr>
                  </w:pPr>
                  <w:r>
                    <w:rPr>
                      <w:rFonts w:ascii="Times New Roman" w:hAnsi="Times New Roman"/>
                      <w:szCs w:val="21"/>
                    </w:rPr>
                    <w:t>146.01</w:t>
                  </w:r>
                </w:p>
              </w:tc>
            </w:tr>
            <w:tr w14:paraId="0F03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20EC0F29">
                  <w:pPr>
                    <w:adjustRightInd w:val="0"/>
                    <w:snapToGrid w:val="0"/>
                    <w:jc w:val="center"/>
                    <w:rPr>
                      <w:rFonts w:ascii="Times New Roman" w:hAnsi="Times New Roman"/>
                      <w:b/>
                      <w:szCs w:val="21"/>
                    </w:rPr>
                  </w:pPr>
                  <w:r>
                    <w:rPr>
                      <w:rFonts w:ascii="Times New Roman" w:hAnsi="Times New Roman"/>
                      <w:b/>
                      <w:szCs w:val="21"/>
                    </w:rPr>
                    <w:t>18</w:t>
                  </w:r>
                </w:p>
              </w:tc>
              <w:tc>
                <w:tcPr>
                  <w:tcW w:w="659" w:type="pct"/>
                  <w:tcBorders>
                    <w:top w:val="single" w:color="auto" w:sz="4" w:space="0"/>
                    <w:left w:val="single" w:color="auto" w:sz="4" w:space="0"/>
                    <w:bottom w:val="single" w:color="auto" w:sz="4" w:space="0"/>
                    <w:right w:val="single" w:color="auto" w:sz="4" w:space="0"/>
                  </w:tcBorders>
                  <w:vAlign w:val="center"/>
                </w:tcPr>
                <w:p w14:paraId="1B0E502B">
                  <w:pPr>
                    <w:jc w:val="center"/>
                    <w:rPr>
                      <w:rFonts w:ascii="Times New Roman" w:hAnsi="Times New Roman"/>
                      <w:sz w:val="22"/>
                      <w:szCs w:val="22"/>
                    </w:rPr>
                  </w:pPr>
                  <w:r>
                    <w:rPr>
                      <w:rFonts w:ascii="Times New Roman" w:hAnsi="Times New Roman"/>
                      <w:sz w:val="22"/>
                      <w:szCs w:val="22"/>
                    </w:rPr>
                    <w:t xml:space="preserve">5130.65 </w:t>
                  </w:r>
                </w:p>
              </w:tc>
              <w:tc>
                <w:tcPr>
                  <w:tcW w:w="851" w:type="pct"/>
                  <w:tcBorders>
                    <w:top w:val="single" w:color="auto" w:sz="4" w:space="0"/>
                    <w:left w:val="single" w:color="auto" w:sz="4" w:space="0"/>
                    <w:bottom w:val="single" w:color="auto" w:sz="4" w:space="0"/>
                    <w:right w:val="single" w:color="auto" w:sz="4" w:space="0"/>
                  </w:tcBorders>
                  <w:vAlign w:val="center"/>
                </w:tcPr>
                <w:p w14:paraId="0F2644E9">
                  <w:pPr>
                    <w:jc w:val="center"/>
                    <w:rPr>
                      <w:rFonts w:ascii="Times New Roman" w:hAnsi="Times New Roman"/>
                      <w:sz w:val="22"/>
                      <w:szCs w:val="22"/>
                    </w:rPr>
                  </w:pPr>
                  <w:r>
                    <w:rPr>
                      <w:rFonts w:ascii="Times New Roman" w:hAnsi="Times New Roman"/>
                      <w:sz w:val="22"/>
                      <w:szCs w:val="22"/>
                    </w:rPr>
                    <w:t xml:space="preserve">1.38 </w:t>
                  </w:r>
                </w:p>
              </w:tc>
              <w:tc>
                <w:tcPr>
                  <w:tcW w:w="628" w:type="pct"/>
                  <w:vAlign w:val="center"/>
                </w:tcPr>
                <w:p w14:paraId="4A2E5677">
                  <w:pPr>
                    <w:jc w:val="center"/>
                    <w:rPr>
                      <w:rFonts w:ascii="Times New Roman" w:hAnsi="Times New Roman"/>
                      <w:szCs w:val="21"/>
                    </w:rPr>
                  </w:pPr>
                  <w:r>
                    <w:rPr>
                      <w:rFonts w:ascii="Times New Roman" w:hAnsi="Times New Roman"/>
                      <w:szCs w:val="21"/>
                    </w:rPr>
                    <w:t>6906.10</w:t>
                  </w:r>
                </w:p>
              </w:tc>
              <w:tc>
                <w:tcPr>
                  <w:tcW w:w="870" w:type="pct"/>
                  <w:vAlign w:val="center"/>
                </w:tcPr>
                <w:p w14:paraId="6EB7F96E">
                  <w:pPr>
                    <w:jc w:val="center"/>
                    <w:rPr>
                      <w:rFonts w:ascii="Times New Roman" w:hAnsi="Times New Roman"/>
                      <w:szCs w:val="21"/>
                    </w:rPr>
                  </w:pPr>
                  <w:r>
                    <w:rPr>
                      <w:rFonts w:ascii="Times New Roman" w:hAnsi="Times New Roman"/>
                      <w:szCs w:val="21"/>
                    </w:rPr>
                    <w:t>2.46(监督区)</w:t>
                  </w:r>
                </w:p>
              </w:tc>
              <w:tc>
                <w:tcPr>
                  <w:tcW w:w="673" w:type="pct"/>
                  <w:vAlign w:val="center"/>
                </w:tcPr>
                <w:p w14:paraId="22E8E7E0">
                  <w:pPr>
                    <w:jc w:val="center"/>
                    <w:rPr>
                      <w:rFonts w:ascii="Times New Roman" w:hAnsi="Times New Roman"/>
                      <w:szCs w:val="21"/>
                    </w:rPr>
                  </w:pPr>
                  <w:r>
                    <w:rPr>
                      <w:rFonts w:ascii="Times New Roman" w:hAnsi="Times New Roman"/>
                      <w:szCs w:val="21"/>
                    </w:rPr>
                    <w:t>5759.79</w:t>
                  </w:r>
                </w:p>
              </w:tc>
              <w:tc>
                <w:tcPr>
                  <w:tcW w:w="866" w:type="pct"/>
                  <w:vAlign w:val="center"/>
                </w:tcPr>
                <w:p w14:paraId="5C143A0A">
                  <w:pPr>
                    <w:jc w:val="center"/>
                    <w:rPr>
                      <w:rFonts w:ascii="Times New Roman" w:hAnsi="Times New Roman"/>
                      <w:szCs w:val="21"/>
                    </w:rPr>
                  </w:pPr>
                  <w:r>
                    <w:rPr>
                      <w:rFonts w:ascii="Times New Roman" w:hAnsi="Times New Roman"/>
                      <w:szCs w:val="21"/>
                    </w:rPr>
                    <w:t>101.40</w:t>
                  </w:r>
                </w:p>
              </w:tc>
            </w:tr>
            <w:tr w14:paraId="2905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1410522C">
                  <w:pPr>
                    <w:adjustRightInd w:val="0"/>
                    <w:snapToGrid w:val="0"/>
                    <w:jc w:val="center"/>
                    <w:rPr>
                      <w:rFonts w:ascii="Times New Roman" w:hAnsi="Times New Roman"/>
                      <w:b/>
                      <w:szCs w:val="21"/>
                    </w:rPr>
                  </w:pPr>
                  <w:r>
                    <w:rPr>
                      <w:rFonts w:ascii="Times New Roman" w:hAnsi="Times New Roman"/>
                      <w:b/>
                      <w:szCs w:val="21"/>
                    </w:rPr>
                    <w:t>25</w:t>
                  </w:r>
                </w:p>
              </w:tc>
              <w:tc>
                <w:tcPr>
                  <w:tcW w:w="659" w:type="pct"/>
                  <w:tcBorders>
                    <w:top w:val="single" w:color="auto" w:sz="4" w:space="0"/>
                    <w:left w:val="single" w:color="auto" w:sz="4" w:space="0"/>
                    <w:bottom w:val="single" w:color="auto" w:sz="4" w:space="0"/>
                    <w:right w:val="single" w:color="auto" w:sz="4" w:space="0"/>
                  </w:tcBorders>
                  <w:vAlign w:val="center"/>
                </w:tcPr>
                <w:p w14:paraId="512D166F">
                  <w:pPr>
                    <w:jc w:val="center"/>
                    <w:rPr>
                      <w:rFonts w:ascii="Times New Roman" w:hAnsi="Times New Roman"/>
                      <w:sz w:val="22"/>
                      <w:szCs w:val="22"/>
                    </w:rPr>
                  </w:pPr>
                  <w:r>
                    <w:rPr>
                      <w:rFonts w:ascii="Times New Roman" w:hAnsi="Times New Roman"/>
                      <w:sz w:val="22"/>
                      <w:szCs w:val="22"/>
                    </w:rPr>
                    <w:t xml:space="preserve">2659.73 </w:t>
                  </w:r>
                </w:p>
              </w:tc>
              <w:tc>
                <w:tcPr>
                  <w:tcW w:w="851" w:type="pct"/>
                  <w:tcBorders>
                    <w:top w:val="single" w:color="auto" w:sz="4" w:space="0"/>
                    <w:left w:val="single" w:color="auto" w:sz="4" w:space="0"/>
                    <w:bottom w:val="single" w:color="auto" w:sz="4" w:space="0"/>
                    <w:right w:val="single" w:color="auto" w:sz="4" w:space="0"/>
                  </w:tcBorders>
                  <w:vAlign w:val="center"/>
                </w:tcPr>
                <w:p w14:paraId="49C27FDC">
                  <w:pPr>
                    <w:jc w:val="center"/>
                    <w:rPr>
                      <w:rFonts w:ascii="Times New Roman" w:hAnsi="Times New Roman"/>
                      <w:sz w:val="22"/>
                      <w:szCs w:val="22"/>
                    </w:rPr>
                  </w:pPr>
                  <w:r>
                    <w:rPr>
                      <w:rFonts w:ascii="Times New Roman" w:hAnsi="Times New Roman"/>
                      <w:sz w:val="22"/>
                      <w:szCs w:val="22"/>
                    </w:rPr>
                    <w:t xml:space="preserve">0.71 </w:t>
                  </w:r>
                </w:p>
              </w:tc>
              <w:tc>
                <w:tcPr>
                  <w:tcW w:w="628" w:type="pct"/>
                  <w:vAlign w:val="center"/>
                </w:tcPr>
                <w:p w14:paraId="45AFE51A">
                  <w:pPr>
                    <w:jc w:val="center"/>
                    <w:rPr>
                      <w:rFonts w:ascii="Times New Roman" w:hAnsi="Times New Roman"/>
                      <w:szCs w:val="21"/>
                    </w:rPr>
                  </w:pPr>
                  <w:r>
                    <w:rPr>
                      <w:rFonts w:ascii="Times New Roman" w:hAnsi="Times New Roman"/>
                      <w:szCs w:val="21"/>
                    </w:rPr>
                    <w:t>3580.12</w:t>
                  </w:r>
                </w:p>
              </w:tc>
              <w:tc>
                <w:tcPr>
                  <w:tcW w:w="870" w:type="pct"/>
                  <w:vAlign w:val="center"/>
                </w:tcPr>
                <w:p w14:paraId="07F4E98B">
                  <w:pPr>
                    <w:jc w:val="center"/>
                    <w:rPr>
                      <w:rFonts w:ascii="Times New Roman" w:hAnsi="Times New Roman"/>
                      <w:szCs w:val="21"/>
                    </w:rPr>
                  </w:pPr>
                  <w:r>
                    <w:rPr>
                      <w:rFonts w:ascii="Times New Roman" w:hAnsi="Times New Roman"/>
                      <w:szCs w:val="21"/>
                    </w:rPr>
                    <w:t>1.28</w:t>
                  </w:r>
                </w:p>
              </w:tc>
              <w:tc>
                <w:tcPr>
                  <w:tcW w:w="673" w:type="pct"/>
                  <w:vAlign w:val="center"/>
                </w:tcPr>
                <w:p w14:paraId="59B03DD4">
                  <w:pPr>
                    <w:jc w:val="center"/>
                    <w:rPr>
                      <w:rFonts w:ascii="Times New Roman" w:hAnsi="Times New Roman"/>
                      <w:szCs w:val="21"/>
                    </w:rPr>
                  </w:pPr>
                  <w:r>
                    <w:rPr>
                      <w:rFonts w:ascii="Times New Roman" w:hAnsi="Times New Roman"/>
                      <w:szCs w:val="21"/>
                    </w:rPr>
                    <w:t>2985.88</w:t>
                  </w:r>
                </w:p>
              </w:tc>
              <w:tc>
                <w:tcPr>
                  <w:tcW w:w="866" w:type="pct"/>
                  <w:vAlign w:val="center"/>
                </w:tcPr>
                <w:p w14:paraId="5940E108">
                  <w:pPr>
                    <w:jc w:val="center"/>
                    <w:rPr>
                      <w:rFonts w:ascii="Times New Roman" w:hAnsi="Times New Roman"/>
                      <w:szCs w:val="21"/>
                    </w:rPr>
                  </w:pPr>
                  <w:r>
                    <w:rPr>
                      <w:rFonts w:ascii="Times New Roman" w:hAnsi="Times New Roman"/>
                      <w:szCs w:val="21"/>
                    </w:rPr>
                    <w:t>52.56</w:t>
                  </w:r>
                </w:p>
              </w:tc>
            </w:tr>
            <w:tr w14:paraId="7C13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5D0E2216">
                  <w:pPr>
                    <w:adjustRightInd w:val="0"/>
                    <w:snapToGrid w:val="0"/>
                    <w:jc w:val="center"/>
                    <w:rPr>
                      <w:rFonts w:ascii="Times New Roman" w:hAnsi="Times New Roman"/>
                      <w:b/>
                      <w:szCs w:val="21"/>
                    </w:rPr>
                  </w:pPr>
                  <w:r>
                    <w:rPr>
                      <w:rFonts w:ascii="Times New Roman" w:hAnsi="Times New Roman"/>
                      <w:b/>
                      <w:szCs w:val="21"/>
                    </w:rPr>
                    <w:t>45</w:t>
                  </w:r>
                </w:p>
              </w:tc>
              <w:tc>
                <w:tcPr>
                  <w:tcW w:w="659" w:type="pct"/>
                  <w:tcBorders>
                    <w:top w:val="single" w:color="auto" w:sz="4" w:space="0"/>
                    <w:left w:val="single" w:color="auto" w:sz="4" w:space="0"/>
                    <w:bottom w:val="single" w:color="auto" w:sz="4" w:space="0"/>
                    <w:right w:val="single" w:color="auto" w:sz="4" w:space="0"/>
                  </w:tcBorders>
                  <w:vAlign w:val="center"/>
                </w:tcPr>
                <w:p w14:paraId="023E7F03">
                  <w:pPr>
                    <w:jc w:val="center"/>
                    <w:rPr>
                      <w:rFonts w:ascii="Times New Roman" w:hAnsi="Times New Roman"/>
                      <w:sz w:val="22"/>
                      <w:szCs w:val="22"/>
                    </w:rPr>
                  </w:pPr>
                  <w:r>
                    <w:rPr>
                      <w:rFonts w:ascii="Times New Roman" w:hAnsi="Times New Roman"/>
                      <w:sz w:val="22"/>
                      <w:szCs w:val="22"/>
                    </w:rPr>
                    <w:t xml:space="preserve">820.90 </w:t>
                  </w:r>
                </w:p>
              </w:tc>
              <w:tc>
                <w:tcPr>
                  <w:tcW w:w="851" w:type="pct"/>
                  <w:tcBorders>
                    <w:top w:val="single" w:color="auto" w:sz="4" w:space="0"/>
                    <w:left w:val="single" w:color="auto" w:sz="4" w:space="0"/>
                    <w:bottom w:val="single" w:color="auto" w:sz="4" w:space="0"/>
                    <w:right w:val="single" w:color="auto" w:sz="4" w:space="0"/>
                  </w:tcBorders>
                  <w:vAlign w:val="center"/>
                </w:tcPr>
                <w:p w14:paraId="329B4179">
                  <w:pPr>
                    <w:jc w:val="center"/>
                    <w:rPr>
                      <w:rFonts w:ascii="Times New Roman" w:hAnsi="Times New Roman"/>
                      <w:sz w:val="22"/>
                      <w:szCs w:val="22"/>
                    </w:rPr>
                  </w:pPr>
                  <w:r>
                    <w:rPr>
                      <w:rFonts w:ascii="Times New Roman" w:hAnsi="Times New Roman"/>
                      <w:sz w:val="22"/>
                      <w:szCs w:val="22"/>
                    </w:rPr>
                    <w:t xml:space="preserve">0.22 </w:t>
                  </w:r>
                </w:p>
              </w:tc>
              <w:tc>
                <w:tcPr>
                  <w:tcW w:w="628" w:type="pct"/>
                  <w:vAlign w:val="center"/>
                </w:tcPr>
                <w:p w14:paraId="092B9F52">
                  <w:pPr>
                    <w:jc w:val="center"/>
                    <w:rPr>
                      <w:rFonts w:ascii="Times New Roman" w:hAnsi="Times New Roman"/>
                      <w:szCs w:val="21"/>
                    </w:rPr>
                  </w:pPr>
                  <w:r>
                    <w:rPr>
                      <w:rFonts w:ascii="Times New Roman" w:hAnsi="Times New Roman"/>
                      <w:szCs w:val="21"/>
                    </w:rPr>
                    <w:t>1104.98</w:t>
                  </w:r>
                </w:p>
              </w:tc>
              <w:tc>
                <w:tcPr>
                  <w:tcW w:w="870" w:type="pct"/>
                  <w:vAlign w:val="center"/>
                </w:tcPr>
                <w:p w14:paraId="698BC788">
                  <w:pPr>
                    <w:jc w:val="center"/>
                    <w:rPr>
                      <w:rFonts w:ascii="Times New Roman" w:hAnsi="Times New Roman"/>
                      <w:szCs w:val="21"/>
                    </w:rPr>
                  </w:pPr>
                  <w:r>
                    <w:rPr>
                      <w:rFonts w:ascii="Times New Roman" w:hAnsi="Times New Roman"/>
                      <w:szCs w:val="21"/>
                    </w:rPr>
                    <w:t>0.39</w:t>
                  </w:r>
                </w:p>
              </w:tc>
              <w:tc>
                <w:tcPr>
                  <w:tcW w:w="673" w:type="pct"/>
                  <w:vAlign w:val="center"/>
                </w:tcPr>
                <w:p w14:paraId="327295D5">
                  <w:pPr>
                    <w:jc w:val="center"/>
                    <w:rPr>
                      <w:rFonts w:ascii="Times New Roman" w:hAnsi="Times New Roman"/>
                      <w:szCs w:val="21"/>
                    </w:rPr>
                  </w:pPr>
                  <w:r>
                    <w:rPr>
                      <w:rFonts w:ascii="Times New Roman" w:hAnsi="Times New Roman"/>
                      <w:szCs w:val="21"/>
                    </w:rPr>
                    <w:t>921.57</w:t>
                  </w:r>
                </w:p>
              </w:tc>
              <w:tc>
                <w:tcPr>
                  <w:tcW w:w="866" w:type="pct"/>
                  <w:vAlign w:val="center"/>
                </w:tcPr>
                <w:p w14:paraId="70EAD5A8">
                  <w:pPr>
                    <w:jc w:val="center"/>
                    <w:rPr>
                      <w:rFonts w:ascii="Times New Roman" w:hAnsi="Times New Roman"/>
                      <w:szCs w:val="21"/>
                    </w:rPr>
                  </w:pPr>
                  <w:r>
                    <w:rPr>
                      <w:rFonts w:ascii="Times New Roman" w:hAnsi="Times New Roman"/>
                      <w:szCs w:val="21"/>
                    </w:rPr>
                    <w:t>16.22</w:t>
                  </w:r>
                </w:p>
              </w:tc>
            </w:tr>
            <w:tr w14:paraId="214E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13393D16">
                  <w:pPr>
                    <w:adjustRightInd w:val="0"/>
                    <w:snapToGrid w:val="0"/>
                    <w:jc w:val="center"/>
                    <w:rPr>
                      <w:rFonts w:ascii="Times New Roman" w:hAnsi="Times New Roman"/>
                      <w:b/>
                      <w:szCs w:val="21"/>
                    </w:rPr>
                  </w:pPr>
                  <w:r>
                    <w:rPr>
                      <w:rFonts w:ascii="Times New Roman" w:hAnsi="Times New Roman"/>
                      <w:b/>
                      <w:szCs w:val="21"/>
                    </w:rPr>
                    <w:t>47</w:t>
                  </w:r>
                </w:p>
              </w:tc>
              <w:tc>
                <w:tcPr>
                  <w:tcW w:w="659" w:type="pct"/>
                  <w:tcBorders>
                    <w:top w:val="single" w:color="auto" w:sz="4" w:space="0"/>
                    <w:left w:val="single" w:color="auto" w:sz="4" w:space="0"/>
                    <w:bottom w:val="single" w:color="auto" w:sz="4" w:space="0"/>
                    <w:right w:val="single" w:color="auto" w:sz="4" w:space="0"/>
                  </w:tcBorders>
                  <w:vAlign w:val="center"/>
                </w:tcPr>
                <w:p w14:paraId="15E91DD5">
                  <w:pPr>
                    <w:jc w:val="center"/>
                    <w:rPr>
                      <w:rFonts w:ascii="Times New Roman" w:hAnsi="Times New Roman"/>
                      <w:sz w:val="22"/>
                      <w:szCs w:val="22"/>
                    </w:rPr>
                  </w:pPr>
                  <w:r>
                    <w:rPr>
                      <w:rFonts w:ascii="Times New Roman" w:hAnsi="Times New Roman"/>
                      <w:sz w:val="22"/>
                      <w:szCs w:val="22"/>
                    </w:rPr>
                    <w:t xml:space="preserve">752.53 </w:t>
                  </w:r>
                </w:p>
              </w:tc>
              <w:tc>
                <w:tcPr>
                  <w:tcW w:w="851" w:type="pct"/>
                  <w:tcBorders>
                    <w:top w:val="single" w:color="auto" w:sz="4" w:space="0"/>
                    <w:left w:val="single" w:color="auto" w:sz="4" w:space="0"/>
                    <w:bottom w:val="single" w:color="auto" w:sz="4" w:space="0"/>
                    <w:right w:val="single" w:color="auto" w:sz="4" w:space="0"/>
                  </w:tcBorders>
                  <w:vAlign w:val="center"/>
                </w:tcPr>
                <w:p w14:paraId="2B2A27A2">
                  <w:pPr>
                    <w:jc w:val="center"/>
                    <w:rPr>
                      <w:rFonts w:ascii="Times New Roman" w:hAnsi="Times New Roman"/>
                      <w:sz w:val="22"/>
                      <w:szCs w:val="22"/>
                    </w:rPr>
                  </w:pPr>
                  <w:r>
                    <w:rPr>
                      <w:rFonts w:ascii="Times New Roman" w:hAnsi="Times New Roman"/>
                      <w:sz w:val="22"/>
                      <w:szCs w:val="22"/>
                    </w:rPr>
                    <w:t xml:space="preserve">0.20 </w:t>
                  </w:r>
                </w:p>
              </w:tc>
              <w:tc>
                <w:tcPr>
                  <w:tcW w:w="628" w:type="pct"/>
                  <w:vAlign w:val="center"/>
                </w:tcPr>
                <w:p w14:paraId="0B3F2E9F">
                  <w:pPr>
                    <w:jc w:val="center"/>
                    <w:rPr>
                      <w:rFonts w:ascii="Times New Roman" w:hAnsi="Times New Roman"/>
                      <w:szCs w:val="21"/>
                    </w:rPr>
                  </w:pPr>
                  <w:r>
                    <w:rPr>
                      <w:rFonts w:ascii="Times New Roman" w:hAnsi="Times New Roman"/>
                      <w:szCs w:val="21"/>
                    </w:rPr>
                    <w:t>1012.94</w:t>
                  </w:r>
                </w:p>
              </w:tc>
              <w:tc>
                <w:tcPr>
                  <w:tcW w:w="870" w:type="pct"/>
                  <w:vAlign w:val="center"/>
                </w:tcPr>
                <w:p w14:paraId="11EC4927">
                  <w:pPr>
                    <w:jc w:val="center"/>
                    <w:rPr>
                      <w:rFonts w:ascii="Times New Roman" w:hAnsi="Times New Roman"/>
                      <w:szCs w:val="21"/>
                    </w:rPr>
                  </w:pPr>
                  <w:r>
                    <w:rPr>
                      <w:rFonts w:ascii="Times New Roman" w:hAnsi="Times New Roman"/>
                      <w:szCs w:val="21"/>
                    </w:rPr>
                    <w:t>0.36</w:t>
                  </w:r>
                </w:p>
              </w:tc>
              <w:tc>
                <w:tcPr>
                  <w:tcW w:w="673" w:type="pct"/>
                  <w:vAlign w:val="center"/>
                </w:tcPr>
                <w:p w14:paraId="30BF2A45">
                  <w:pPr>
                    <w:jc w:val="center"/>
                    <w:rPr>
                      <w:rFonts w:ascii="Times New Roman" w:hAnsi="Times New Roman"/>
                      <w:szCs w:val="21"/>
                    </w:rPr>
                  </w:pPr>
                  <w:r>
                    <w:rPr>
                      <w:rFonts w:ascii="Times New Roman" w:hAnsi="Times New Roman"/>
                      <w:szCs w:val="21"/>
                    </w:rPr>
                    <w:t>844.80</w:t>
                  </w:r>
                </w:p>
              </w:tc>
              <w:tc>
                <w:tcPr>
                  <w:tcW w:w="866" w:type="pct"/>
                  <w:vAlign w:val="center"/>
                </w:tcPr>
                <w:p w14:paraId="30C56F63">
                  <w:pPr>
                    <w:jc w:val="center"/>
                    <w:rPr>
                      <w:rFonts w:ascii="Times New Roman" w:hAnsi="Times New Roman"/>
                      <w:szCs w:val="21"/>
                    </w:rPr>
                  </w:pPr>
                  <w:r>
                    <w:rPr>
                      <w:rFonts w:ascii="Times New Roman" w:hAnsi="Times New Roman"/>
                      <w:szCs w:val="21"/>
                    </w:rPr>
                    <w:t>14.87(控制区)</w:t>
                  </w:r>
                </w:p>
              </w:tc>
            </w:tr>
            <w:tr w14:paraId="33C4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6ADB9C2B">
                  <w:pPr>
                    <w:adjustRightInd w:val="0"/>
                    <w:snapToGrid w:val="0"/>
                    <w:jc w:val="center"/>
                    <w:rPr>
                      <w:rFonts w:ascii="Times New Roman" w:hAnsi="Times New Roman"/>
                      <w:b/>
                      <w:szCs w:val="21"/>
                    </w:rPr>
                  </w:pPr>
                  <w:r>
                    <w:rPr>
                      <w:rFonts w:ascii="Times New Roman" w:hAnsi="Times New Roman"/>
                      <w:b/>
                      <w:szCs w:val="21"/>
                    </w:rPr>
                    <w:t>60</w:t>
                  </w:r>
                </w:p>
              </w:tc>
              <w:tc>
                <w:tcPr>
                  <w:tcW w:w="659" w:type="pct"/>
                  <w:tcBorders>
                    <w:top w:val="single" w:color="auto" w:sz="4" w:space="0"/>
                    <w:left w:val="single" w:color="auto" w:sz="4" w:space="0"/>
                    <w:bottom w:val="single" w:color="auto" w:sz="4" w:space="0"/>
                    <w:right w:val="single" w:color="auto" w:sz="4" w:space="0"/>
                  </w:tcBorders>
                  <w:vAlign w:val="center"/>
                </w:tcPr>
                <w:p w14:paraId="0603009B">
                  <w:pPr>
                    <w:jc w:val="center"/>
                    <w:rPr>
                      <w:rFonts w:ascii="Times New Roman" w:hAnsi="Times New Roman"/>
                      <w:sz w:val="22"/>
                      <w:szCs w:val="22"/>
                    </w:rPr>
                  </w:pPr>
                  <w:r>
                    <w:rPr>
                      <w:rFonts w:ascii="Times New Roman" w:hAnsi="Times New Roman"/>
                      <w:sz w:val="22"/>
                      <w:szCs w:val="22"/>
                    </w:rPr>
                    <w:t xml:space="preserve">461.76 </w:t>
                  </w:r>
                </w:p>
              </w:tc>
              <w:tc>
                <w:tcPr>
                  <w:tcW w:w="851" w:type="pct"/>
                  <w:tcBorders>
                    <w:top w:val="single" w:color="auto" w:sz="4" w:space="0"/>
                    <w:left w:val="single" w:color="auto" w:sz="4" w:space="0"/>
                    <w:bottom w:val="single" w:color="auto" w:sz="4" w:space="0"/>
                    <w:right w:val="single" w:color="auto" w:sz="4" w:space="0"/>
                  </w:tcBorders>
                  <w:vAlign w:val="center"/>
                </w:tcPr>
                <w:p w14:paraId="3C3AEBD6">
                  <w:pPr>
                    <w:jc w:val="center"/>
                    <w:rPr>
                      <w:rFonts w:ascii="Times New Roman" w:hAnsi="Times New Roman"/>
                      <w:sz w:val="22"/>
                      <w:szCs w:val="22"/>
                    </w:rPr>
                  </w:pPr>
                  <w:r>
                    <w:rPr>
                      <w:rFonts w:ascii="Times New Roman" w:hAnsi="Times New Roman"/>
                      <w:sz w:val="22"/>
                      <w:szCs w:val="22"/>
                    </w:rPr>
                    <w:t xml:space="preserve">0.12 </w:t>
                  </w:r>
                </w:p>
              </w:tc>
              <w:tc>
                <w:tcPr>
                  <w:tcW w:w="628" w:type="pct"/>
                  <w:vAlign w:val="center"/>
                </w:tcPr>
                <w:p w14:paraId="3B764D0E">
                  <w:pPr>
                    <w:jc w:val="center"/>
                    <w:rPr>
                      <w:rFonts w:ascii="Times New Roman" w:hAnsi="Times New Roman"/>
                      <w:szCs w:val="21"/>
                    </w:rPr>
                  </w:pPr>
                  <w:r>
                    <w:rPr>
                      <w:rFonts w:ascii="Times New Roman" w:hAnsi="Times New Roman"/>
                      <w:szCs w:val="21"/>
                    </w:rPr>
                    <w:t>621.55</w:t>
                  </w:r>
                </w:p>
              </w:tc>
              <w:tc>
                <w:tcPr>
                  <w:tcW w:w="870" w:type="pct"/>
                  <w:vAlign w:val="center"/>
                </w:tcPr>
                <w:p w14:paraId="4476E388">
                  <w:pPr>
                    <w:jc w:val="center"/>
                    <w:rPr>
                      <w:rFonts w:ascii="Times New Roman" w:hAnsi="Times New Roman"/>
                      <w:szCs w:val="21"/>
                    </w:rPr>
                  </w:pPr>
                  <w:r>
                    <w:rPr>
                      <w:rFonts w:ascii="Times New Roman" w:hAnsi="Times New Roman"/>
                      <w:szCs w:val="21"/>
                    </w:rPr>
                    <w:t>0.22</w:t>
                  </w:r>
                </w:p>
              </w:tc>
              <w:tc>
                <w:tcPr>
                  <w:tcW w:w="673" w:type="pct"/>
                  <w:vAlign w:val="center"/>
                </w:tcPr>
                <w:p w14:paraId="2003C342">
                  <w:pPr>
                    <w:jc w:val="center"/>
                    <w:rPr>
                      <w:rFonts w:ascii="Times New Roman" w:hAnsi="Times New Roman"/>
                      <w:szCs w:val="21"/>
                    </w:rPr>
                  </w:pPr>
                  <w:r>
                    <w:rPr>
                      <w:rFonts w:ascii="Times New Roman" w:hAnsi="Times New Roman"/>
                      <w:szCs w:val="21"/>
                    </w:rPr>
                    <w:t>518.38</w:t>
                  </w:r>
                </w:p>
              </w:tc>
              <w:tc>
                <w:tcPr>
                  <w:tcW w:w="866" w:type="pct"/>
                  <w:vAlign w:val="center"/>
                </w:tcPr>
                <w:p w14:paraId="4B666F34">
                  <w:pPr>
                    <w:jc w:val="center"/>
                    <w:rPr>
                      <w:rFonts w:ascii="Times New Roman" w:hAnsi="Times New Roman"/>
                      <w:szCs w:val="21"/>
                    </w:rPr>
                  </w:pPr>
                  <w:r>
                    <w:rPr>
                      <w:rFonts w:ascii="Times New Roman" w:hAnsi="Times New Roman"/>
                      <w:szCs w:val="21"/>
                    </w:rPr>
                    <w:t>9.13</w:t>
                  </w:r>
                </w:p>
              </w:tc>
            </w:tr>
            <w:tr w14:paraId="27E9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24190CDC">
                  <w:pPr>
                    <w:adjustRightInd w:val="0"/>
                    <w:snapToGrid w:val="0"/>
                    <w:jc w:val="center"/>
                    <w:rPr>
                      <w:rFonts w:ascii="Times New Roman" w:hAnsi="Times New Roman"/>
                      <w:b/>
                      <w:szCs w:val="21"/>
                    </w:rPr>
                  </w:pPr>
                  <w:r>
                    <w:rPr>
                      <w:rFonts w:ascii="Times New Roman" w:hAnsi="Times New Roman"/>
                      <w:b/>
                      <w:szCs w:val="21"/>
                    </w:rPr>
                    <w:t>90</w:t>
                  </w:r>
                </w:p>
              </w:tc>
              <w:tc>
                <w:tcPr>
                  <w:tcW w:w="659" w:type="pct"/>
                  <w:tcBorders>
                    <w:top w:val="single" w:color="auto" w:sz="4" w:space="0"/>
                    <w:left w:val="single" w:color="auto" w:sz="4" w:space="0"/>
                    <w:bottom w:val="single" w:color="auto" w:sz="4" w:space="0"/>
                    <w:right w:val="single" w:color="auto" w:sz="4" w:space="0"/>
                  </w:tcBorders>
                  <w:vAlign w:val="center"/>
                </w:tcPr>
                <w:p w14:paraId="700F25E4">
                  <w:pPr>
                    <w:jc w:val="center"/>
                    <w:rPr>
                      <w:rFonts w:ascii="Times New Roman" w:hAnsi="Times New Roman"/>
                      <w:sz w:val="22"/>
                      <w:szCs w:val="22"/>
                    </w:rPr>
                  </w:pPr>
                  <w:r>
                    <w:rPr>
                      <w:rFonts w:ascii="Times New Roman" w:hAnsi="Times New Roman"/>
                      <w:sz w:val="22"/>
                      <w:szCs w:val="22"/>
                    </w:rPr>
                    <w:t xml:space="preserve">205.23 </w:t>
                  </w:r>
                </w:p>
              </w:tc>
              <w:tc>
                <w:tcPr>
                  <w:tcW w:w="851" w:type="pct"/>
                  <w:tcBorders>
                    <w:top w:val="single" w:color="auto" w:sz="4" w:space="0"/>
                    <w:left w:val="single" w:color="auto" w:sz="4" w:space="0"/>
                    <w:bottom w:val="single" w:color="auto" w:sz="4" w:space="0"/>
                    <w:right w:val="single" w:color="auto" w:sz="4" w:space="0"/>
                  </w:tcBorders>
                  <w:vAlign w:val="center"/>
                </w:tcPr>
                <w:p w14:paraId="102D9118">
                  <w:pPr>
                    <w:jc w:val="center"/>
                    <w:rPr>
                      <w:rFonts w:ascii="Times New Roman" w:hAnsi="Times New Roman"/>
                      <w:sz w:val="22"/>
                      <w:szCs w:val="22"/>
                    </w:rPr>
                  </w:pPr>
                  <w:r>
                    <w:rPr>
                      <w:rFonts w:ascii="Times New Roman" w:hAnsi="Times New Roman"/>
                      <w:sz w:val="22"/>
                      <w:szCs w:val="22"/>
                    </w:rPr>
                    <w:t>5.51</w:t>
                  </w:r>
                  <w:r>
                    <w:rPr>
                      <w:rFonts w:ascii="Times New Roman" w:hAnsi="Times New Roman"/>
                      <w:szCs w:val="21"/>
                    </w:rPr>
                    <w:t>×10</w:t>
                  </w:r>
                  <w:r>
                    <w:rPr>
                      <w:rFonts w:ascii="Times New Roman" w:hAnsi="Times New Roman"/>
                      <w:szCs w:val="21"/>
                      <w:vertAlign w:val="superscript"/>
                    </w:rPr>
                    <w:t>-2</w:t>
                  </w:r>
                </w:p>
              </w:tc>
              <w:tc>
                <w:tcPr>
                  <w:tcW w:w="628" w:type="pct"/>
                  <w:vAlign w:val="center"/>
                </w:tcPr>
                <w:p w14:paraId="3F240389">
                  <w:pPr>
                    <w:jc w:val="center"/>
                    <w:rPr>
                      <w:rFonts w:ascii="Times New Roman" w:hAnsi="Times New Roman"/>
                      <w:szCs w:val="21"/>
                    </w:rPr>
                  </w:pPr>
                  <w:r>
                    <w:rPr>
                      <w:rFonts w:ascii="Times New Roman" w:hAnsi="Times New Roman"/>
                      <w:szCs w:val="21"/>
                    </w:rPr>
                    <w:t>276.24</w:t>
                  </w:r>
                </w:p>
              </w:tc>
              <w:tc>
                <w:tcPr>
                  <w:tcW w:w="870" w:type="pct"/>
                  <w:vAlign w:val="center"/>
                </w:tcPr>
                <w:p w14:paraId="63A872FD">
                  <w:pPr>
                    <w:jc w:val="center"/>
                    <w:rPr>
                      <w:rFonts w:ascii="Times New Roman" w:hAnsi="Times New Roman"/>
                      <w:szCs w:val="21"/>
                    </w:rPr>
                  </w:pPr>
                  <w:r>
                    <w:rPr>
                      <w:rFonts w:ascii="Times New Roman" w:hAnsi="Times New Roman"/>
                      <w:szCs w:val="21"/>
                    </w:rPr>
                    <w:t>0.10</w:t>
                  </w:r>
                </w:p>
              </w:tc>
              <w:tc>
                <w:tcPr>
                  <w:tcW w:w="673" w:type="pct"/>
                  <w:vAlign w:val="center"/>
                </w:tcPr>
                <w:p w14:paraId="5050340B">
                  <w:pPr>
                    <w:jc w:val="center"/>
                    <w:rPr>
                      <w:rFonts w:ascii="Times New Roman" w:hAnsi="Times New Roman"/>
                      <w:szCs w:val="21"/>
                    </w:rPr>
                  </w:pPr>
                  <w:r>
                    <w:rPr>
                      <w:rFonts w:ascii="Times New Roman" w:hAnsi="Times New Roman"/>
                      <w:szCs w:val="21"/>
                    </w:rPr>
                    <w:t>230.39</w:t>
                  </w:r>
                </w:p>
              </w:tc>
              <w:tc>
                <w:tcPr>
                  <w:tcW w:w="866" w:type="pct"/>
                  <w:vAlign w:val="center"/>
                </w:tcPr>
                <w:p w14:paraId="2FE9658F">
                  <w:pPr>
                    <w:jc w:val="center"/>
                    <w:rPr>
                      <w:rFonts w:ascii="Times New Roman" w:hAnsi="Times New Roman"/>
                      <w:szCs w:val="21"/>
                    </w:rPr>
                  </w:pPr>
                  <w:r>
                    <w:rPr>
                      <w:rFonts w:ascii="Times New Roman" w:hAnsi="Times New Roman"/>
                      <w:szCs w:val="21"/>
                    </w:rPr>
                    <w:t>4.06</w:t>
                  </w:r>
                </w:p>
              </w:tc>
            </w:tr>
            <w:tr w14:paraId="2FCF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55C67162">
                  <w:pPr>
                    <w:adjustRightInd w:val="0"/>
                    <w:snapToGrid w:val="0"/>
                    <w:jc w:val="center"/>
                    <w:rPr>
                      <w:rFonts w:ascii="Times New Roman" w:hAnsi="Times New Roman"/>
                      <w:b/>
                      <w:szCs w:val="21"/>
                    </w:rPr>
                  </w:pPr>
                  <w:r>
                    <w:rPr>
                      <w:rFonts w:ascii="Times New Roman" w:hAnsi="Times New Roman"/>
                      <w:b/>
                      <w:szCs w:val="21"/>
                    </w:rPr>
                    <w:t>100</w:t>
                  </w:r>
                </w:p>
              </w:tc>
              <w:tc>
                <w:tcPr>
                  <w:tcW w:w="659" w:type="pct"/>
                  <w:tcBorders>
                    <w:top w:val="single" w:color="auto" w:sz="4" w:space="0"/>
                    <w:left w:val="single" w:color="auto" w:sz="4" w:space="0"/>
                    <w:bottom w:val="single" w:color="auto" w:sz="4" w:space="0"/>
                    <w:right w:val="single" w:color="auto" w:sz="4" w:space="0"/>
                  </w:tcBorders>
                  <w:vAlign w:val="center"/>
                </w:tcPr>
                <w:p w14:paraId="38F89372">
                  <w:pPr>
                    <w:jc w:val="center"/>
                    <w:rPr>
                      <w:rFonts w:ascii="Times New Roman" w:hAnsi="Times New Roman"/>
                      <w:sz w:val="22"/>
                      <w:szCs w:val="22"/>
                    </w:rPr>
                  </w:pPr>
                  <w:r>
                    <w:rPr>
                      <w:rFonts w:ascii="Times New Roman" w:hAnsi="Times New Roman"/>
                      <w:sz w:val="22"/>
                      <w:szCs w:val="22"/>
                    </w:rPr>
                    <w:t xml:space="preserve">166.23 </w:t>
                  </w:r>
                </w:p>
              </w:tc>
              <w:tc>
                <w:tcPr>
                  <w:tcW w:w="851" w:type="pct"/>
                  <w:tcBorders>
                    <w:top w:val="single" w:color="auto" w:sz="4" w:space="0"/>
                    <w:left w:val="single" w:color="auto" w:sz="4" w:space="0"/>
                    <w:bottom w:val="single" w:color="auto" w:sz="4" w:space="0"/>
                    <w:right w:val="single" w:color="auto" w:sz="4" w:space="0"/>
                  </w:tcBorders>
                  <w:vAlign w:val="center"/>
                </w:tcPr>
                <w:p w14:paraId="333D43E6">
                  <w:pPr>
                    <w:jc w:val="center"/>
                    <w:rPr>
                      <w:rFonts w:ascii="Times New Roman" w:hAnsi="Times New Roman"/>
                      <w:sz w:val="22"/>
                      <w:szCs w:val="22"/>
                    </w:rPr>
                  </w:pPr>
                  <w:r>
                    <w:rPr>
                      <w:rFonts w:ascii="Times New Roman" w:hAnsi="Times New Roman"/>
                      <w:sz w:val="22"/>
                      <w:szCs w:val="22"/>
                    </w:rPr>
                    <w:t>4.46</w:t>
                  </w:r>
                  <w:r>
                    <w:rPr>
                      <w:rFonts w:ascii="Times New Roman" w:hAnsi="Times New Roman"/>
                      <w:szCs w:val="21"/>
                    </w:rPr>
                    <w:t>×10</w:t>
                  </w:r>
                  <w:r>
                    <w:rPr>
                      <w:rFonts w:ascii="Times New Roman" w:hAnsi="Times New Roman"/>
                      <w:szCs w:val="21"/>
                      <w:vertAlign w:val="superscript"/>
                    </w:rPr>
                    <w:t>-2</w:t>
                  </w:r>
                </w:p>
              </w:tc>
              <w:tc>
                <w:tcPr>
                  <w:tcW w:w="628" w:type="pct"/>
                  <w:vAlign w:val="center"/>
                </w:tcPr>
                <w:p w14:paraId="50628CF8">
                  <w:pPr>
                    <w:jc w:val="center"/>
                    <w:rPr>
                      <w:rFonts w:ascii="Times New Roman" w:hAnsi="Times New Roman"/>
                      <w:szCs w:val="21"/>
                    </w:rPr>
                  </w:pPr>
                  <w:r>
                    <w:rPr>
                      <w:rFonts w:ascii="Times New Roman" w:hAnsi="Times New Roman"/>
                      <w:szCs w:val="21"/>
                    </w:rPr>
                    <w:t>223.76</w:t>
                  </w:r>
                </w:p>
              </w:tc>
              <w:tc>
                <w:tcPr>
                  <w:tcW w:w="870" w:type="pct"/>
                  <w:vAlign w:val="center"/>
                </w:tcPr>
                <w:p w14:paraId="6FC6EBB2">
                  <w:pPr>
                    <w:jc w:val="center"/>
                    <w:rPr>
                      <w:rFonts w:ascii="Times New Roman" w:hAnsi="Times New Roman"/>
                      <w:szCs w:val="21"/>
                    </w:rPr>
                  </w:pPr>
                  <w:r>
                    <w:rPr>
                      <w:rFonts w:ascii="Times New Roman" w:hAnsi="Times New Roman"/>
                      <w:szCs w:val="21"/>
                    </w:rPr>
                    <w:t>7.97×10</w:t>
                  </w:r>
                  <w:r>
                    <w:rPr>
                      <w:rFonts w:ascii="Times New Roman" w:hAnsi="Times New Roman"/>
                      <w:szCs w:val="21"/>
                      <w:vertAlign w:val="superscript"/>
                    </w:rPr>
                    <w:t>-2</w:t>
                  </w:r>
                </w:p>
              </w:tc>
              <w:tc>
                <w:tcPr>
                  <w:tcW w:w="673" w:type="pct"/>
                  <w:vAlign w:val="center"/>
                </w:tcPr>
                <w:p w14:paraId="3D4CF131">
                  <w:pPr>
                    <w:jc w:val="center"/>
                    <w:rPr>
                      <w:rFonts w:ascii="Times New Roman" w:hAnsi="Times New Roman"/>
                      <w:szCs w:val="21"/>
                    </w:rPr>
                  </w:pPr>
                  <w:r>
                    <w:rPr>
                      <w:rFonts w:ascii="Times New Roman" w:hAnsi="Times New Roman"/>
                      <w:szCs w:val="21"/>
                    </w:rPr>
                    <w:t>186.62</w:t>
                  </w:r>
                </w:p>
              </w:tc>
              <w:tc>
                <w:tcPr>
                  <w:tcW w:w="866" w:type="pct"/>
                  <w:vAlign w:val="center"/>
                </w:tcPr>
                <w:p w14:paraId="4BCDC36F">
                  <w:pPr>
                    <w:jc w:val="center"/>
                    <w:rPr>
                      <w:rFonts w:ascii="Times New Roman" w:hAnsi="Times New Roman"/>
                      <w:szCs w:val="21"/>
                    </w:rPr>
                  </w:pPr>
                  <w:r>
                    <w:rPr>
                      <w:rFonts w:ascii="Times New Roman" w:hAnsi="Times New Roman"/>
                      <w:szCs w:val="21"/>
                    </w:rPr>
                    <w:t>3.29</w:t>
                  </w:r>
                </w:p>
              </w:tc>
            </w:tr>
            <w:tr w14:paraId="76A3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4214C8A4">
                  <w:pPr>
                    <w:adjustRightInd w:val="0"/>
                    <w:snapToGrid w:val="0"/>
                    <w:jc w:val="center"/>
                    <w:rPr>
                      <w:rFonts w:ascii="Times New Roman" w:hAnsi="Times New Roman"/>
                      <w:b/>
                      <w:szCs w:val="21"/>
                    </w:rPr>
                  </w:pPr>
                  <w:r>
                    <w:rPr>
                      <w:rFonts w:ascii="Times New Roman" w:hAnsi="Times New Roman"/>
                      <w:b/>
                      <w:szCs w:val="21"/>
                    </w:rPr>
                    <w:t>115</w:t>
                  </w:r>
                </w:p>
              </w:tc>
              <w:tc>
                <w:tcPr>
                  <w:tcW w:w="659" w:type="pct"/>
                  <w:tcBorders>
                    <w:top w:val="single" w:color="auto" w:sz="4" w:space="0"/>
                    <w:left w:val="single" w:color="auto" w:sz="4" w:space="0"/>
                    <w:bottom w:val="single" w:color="auto" w:sz="4" w:space="0"/>
                    <w:right w:val="single" w:color="auto" w:sz="4" w:space="0"/>
                  </w:tcBorders>
                  <w:vAlign w:val="center"/>
                </w:tcPr>
                <w:p w14:paraId="326221C8">
                  <w:pPr>
                    <w:jc w:val="center"/>
                    <w:rPr>
                      <w:rFonts w:ascii="Times New Roman" w:hAnsi="Times New Roman"/>
                      <w:sz w:val="22"/>
                      <w:szCs w:val="22"/>
                    </w:rPr>
                  </w:pPr>
                  <w:r>
                    <w:rPr>
                      <w:rFonts w:ascii="Times New Roman" w:hAnsi="Times New Roman"/>
                      <w:sz w:val="22"/>
                      <w:szCs w:val="22"/>
                    </w:rPr>
                    <w:t xml:space="preserve">125.70 </w:t>
                  </w:r>
                </w:p>
              </w:tc>
              <w:tc>
                <w:tcPr>
                  <w:tcW w:w="851" w:type="pct"/>
                  <w:tcBorders>
                    <w:top w:val="single" w:color="auto" w:sz="4" w:space="0"/>
                    <w:left w:val="single" w:color="auto" w:sz="4" w:space="0"/>
                    <w:bottom w:val="single" w:color="auto" w:sz="4" w:space="0"/>
                    <w:right w:val="single" w:color="auto" w:sz="4" w:space="0"/>
                  </w:tcBorders>
                  <w:vAlign w:val="center"/>
                </w:tcPr>
                <w:p w14:paraId="79B6C633">
                  <w:pPr>
                    <w:jc w:val="center"/>
                    <w:rPr>
                      <w:rFonts w:ascii="Times New Roman" w:hAnsi="Times New Roman"/>
                      <w:sz w:val="22"/>
                      <w:szCs w:val="22"/>
                    </w:rPr>
                  </w:pPr>
                  <w:r>
                    <w:rPr>
                      <w:rFonts w:ascii="Times New Roman" w:hAnsi="Times New Roman"/>
                      <w:sz w:val="22"/>
                      <w:szCs w:val="22"/>
                    </w:rPr>
                    <w:t>3.37</w:t>
                  </w:r>
                  <w:r>
                    <w:rPr>
                      <w:rFonts w:ascii="Times New Roman" w:hAnsi="Times New Roman"/>
                      <w:szCs w:val="21"/>
                    </w:rPr>
                    <w:t>×10</w:t>
                  </w:r>
                  <w:r>
                    <w:rPr>
                      <w:rFonts w:ascii="Times New Roman" w:hAnsi="Times New Roman"/>
                      <w:szCs w:val="21"/>
                      <w:vertAlign w:val="superscript"/>
                    </w:rPr>
                    <w:t>-2</w:t>
                  </w:r>
                </w:p>
              </w:tc>
              <w:tc>
                <w:tcPr>
                  <w:tcW w:w="628" w:type="pct"/>
                  <w:vAlign w:val="center"/>
                </w:tcPr>
                <w:p w14:paraId="73DE9CD8">
                  <w:pPr>
                    <w:jc w:val="center"/>
                    <w:rPr>
                      <w:rFonts w:ascii="Times New Roman" w:hAnsi="Times New Roman"/>
                      <w:szCs w:val="21"/>
                    </w:rPr>
                  </w:pPr>
                  <w:r>
                    <w:rPr>
                      <w:rFonts w:ascii="Times New Roman" w:hAnsi="Times New Roman"/>
                      <w:szCs w:val="21"/>
                    </w:rPr>
                    <w:t>169.19</w:t>
                  </w:r>
                </w:p>
              </w:tc>
              <w:tc>
                <w:tcPr>
                  <w:tcW w:w="870" w:type="pct"/>
                  <w:vAlign w:val="center"/>
                </w:tcPr>
                <w:p w14:paraId="3E33F04C">
                  <w:pPr>
                    <w:jc w:val="center"/>
                    <w:rPr>
                      <w:rFonts w:ascii="Times New Roman" w:hAnsi="Times New Roman"/>
                      <w:szCs w:val="21"/>
                    </w:rPr>
                  </w:pPr>
                  <w:r>
                    <w:rPr>
                      <w:rFonts w:ascii="Times New Roman" w:hAnsi="Times New Roman"/>
                      <w:szCs w:val="21"/>
                    </w:rPr>
                    <w:t>6.03×10</w:t>
                  </w:r>
                  <w:r>
                    <w:rPr>
                      <w:rFonts w:ascii="Times New Roman" w:hAnsi="Times New Roman"/>
                      <w:szCs w:val="21"/>
                      <w:vertAlign w:val="superscript"/>
                    </w:rPr>
                    <w:t>-2</w:t>
                  </w:r>
                </w:p>
              </w:tc>
              <w:tc>
                <w:tcPr>
                  <w:tcW w:w="673" w:type="pct"/>
                  <w:vAlign w:val="center"/>
                </w:tcPr>
                <w:p w14:paraId="699667C0">
                  <w:pPr>
                    <w:jc w:val="center"/>
                    <w:rPr>
                      <w:rFonts w:ascii="Times New Roman" w:hAnsi="Times New Roman"/>
                      <w:szCs w:val="21"/>
                    </w:rPr>
                  </w:pPr>
                  <w:r>
                    <w:rPr>
                      <w:rFonts w:ascii="Times New Roman" w:hAnsi="Times New Roman"/>
                      <w:szCs w:val="21"/>
                    </w:rPr>
                    <w:t>141.11</w:t>
                  </w:r>
                </w:p>
              </w:tc>
              <w:tc>
                <w:tcPr>
                  <w:tcW w:w="866" w:type="pct"/>
                  <w:vAlign w:val="center"/>
                </w:tcPr>
                <w:p w14:paraId="4A173047">
                  <w:pPr>
                    <w:jc w:val="center"/>
                    <w:rPr>
                      <w:rFonts w:ascii="Times New Roman" w:hAnsi="Times New Roman"/>
                      <w:szCs w:val="21"/>
                    </w:rPr>
                  </w:pPr>
                  <w:r>
                    <w:rPr>
                      <w:rFonts w:ascii="Times New Roman" w:hAnsi="Times New Roman"/>
                      <w:szCs w:val="21"/>
                    </w:rPr>
                    <w:t>2.48(监督区)</w:t>
                  </w:r>
                </w:p>
              </w:tc>
            </w:tr>
            <w:tr w14:paraId="0343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0AC06771">
                  <w:pPr>
                    <w:adjustRightInd w:val="0"/>
                    <w:snapToGrid w:val="0"/>
                    <w:jc w:val="center"/>
                    <w:rPr>
                      <w:rFonts w:ascii="Times New Roman" w:hAnsi="Times New Roman"/>
                      <w:b/>
                      <w:szCs w:val="21"/>
                    </w:rPr>
                  </w:pPr>
                  <w:r>
                    <w:rPr>
                      <w:rFonts w:ascii="Times New Roman" w:hAnsi="Times New Roman"/>
                      <w:b/>
                      <w:szCs w:val="21"/>
                    </w:rPr>
                    <w:t>120</w:t>
                  </w:r>
                </w:p>
              </w:tc>
              <w:tc>
                <w:tcPr>
                  <w:tcW w:w="659" w:type="pct"/>
                  <w:tcBorders>
                    <w:top w:val="single" w:color="auto" w:sz="4" w:space="0"/>
                    <w:left w:val="single" w:color="auto" w:sz="4" w:space="0"/>
                    <w:bottom w:val="single" w:color="auto" w:sz="4" w:space="0"/>
                    <w:right w:val="single" w:color="auto" w:sz="4" w:space="0"/>
                  </w:tcBorders>
                  <w:vAlign w:val="center"/>
                </w:tcPr>
                <w:p w14:paraId="124CFE8B">
                  <w:pPr>
                    <w:jc w:val="center"/>
                    <w:rPr>
                      <w:rFonts w:ascii="Times New Roman" w:hAnsi="Times New Roman"/>
                      <w:sz w:val="22"/>
                      <w:szCs w:val="22"/>
                    </w:rPr>
                  </w:pPr>
                  <w:r>
                    <w:rPr>
                      <w:rFonts w:ascii="Times New Roman" w:hAnsi="Times New Roman"/>
                      <w:sz w:val="22"/>
                      <w:szCs w:val="22"/>
                    </w:rPr>
                    <w:t xml:space="preserve">115.44 </w:t>
                  </w:r>
                </w:p>
              </w:tc>
              <w:tc>
                <w:tcPr>
                  <w:tcW w:w="851" w:type="pct"/>
                  <w:tcBorders>
                    <w:top w:val="single" w:color="auto" w:sz="4" w:space="0"/>
                    <w:left w:val="single" w:color="auto" w:sz="4" w:space="0"/>
                    <w:bottom w:val="single" w:color="auto" w:sz="4" w:space="0"/>
                    <w:right w:val="single" w:color="auto" w:sz="4" w:space="0"/>
                  </w:tcBorders>
                  <w:vAlign w:val="center"/>
                </w:tcPr>
                <w:p w14:paraId="2ECDDF95">
                  <w:pPr>
                    <w:jc w:val="center"/>
                    <w:rPr>
                      <w:rFonts w:ascii="Times New Roman" w:hAnsi="Times New Roman"/>
                      <w:sz w:val="22"/>
                      <w:szCs w:val="22"/>
                    </w:rPr>
                  </w:pPr>
                  <w:r>
                    <w:rPr>
                      <w:rFonts w:ascii="Times New Roman" w:hAnsi="Times New Roman"/>
                      <w:sz w:val="22"/>
                      <w:szCs w:val="22"/>
                    </w:rPr>
                    <w:t>3.10</w:t>
                  </w:r>
                  <w:r>
                    <w:rPr>
                      <w:rFonts w:ascii="Times New Roman" w:hAnsi="Times New Roman"/>
                      <w:szCs w:val="21"/>
                    </w:rPr>
                    <w:t>×10</w:t>
                  </w:r>
                  <w:r>
                    <w:rPr>
                      <w:rFonts w:ascii="Times New Roman" w:hAnsi="Times New Roman"/>
                      <w:szCs w:val="21"/>
                      <w:vertAlign w:val="superscript"/>
                    </w:rPr>
                    <w:t>-2</w:t>
                  </w:r>
                </w:p>
              </w:tc>
              <w:tc>
                <w:tcPr>
                  <w:tcW w:w="628" w:type="pct"/>
                  <w:vAlign w:val="center"/>
                </w:tcPr>
                <w:p w14:paraId="2B071CBD">
                  <w:pPr>
                    <w:jc w:val="center"/>
                    <w:rPr>
                      <w:rFonts w:ascii="Times New Roman" w:hAnsi="Times New Roman"/>
                      <w:szCs w:val="21"/>
                    </w:rPr>
                  </w:pPr>
                  <w:r>
                    <w:rPr>
                      <w:rFonts w:ascii="Times New Roman" w:hAnsi="Times New Roman"/>
                      <w:szCs w:val="21"/>
                    </w:rPr>
                    <w:t>155.39</w:t>
                  </w:r>
                </w:p>
              </w:tc>
              <w:tc>
                <w:tcPr>
                  <w:tcW w:w="870" w:type="pct"/>
                  <w:vAlign w:val="center"/>
                </w:tcPr>
                <w:p w14:paraId="4AE64EAF">
                  <w:pPr>
                    <w:jc w:val="center"/>
                    <w:rPr>
                      <w:rFonts w:ascii="Times New Roman" w:hAnsi="Times New Roman"/>
                      <w:szCs w:val="21"/>
                    </w:rPr>
                  </w:pPr>
                  <w:r>
                    <w:rPr>
                      <w:rFonts w:ascii="Times New Roman" w:hAnsi="Times New Roman"/>
                      <w:szCs w:val="21"/>
                    </w:rPr>
                    <w:t>5.54×10</w:t>
                  </w:r>
                  <w:r>
                    <w:rPr>
                      <w:rFonts w:ascii="Times New Roman" w:hAnsi="Times New Roman"/>
                      <w:szCs w:val="21"/>
                      <w:vertAlign w:val="superscript"/>
                    </w:rPr>
                    <w:t>-2</w:t>
                  </w:r>
                </w:p>
              </w:tc>
              <w:tc>
                <w:tcPr>
                  <w:tcW w:w="673" w:type="pct"/>
                  <w:vAlign w:val="center"/>
                </w:tcPr>
                <w:p w14:paraId="0065691E">
                  <w:pPr>
                    <w:jc w:val="center"/>
                    <w:rPr>
                      <w:rFonts w:ascii="Times New Roman" w:hAnsi="Times New Roman"/>
                      <w:szCs w:val="21"/>
                    </w:rPr>
                  </w:pPr>
                  <w:r>
                    <w:rPr>
                      <w:rFonts w:ascii="Times New Roman" w:hAnsi="Times New Roman"/>
                      <w:szCs w:val="21"/>
                    </w:rPr>
                    <w:t>129.60</w:t>
                  </w:r>
                </w:p>
              </w:tc>
              <w:tc>
                <w:tcPr>
                  <w:tcW w:w="866" w:type="pct"/>
                  <w:vAlign w:val="center"/>
                </w:tcPr>
                <w:p w14:paraId="4D7E59B2">
                  <w:pPr>
                    <w:jc w:val="center"/>
                    <w:rPr>
                      <w:rFonts w:ascii="Times New Roman" w:hAnsi="Times New Roman"/>
                      <w:szCs w:val="21"/>
                    </w:rPr>
                  </w:pPr>
                  <w:r>
                    <w:rPr>
                      <w:rFonts w:ascii="Times New Roman" w:hAnsi="Times New Roman"/>
                      <w:szCs w:val="21"/>
                    </w:rPr>
                    <w:t>2.28</w:t>
                  </w:r>
                </w:p>
              </w:tc>
            </w:tr>
            <w:tr w14:paraId="2E72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5FAFE83E">
                  <w:pPr>
                    <w:adjustRightInd w:val="0"/>
                    <w:snapToGrid w:val="0"/>
                    <w:jc w:val="center"/>
                    <w:rPr>
                      <w:rFonts w:ascii="Times New Roman" w:hAnsi="Times New Roman"/>
                      <w:b/>
                      <w:szCs w:val="21"/>
                    </w:rPr>
                  </w:pPr>
                  <w:r>
                    <w:rPr>
                      <w:rFonts w:ascii="Times New Roman" w:hAnsi="Times New Roman"/>
                      <w:b/>
                      <w:szCs w:val="21"/>
                    </w:rPr>
                    <w:t>150</w:t>
                  </w:r>
                </w:p>
              </w:tc>
              <w:tc>
                <w:tcPr>
                  <w:tcW w:w="659" w:type="pct"/>
                  <w:tcBorders>
                    <w:top w:val="single" w:color="auto" w:sz="4" w:space="0"/>
                    <w:left w:val="single" w:color="auto" w:sz="4" w:space="0"/>
                    <w:bottom w:val="single" w:color="auto" w:sz="4" w:space="0"/>
                    <w:right w:val="single" w:color="auto" w:sz="4" w:space="0"/>
                  </w:tcBorders>
                  <w:vAlign w:val="center"/>
                </w:tcPr>
                <w:p w14:paraId="7A6D8DEE">
                  <w:pPr>
                    <w:jc w:val="center"/>
                    <w:rPr>
                      <w:rFonts w:ascii="Times New Roman" w:hAnsi="Times New Roman"/>
                      <w:sz w:val="22"/>
                      <w:szCs w:val="22"/>
                    </w:rPr>
                  </w:pPr>
                  <w:r>
                    <w:rPr>
                      <w:rFonts w:ascii="Times New Roman" w:hAnsi="Times New Roman"/>
                      <w:sz w:val="22"/>
                      <w:szCs w:val="22"/>
                    </w:rPr>
                    <w:t xml:space="preserve">73.88 </w:t>
                  </w:r>
                </w:p>
              </w:tc>
              <w:tc>
                <w:tcPr>
                  <w:tcW w:w="851" w:type="pct"/>
                  <w:tcBorders>
                    <w:top w:val="single" w:color="auto" w:sz="4" w:space="0"/>
                    <w:left w:val="single" w:color="auto" w:sz="4" w:space="0"/>
                    <w:bottom w:val="single" w:color="auto" w:sz="4" w:space="0"/>
                    <w:right w:val="single" w:color="auto" w:sz="4" w:space="0"/>
                  </w:tcBorders>
                  <w:vAlign w:val="center"/>
                </w:tcPr>
                <w:p w14:paraId="57EADA85">
                  <w:pPr>
                    <w:jc w:val="center"/>
                    <w:rPr>
                      <w:rFonts w:ascii="Times New Roman" w:hAnsi="Times New Roman"/>
                      <w:sz w:val="22"/>
                      <w:szCs w:val="22"/>
                    </w:rPr>
                  </w:pPr>
                  <w:r>
                    <w:rPr>
                      <w:rFonts w:ascii="Times New Roman" w:hAnsi="Times New Roman"/>
                      <w:sz w:val="22"/>
                      <w:szCs w:val="22"/>
                    </w:rPr>
                    <w:t>1.98</w:t>
                  </w:r>
                  <w:r>
                    <w:rPr>
                      <w:rFonts w:ascii="Times New Roman" w:hAnsi="Times New Roman"/>
                      <w:szCs w:val="21"/>
                    </w:rPr>
                    <w:t>×10</w:t>
                  </w:r>
                  <w:r>
                    <w:rPr>
                      <w:rFonts w:ascii="Times New Roman" w:hAnsi="Times New Roman"/>
                      <w:szCs w:val="21"/>
                      <w:vertAlign w:val="superscript"/>
                    </w:rPr>
                    <w:t>-2</w:t>
                  </w:r>
                </w:p>
              </w:tc>
              <w:tc>
                <w:tcPr>
                  <w:tcW w:w="628" w:type="pct"/>
                  <w:vAlign w:val="center"/>
                </w:tcPr>
                <w:p w14:paraId="67CE1248">
                  <w:pPr>
                    <w:jc w:val="center"/>
                    <w:rPr>
                      <w:rFonts w:ascii="Times New Roman" w:hAnsi="Times New Roman"/>
                      <w:szCs w:val="21"/>
                    </w:rPr>
                  </w:pPr>
                  <w:r>
                    <w:rPr>
                      <w:rFonts w:ascii="Times New Roman" w:hAnsi="Times New Roman"/>
                      <w:szCs w:val="21"/>
                    </w:rPr>
                    <w:t>99.45</w:t>
                  </w:r>
                </w:p>
              </w:tc>
              <w:tc>
                <w:tcPr>
                  <w:tcW w:w="870" w:type="pct"/>
                  <w:vAlign w:val="center"/>
                </w:tcPr>
                <w:p w14:paraId="67A0388F">
                  <w:pPr>
                    <w:jc w:val="center"/>
                    <w:rPr>
                      <w:rFonts w:ascii="Times New Roman" w:hAnsi="Times New Roman"/>
                      <w:szCs w:val="21"/>
                    </w:rPr>
                  </w:pPr>
                  <w:r>
                    <w:rPr>
                      <w:rFonts w:ascii="Times New Roman" w:hAnsi="Times New Roman"/>
                      <w:szCs w:val="21"/>
                    </w:rPr>
                    <w:t>3.54×10</w:t>
                  </w:r>
                  <w:r>
                    <w:rPr>
                      <w:rFonts w:ascii="Times New Roman" w:hAnsi="Times New Roman"/>
                      <w:szCs w:val="21"/>
                      <w:vertAlign w:val="superscript"/>
                    </w:rPr>
                    <w:t>-2</w:t>
                  </w:r>
                </w:p>
              </w:tc>
              <w:tc>
                <w:tcPr>
                  <w:tcW w:w="673" w:type="pct"/>
                  <w:vAlign w:val="center"/>
                </w:tcPr>
                <w:p w14:paraId="08A6AF14">
                  <w:pPr>
                    <w:jc w:val="center"/>
                    <w:rPr>
                      <w:rFonts w:ascii="Times New Roman" w:hAnsi="Times New Roman"/>
                      <w:szCs w:val="21"/>
                    </w:rPr>
                  </w:pPr>
                  <w:r>
                    <w:rPr>
                      <w:rFonts w:ascii="Times New Roman" w:hAnsi="Times New Roman"/>
                      <w:szCs w:val="21"/>
                    </w:rPr>
                    <w:t>82.94</w:t>
                  </w:r>
                </w:p>
              </w:tc>
              <w:tc>
                <w:tcPr>
                  <w:tcW w:w="866" w:type="pct"/>
                  <w:vAlign w:val="center"/>
                </w:tcPr>
                <w:p w14:paraId="7D973FAB">
                  <w:pPr>
                    <w:jc w:val="center"/>
                    <w:rPr>
                      <w:rFonts w:ascii="Times New Roman" w:hAnsi="Times New Roman"/>
                      <w:szCs w:val="21"/>
                    </w:rPr>
                  </w:pPr>
                  <w:r>
                    <w:rPr>
                      <w:rFonts w:ascii="Times New Roman" w:hAnsi="Times New Roman"/>
                      <w:szCs w:val="21"/>
                    </w:rPr>
                    <w:t>1.46</w:t>
                  </w:r>
                </w:p>
              </w:tc>
            </w:tr>
            <w:tr w14:paraId="4ED8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A9213FB">
                  <w:pPr>
                    <w:adjustRightInd w:val="0"/>
                    <w:snapToGrid w:val="0"/>
                    <w:jc w:val="center"/>
                    <w:rPr>
                      <w:rFonts w:ascii="Times New Roman" w:hAnsi="Times New Roman"/>
                      <w:b/>
                      <w:szCs w:val="21"/>
                    </w:rPr>
                  </w:pPr>
                  <w:r>
                    <w:rPr>
                      <w:rFonts w:ascii="Times New Roman" w:hAnsi="Times New Roman"/>
                      <w:b/>
                      <w:szCs w:val="21"/>
                    </w:rPr>
                    <w:t>250</w:t>
                  </w:r>
                </w:p>
              </w:tc>
              <w:tc>
                <w:tcPr>
                  <w:tcW w:w="659" w:type="pct"/>
                  <w:tcBorders>
                    <w:top w:val="single" w:color="auto" w:sz="4" w:space="0"/>
                    <w:left w:val="single" w:color="auto" w:sz="4" w:space="0"/>
                    <w:bottom w:val="single" w:color="auto" w:sz="4" w:space="0"/>
                    <w:right w:val="single" w:color="auto" w:sz="4" w:space="0"/>
                  </w:tcBorders>
                  <w:vAlign w:val="center"/>
                </w:tcPr>
                <w:p w14:paraId="511587C2">
                  <w:pPr>
                    <w:jc w:val="center"/>
                    <w:rPr>
                      <w:rFonts w:ascii="Times New Roman" w:hAnsi="Times New Roman"/>
                      <w:sz w:val="22"/>
                      <w:szCs w:val="22"/>
                    </w:rPr>
                  </w:pPr>
                  <w:r>
                    <w:rPr>
                      <w:rFonts w:ascii="Times New Roman" w:hAnsi="Times New Roman"/>
                      <w:sz w:val="22"/>
                      <w:szCs w:val="22"/>
                    </w:rPr>
                    <w:t xml:space="preserve">26.60 </w:t>
                  </w:r>
                </w:p>
              </w:tc>
              <w:tc>
                <w:tcPr>
                  <w:tcW w:w="851" w:type="pct"/>
                  <w:tcBorders>
                    <w:top w:val="single" w:color="auto" w:sz="4" w:space="0"/>
                    <w:left w:val="single" w:color="auto" w:sz="4" w:space="0"/>
                    <w:bottom w:val="single" w:color="auto" w:sz="4" w:space="0"/>
                    <w:right w:val="single" w:color="auto" w:sz="4" w:space="0"/>
                  </w:tcBorders>
                  <w:vAlign w:val="center"/>
                </w:tcPr>
                <w:p w14:paraId="4205F5D1">
                  <w:pPr>
                    <w:jc w:val="center"/>
                    <w:rPr>
                      <w:rFonts w:ascii="Times New Roman" w:hAnsi="Times New Roman"/>
                      <w:sz w:val="22"/>
                      <w:szCs w:val="22"/>
                    </w:rPr>
                  </w:pPr>
                  <w:r>
                    <w:rPr>
                      <w:rFonts w:ascii="Times New Roman" w:hAnsi="Times New Roman"/>
                      <w:sz w:val="22"/>
                      <w:szCs w:val="22"/>
                    </w:rPr>
                    <w:t>7.14</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79B432AE">
                  <w:pPr>
                    <w:jc w:val="center"/>
                    <w:rPr>
                      <w:rFonts w:ascii="Times New Roman" w:hAnsi="Times New Roman"/>
                      <w:szCs w:val="21"/>
                    </w:rPr>
                  </w:pPr>
                  <w:r>
                    <w:rPr>
                      <w:rFonts w:ascii="Times New Roman" w:hAnsi="Times New Roman"/>
                      <w:szCs w:val="21"/>
                    </w:rPr>
                    <w:t>35.80</w:t>
                  </w:r>
                </w:p>
              </w:tc>
              <w:tc>
                <w:tcPr>
                  <w:tcW w:w="870" w:type="pct"/>
                  <w:vAlign w:val="center"/>
                </w:tcPr>
                <w:p w14:paraId="110942A9">
                  <w:pPr>
                    <w:jc w:val="center"/>
                    <w:rPr>
                      <w:rFonts w:ascii="Times New Roman" w:hAnsi="Times New Roman"/>
                      <w:szCs w:val="21"/>
                    </w:rPr>
                  </w:pPr>
                  <w:r>
                    <w:rPr>
                      <w:rFonts w:ascii="Times New Roman" w:hAnsi="Times New Roman"/>
                      <w:szCs w:val="21"/>
                    </w:rPr>
                    <w:t>1.28×10</w:t>
                  </w:r>
                  <w:r>
                    <w:rPr>
                      <w:rFonts w:ascii="Times New Roman" w:hAnsi="Times New Roman"/>
                      <w:szCs w:val="21"/>
                      <w:vertAlign w:val="superscript"/>
                    </w:rPr>
                    <w:t>-2</w:t>
                  </w:r>
                </w:p>
              </w:tc>
              <w:tc>
                <w:tcPr>
                  <w:tcW w:w="673" w:type="pct"/>
                  <w:vAlign w:val="center"/>
                </w:tcPr>
                <w:p w14:paraId="2B4F1434">
                  <w:pPr>
                    <w:jc w:val="center"/>
                    <w:rPr>
                      <w:rFonts w:ascii="Times New Roman" w:hAnsi="Times New Roman"/>
                      <w:szCs w:val="21"/>
                    </w:rPr>
                  </w:pPr>
                  <w:r>
                    <w:rPr>
                      <w:rFonts w:ascii="Times New Roman" w:hAnsi="Times New Roman"/>
                      <w:szCs w:val="21"/>
                    </w:rPr>
                    <w:t>29.86</w:t>
                  </w:r>
                </w:p>
              </w:tc>
              <w:tc>
                <w:tcPr>
                  <w:tcW w:w="866" w:type="pct"/>
                  <w:vAlign w:val="center"/>
                </w:tcPr>
                <w:p w14:paraId="13C6DB52">
                  <w:pPr>
                    <w:jc w:val="center"/>
                    <w:rPr>
                      <w:rFonts w:ascii="Times New Roman" w:hAnsi="Times New Roman"/>
                      <w:szCs w:val="21"/>
                    </w:rPr>
                  </w:pPr>
                  <w:r>
                    <w:rPr>
                      <w:rFonts w:ascii="Times New Roman" w:hAnsi="Times New Roman"/>
                      <w:szCs w:val="21"/>
                    </w:rPr>
                    <w:t>0.53</w:t>
                  </w:r>
                </w:p>
              </w:tc>
            </w:tr>
            <w:tr w14:paraId="0D06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661C4C44">
                  <w:pPr>
                    <w:adjustRightInd w:val="0"/>
                    <w:snapToGrid w:val="0"/>
                    <w:jc w:val="center"/>
                    <w:rPr>
                      <w:rFonts w:ascii="Times New Roman" w:hAnsi="Times New Roman"/>
                      <w:b/>
                      <w:szCs w:val="21"/>
                    </w:rPr>
                  </w:pPr>
                  <w:r>
                    <w:rPr>
                      <w:rFonts w:ascii="Times New Roman" w:hAnsi="Times New Roman"/>
                      <w:b/>
                      <w:szCs w:val="21"/>
                    </w:rPr>
                    <w:t>332</w:t>
                  </w:r>
                </w:p>
              </w:tc>
              <w:tc>
                <w:tcPr>
                  <w:tcW w:w="659" w:type="pct"/>
                  <w:tcBorders>
                    <w:top w:val="single" w:color="auto" w:sz="4" w:space="0"/>
                    <w:left w:val="single" w:color="auto" w:sz="4" w:space="0"/>
                    <w:bottom w:val="single" w:color="auto" w:sz="4" w:space="0"/>
                    <w:right w:val="single" w:color="auto" w:sz="4" w:space="0"/>
                  </w:tcBorders>
                  <w:vAlign w:val="center"/>
                </w:tcPr>
                <w:p w14:paraId="66A6CAF5">
                  <w:pPr>
                    <w:jc w:val="center"/>
                    <w:rPr>
                      <w:rFonts w:ascii="Times New Roman" w:hAnsi="Times New Roman"/>
                      <w:sz w:val="22"/>
                      <w:szCs w:val="22"/>
                    </w:rPr>
                  </w:pPr>
                  <w:r>
                    <w:rPr>
                      <w:rFonts w:ascii="Times New Roman" w:hAnsi="Times New Roman"/>
                      <w:sz w:val="22"/>
                      <w:szCs w:val="22"/>
                    </w:rPr>
                    <w:t xml:space="preserve">15.08 </w:t>
                  </w:r>
                </w:p>
              </w:tc>
              <w:tc>
                <w:tcPr>
                  <w:tcW w:w="851" w:type="pct"/>
                  <w:tcBorders>
                    <w:top w:val="single" w:color="auto" w:sz="4" w:space="0"/>
                    <w:left w:val="single" w:color="auto" w:sz="4" w:space="0"/>
                    <w:bottom w:val="single" w:color="auto" w:sz="4" w:space="0"/>
                    <w:right w:val="single" w:color="auto" w:sz="4" w:space="0"/>
                  </w:tcBorders>
                  <w:vAlign w:val="center"/>
                </w:tcPr>
                <w:p w14:paraId="27C4F551">
                  <w:pPr>
                    <w:jc w:val="center"/>
                    <w:rPr>
                      <w:rFonts w:ascii="Times New Roman" w:hAnsi="Times New Roman"/>
                      <w:sz w:val="22"/>
                      <w:szCs w:val="22"/>
                    </w:rPr>
                  </w:pPr>
                  <w:r>
                    <w:rPr>
                      <w:rFonts w:ascii="Times New Roman" w:hAnsi="Times New Roman"/>
                      <w:sz w:val="22"/>
                      <w:szCs w:val="22"/>
                    </w:rPr>
                    <w:t>4.05</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4A03F5DF">
                  <w:pPr>
                    <w:widowControl/>
                    <w:jc w:val="center"/>
                    <w:rPr>
                      <w:rFonts w:ascii="Times New Roman" w:hAnsi="Times New Roman"/>
                      <w:kern w:val="0"/>
                      <w:sz w:val="22"/>
                      <w:szCs w:val="22"/>
                    </w:rPr>
                  </w:pPr>
                  <w:r>
                    <w:rPr>
                      <w:rFonts w:ascii="Times New Roman" w:hAnsi="Times New Roman"/>
                      <w:sz w:val="22"/>
                      <w:szCs w:val="22"/>
                    </w:rPr>
                    <w:t xml:space="preserve">20.30 </w:t>
                  </w:r>
                </w:p>
              </w:tc>
              <w:tc>
                <w:tcPr>
                  <w:tcW w:w="870" w:type="pct"/>
                  <w:vAlign w:val="center"/>
                </w:tcPr>
                <w:p w14:paraId="14FC56DD">
                  <w:pPr>
                    <w:widowControl/>
                    <w:jc w:val="center"/>
                    <w:rPr>
                      <w:rFonts w:ascii="Times New Roman" w:hAnsi="Times New Roman"/>
                      <w:kern w:val="0"/>
                      <w:sz w:val="22"/>
                      <w:szCs w:val="22"/>
                    </w:rPr>
                  </w:pPr>
                  <w:r>
                    <w:rPr>
                      <w:rFonts w:ascii="Times New Roman" w:hAnsi="Times New Roman"/>
                      <w:sz w:val="22"/>
                      <w:szCs w:val="22"/>
                    </w:rPr>
                    <w:t>7.23</w:t>
                  </w:r>
                  <w:r>
                    <w:rPr>
                      <w:rFonts w:ascii="Times New Roman" w:hAnsi="Times New Roman"/>
                      <w:szCs w:val="21"/>
                    </w:rPr>
                    <w:t>×10</w:t>
                  </w:r>
                  <w:r>
                    <w:rPr>
                      <w:rFonts w:ascii="Times New Roman" w:hAnsi="Times New Roman"/>
                      <w:szCs w:val="21"/>
                      <w:vertAlign w:val="superscript"/>
                    </w:rPr>
                    <w:t>-3</w:t>
                  </w:r>
                </w:p>
              </w:tc>
              <w:tc>
                <w:tcPr>
                  <w:tcW w:w="673" w:type="pct"/>
                  <w:vAlign w:val="center"/>
                </w:tcPr>
                <w:p w14:paraId="2F9D1083">
                  <w:pPr>
                    <w:widowControl/>
                    <w:jc w:val="center"/>
                    <w:rPr>
                      <w:rFonts w:ascii="Times New Roman" w:hAnsi="Times New Roman"/>
                      <w:kern w:val="0"/>
                      <w:sz w:val="22"/>
                      <w:szCs w:val="22"/>
                    </w:rPr>
                  </w:pPr>
                  <w:r>
                    <w:rPr>
                      <w:rFonts w:ascii="Times New Roman" w:hAnsi="Times New Roman"/>
                      <w:sz w:val="22"/>
                      <w:szCs w:val="22"/>
                    </w:rPr>
                    <w:t xml:space="preserve">16.93 </w:t>
                  </w:r>
                </w:p>
              </w:tc>
              <w:tc>
                <w:tcPr>
                  <w:tcW w:w="866" w:type="pct"/>
                  <w:vAlign w:val="center"/>
                </w:tcPr>
                <w:p w14:paraId="378F3C38">
                  <w:pPr>
                    <w:widowControl/>
                    <w:jc w:val="center"/>
                    <w:rPr>
                      <w:rFonts w:ascii="Times New Roman" w:hAnsi="Times New Roman"/>
                      <w:kern w:val="0"/>
                      <w:sz w:val="22"/>
                      <w:szCs w:val="22"/>
                    </w:rPr>
                  </w:pPr>
                  <w:r>
                    <w:rPr>
                      <w:rFonts w:ascii="Times New Roman" w:hAnsi="Times New Roman"/>
                      <w:sz w:val="22"/>
                      <w:szCs w:val="22"/>
                    </w:rPr>
                    <w:t xml:space="preserve">0.30 </w:t>
                  </w:r>
                </w:p>
              </w:tc>
            </w:tr>
            <w:tr w14:paraId="42CE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3B430470">
                  <w:pPr>
                    <w:adjustRightInd w:val="0"/>
                    <w:snapToGrid w:val="0"/>
                    <w:jc w:val="center"/>
                    <w:rPr>
                      <w:rFonts w:ascii="Times New Roman" w:hAnsi="Times New Roman"/>
                      <w:b/>
                      <w:szCs w:val="21"/>
                    </w:rPr>
                  </w:pPr>
                  <w:r>
                    <w:rPr>
                      <w:rFonts w:ascii="Times New Roman" w:hAnsi="Times New Roman"/>
                      <w:b/>
                      <w:szCs w:val="21"/>
                    </w:rPr>
                    <w:t>333</w:t>
                  </w:r>
                </w:p>
              </w:tc>
              <w:tc>
                <w:tcPr>
                  <w:tcW w:w="659" w:type="pct"/>
                  <w:tcBorders>
                    <w:top w:val="single" w:color="auto" w:sz="4" w:space="0"/>
                    <w:left w:val="single" w:color="auto" w:sz="4" w:space="0"/>
                    <w:bottom w:val="single" w:color="auto" w:sz="4" w:space="0"/>
                    <w:right w:val="single" w:color="auto" w:sz="4" w:space="0"/>
                  </w:tcBorders>
                  <w:vAlign w:val="center"/>
                </w:tcPr>
                <w:p w14:paraId="150E0B97">
                  <w:pPr>
                    <w:jc w:val="center"/>
                    <w:rPr>
                      <w:rFonts w:ascii="Times New Roman" w:hAnsi="Times New Roman"/>
                      <w:sz w:val="22"/>
                      <w:szCs w:val="22"/>
                    </w:rPr>
                  </w:pPr>
                  <w:r>
                    <w:rPr>
                      <w:rFonts w:ascii="Times New Roman" w:hAnsi="Times New Roman"/>
                      <w:sz w:val="22"/>
                      <w:szCs w:val="22"/>
                    </w:rPr>
                    <w:t>14.99</w:t>
                  </w:r>
                  <w:r>
                    <w:rPr>
                      <w:rFonts w:ascii="Times New Roman" w:hAnsi="Times New Roman"/>
                      <w:szCs w:val="21"/>
                    </w:rPr>
                    <w:t>(控制区)</w:t>
                  </w:r>
                </w:p>
              </w:tc>
              <w:tc>
                <w:tcPr>
                  <w:tcW w:w="851" w:type="pct"/>
                  <w:tcBorders>
                    <w:top w:val="single" w:color="auto" w:sz="4" w:space="0"/>
                    <w:left w:val="single" w:color="auto" w:sz="4" w:space="0"/>
                    <w:bottom w:val="single" w:color="auto" w:sz="4" w:space="0"/>
                    <w:right w:val="single" w:color="auto" w:sz="4" w:space="0"/>
                  </w:tcBorders>
                  <w:vAlign w:val="center"/>
                </w:tcPr>
                <w:p w14:paraId="56DF5D98">
                  <w:pPr>
                    <w:jc w:val="center"/>
                    <w:rPr>
                      <w:rFonts w:ascii="Times New Roman" w:hAnsi="Times New Roman"/>
                      <w:sz w:val="22"/>
                      <w:szCs w:val="22"/>
                    </w:rPr>
                  </w:pPr>
                  <w:r>
                    <w:rPr>
                      <w:rFonts w:ascii="Times New Roman" w:hAnsi="Times New Roman"/>
                      <w:sz w:val="22"/>
                      <w:szCs w:val="22"/>
                    </w:rPr>
                    <w:t>4.02</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521683D5">
                  <w:pPr>
                    <w:jc w:val="center"/>
                    <w:rPr>
                      <w:rFonts w:ascii="Times New Roman" w:hAnsi="Times New Roman"/>
                      <w:sz w:val="22"/>
                      <w:szCs w:val="22"/>
                    </w:rPr>
                  </w:pPr>
                  <w:r>
                    <w:rPr>
                      <w:rFonts w:ascii="Times New Roman" w:hAnsi="Times New Roman"/>
                      <w:sz w:val="22"/>
                      <w:szCs w:val="22"/>
                    </w:rPr>
                    <w:t xml:space="preserve">20.18 </w:t>
                  </w:r>
                </w:p>
              </w:tc>
              <w:tc>
                <w:tcPr>
                  <w:tcW w:w="870" w:type="pct"/>
                  <w:vAlign w:val="center"/>
                </w:tcPr>
                <w:p w14:paraId="44CC66A2">
                  <w:pPr>
                    <w:jc w:val="center"/>
                    <w:rPr>
                      <w:rFonts w:ascii="Times New Roman" w:hAnsi="Times New Roman"/>
                      <w:sz w:val="22"/>
                      <w:szCs w:val="22"/>
                    </w:rPr>
                  </w:pPr>
                  <w:r>
                    <w:rPr>
                      <w:rFonts w:ascii="Times New Roman" w:hAnsi="Times New Roman"/>
                      <w:sz w:val="22"/>
                      <w:szCs w:val="22"/>
                    </w:rPr>
                    <w:t>7.19</w:t>
                  </w:r>
                  <w:r>
                    <w:rPr>
                      <w:rFonts w:ascii="Times New Roman" w:hAnsi="Times New Roman"/>
                      <w:szCs w:val="21"/>
                    </w:rPr>
                    <w:t>×10</w:t>
                  </w:r>
                  <w:r>
                    <w:rPr>
                      <w:rFonts w:ascii="Times New Roman" w:hAnsi="Times New Roman"/>
                      <w:szCs w:val="21"/>
                      <w:vertAlign w:val="superscript"/>
                    </w:rPr>
                    <w:t>-3</w:t>
                  </w:r>
                </w:p>
              </w:tc>
              <w:tc>
                <w:tcPr>
                  <w:tcW w:w="673" w:type="pct"/>
                  <w:vAlign w:val="center"/>
                </w:tcPr>
                <w:p w14:paraId="708A3009">
                  <w:pPr>
                    <w:jc w:val="center"/>
                    <w:rPr>
                      <w:rFonts w:ascii="Times New Roman" w:hAnsi="Times New Roman"/>
                      <w:sz w:val="22"/>
                      <w:szCs w:val="22"/>
                    </w:rPr>
                  </w:pPr>
                  <w:r>
                    <w:rPr>
                      <w:rFonts w:ascii="Times New Roman" w:hAnsi="Times New Roman"/>
                      <w:sz w:val="22"/>
                      <w:szCs w:val="22"/>
                    </w:rPr>
                    <w:t xml:space="preserve">16.83 </w:t>
                  </w:r>
                </w:p>
              </w:tc>
              <w:tc>
                <w:tcPr>
                  <w:tcW w:w="866" w:type="pct"/>
                  <w:vAlign w:val="center"/>
                </w:tcPr>
                <w:p w14:paraId="0061CBA6">
                  <w:pPr>
                    <w:jc w:val="center"/>
                    <w:rPr>
                      <w:rFonts w:ascii="Times New Roman" w:hAnsi="Times New Roman"/>
                      <w:sz w:val="22"/>
                      <w:szCs w:val="22"/>
                    </w:rPr>
                  </w:pPr>
                  <w:r>
                    <w:rPr>
                      <w:rFonts w:ascii="Times New Roman" w:hAnsi="Times New Roman"/>
                      <w:sz w:val="22"/>
                      <w:szCs w:val="22"/>
                    </w:rPr>
                    <w:t xml:space="preserve">0.30 </w:t>
                  </w:r>
                </w:p>
              </w:tc>
            </w:tr>
            <w:tr w14:paraId="7707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009B10B6">
                  <w:pPr>
                    <w:adjustRightInd w:val="0"/>
                    <w:snapToGrid w:val="0"/>
                    <w:jc w:val="center"/>
                    <w:rPr>
                      <w:rFonts w:ascii="Times New Roman" w:hAnsi="Times New Roman"/>
                      <w:b/>
                      <w:szCs w:val="21"/>
                    </w:rPr>
                  </w:pPr>
                  <w:r>
                    <w:rPr>
                      <w:rFonts w:ascii="Times New Roman" w:hAnsi="Times New Roman"/>
                      <w:b/>
                      <w:szCs w:val="21"/>
                    </w:rPr>
                    <w:t>350</w:t>
                  </w:r>
                </w:p>
              </w:tc>
              <w:tc>
                <w:tcPr>
                  <w:tcW w:w="659" w:type="pct"/>
                  <w:tcBorders>
                    <w:top w:val="single" w:color="auto" w:sz="4" w:space="0"/>
                    <w:left w:val="single" w:color="auto" w:sz="4" w:space="0"/>
                    <w:bottom w:val="single" w:color="auto" w:sz="4" w:space="0"/>
                    <w:right w:val="single" w:color="auto" w:sz="4" w:space="0"/>
                  </w:tcBorders>
                  <w:vAlign w:val="center"/>
                </w:tcPr>
                <w:p w14:paraId="57DCD73B">
                  <w:pPr>
                    <w:jc w:val="center"/>
                    <w:rPr>
                      <w:rFonts w:ascii="Times New Roman" w:hAnsi="Times New Roman"/>
                      <w:sz w:val="22"/>
                      <w:szCs w:val="22"/>
                    </w:rPr>
                  </w:pPr>
                  <w:r>
                    <w:rPr>
                      <w:rFonts w:ascii="Times New Roman" w:hAnsi="Times New Roman"/>
                      <w:sz w:val="22"/>
                      <w:szCs w:val="22"/>
                    </w:rPr>
                    <w:t xml:space="preserve">13.57 </w:t>
                  </w:r>
                </w:p>
              </w:tc>
              <w:tc>
                <w:tcPr>
                  <w:tcW w:w="851" w:type="pct"/>
                  <w:tcBorders>
                    <w:top w:val="single" w:color="auto" w:sz="4" w:space="0"/>
                    <w:left w:val="single" w:color="auto" w:sz="4" w:space="0"/>
                    <w:bottom w:val="single" w:color="auto" w:sz="4" w:space="0"/>
                    <w:right w:val="single" w:color="auto" w:sz="4" w:space="0"/>
                  </w:tcBorders>
                  <w:vAlign w:val="center"/>
                </w:tcPr>
                <w:p w14:paraId="4E39C65B">
                  <w:pPr>
                    <w:jc w:val="center"/>
                    <w:rPr>
                      <w:rFonts w:ascii="Times New Roman" w:hAnsi="Times New Roman"/>
                      <w:sz w:val="22"/>
                      <w:szCs w:val="22"/>
                    </w:rPr>
                  </w:pPr>
                  <w:r>
                    <w:rPr>
                      <w:rFonts w:ascii="Times New Roman" w:hAnsi="Times New Roman"/>
                      <w:sz w:val="22"/>
                      <w:szCs w:val="22"/>
                    </w:rPr>
                    <w:t>3.64</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197B60C9">
                  <w:pPr>
                    <w:jc w:val="center"/>
                    <w:rPr>
                      <w:rFonts w:ascii="Times New Roman" w:hAnsi="Times New Roman"/>
                      <w:szCs w:val="21"/>
                    </w:rPr>
                  </w:pPr>
                  <w:r>
                    <w:rPr>
                      <w:rFonts w:ascii="Times New Roman" w:hAnsi="Times New Roman"/>
                      <w:szCs w:val="21"/>
                    </w:rPr>
                    <w:t>18.26</w:t>
                  </w:r>
                </w:p>
              </w:tc>
              <w:tc>
                <w:tcPr>
                  <w:tcW w:w="870" w:type="pct"/>
                  <w:vAlign w:val="center"/>
                </w:tcPr>
                <w:p w14:paraId="2D3CBCB0">
                  <w:pPr>
                    <w:jc w:val="center"/>
                    <w:rPr>
                      <w:rFonts w:ascii="Times New Roman" w:hAnsi="Times New Roman"/>
                      <w:szCs w:val="21"/>
                    </w:rPr>
                  </w:pPr>
                  <w:r>
                    <w:rPr>
                      <w:rFonts w:ascii="Times New Roman" w:hAnsi="Times New Roman"/>
                      <w:szCs w:val="21"/>
                    </w:rPr>
                    <w:t>6.50×10</w:t>
                  </w:r>
                  <w:r>
                    <w:rPr>
                      <w:rFonts w:ascii="Times New Roman" w:hAnsi="Times New Roman"/>
                      <w:szCs w:val="21"/>
                      <w:vertAlign w:val="superscript"/>
                    </w:rPr>
                    <w:t>-3</w:t>
                  </w:r>
                </w:p>
              </w:tc>
              <w:tc>
                <w:tcPr>
                  <w:tcW w:w="673" w:type="pct"/>
                  <w:vAlign w:val="center"/>
                </w:tcPr>
                <w:p w14:paraId="0E1F7239">
                  <w:pPr>
                    <w:jc w:val="center"/>
                    <w:rPr>
                      <w:rFonts w:ascii="Times New Roman" w:hAnsi="Times New Roman"/>
                      <w:szCs w:val="21"/>
                    </w:rPr>
                  </w:pPr>
                  <w:r>
                    <w:rPr>
                      <w:rFonts w:ascii="Times New Roman" w:hAnsi="Times New Roman"/>
                      <w:szCs w:val="21"/>
                    </w:rPr>
                    <w:t>15.23</w:t>
                  </w:r>
                </w:p>
              </w:tc>
              <w:tc>
                <w:tcPr>
                  <w:tcW w:w="866" w:type="pct"/>
                  <w:vAlign w:val="center"/>
                </w:tcPr>
                <w:p w14:paraId="676DB6B7">
                  <w:pPr>
                    <w:jc w:val="center"/>
                    <w:rPr>
                      <w:rFonts w:ascii="Times New Roman" w:hAnsi="Times New Roman"/>
                      <w:szCs w:val="21"/>
                    </w:rPr>
                  </w:pPr>
                  <w:r>
                    <w:rPr>
                      <w:rFonts w:ascii="Times New Roman" w:hAnsi="Times New Roman"/>
                      <w:szCs w:val="21"/>
                    </w:rPr>
                    <w:t>0.27</w:t>
                  </w:r>
                </w:p>
              </w:tc>
            </w:tr>
            <w:tr w14:paraId="0ED6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7858B90">
                  <w:pPr>
                    <w:adjustRightInd w:val="0"/>
                    <w:snapToGrid w:val="0"/>
                    <w:jc w:val="center"/>
                    <w:rPr>
                      <w:rFonts w:ascii="Times New Roman" w:hAnsi="Times New Roman"/>
                      <w:b/>
                      <w:szCs w:val="21"/>
                    </w:rPr>
                  </w:pPr>
                  <w:r>
                    <w:rPr>
                      <w:rFonts w:ascii="Times New Roman" w:hAnsi="Times New Roman"/>
                      <w:b/>
                      <w:szCs w:val="21"/>
                    </w:rPr>
                    <w:t>353</w:t>
                  </w:r>
                </w:p>
              </w:tc>
              <w:tc>
                <w:tcPr>
                  <w:tcW w:w="659" w:type="pct"/>
                  <w:tcBorders>
                    <w:top w:val="single" w:color="auto" w:sz="4" w:space="0"/>
                    <w:left w:val="single" w:color="auto" w:sz="4" w:space="0"/>
                    <w:bottom w:val="single" w:color="auto" w:sz="4" w:space="0"/>
                    <w:right w:val="single" w:color="auto" w:sz="4" w:space="0"/>
                  </w:tcBorders>
                  <w:vAlign w:val="center"/>
                </w:tcPr>
                <w:p w14:paraId="594803EE">
                  <w:pPr>
                    <w:jc w:val="center"/>
                    <w:rPr>
                      <w:rFonts w:ascii="Times New Roman" w:hAnsi="Times New Roman"/>
                      <w:sz w:val="22"/>
                      <w:szCs w:val="22"/>
                    </w:rPr>
                  </w:pPr>
                  <w:r>
                    <w:rPr>
                      <w:rFonts w:ascii="Times New Roman" w:hAnsi="Times New Roman"/>
                      <w:sz w:val="22"/>
                      <w:szCs w:val="22"/>
                    </w:rPr>
                    <w:t xml:space="preserve">13.34 </w:t>
                  </w:r>
                </w:p>
              </w:tc>
              <w:tc>
                <w:tcPr>
                  <w:tcW w:w="851" w:type="pct"/>
                  <w:tcBorders>
                    <w:top w:val="single" w:color="auto" w:sz="4" w:space="0"/>
                    <w:left w:val="single" w:color="auto" w:sz="4" w:space="0"/>
                    <w:bottom w:val="single" w:color="auto" w:sz="4" w:space="0"/>
                    <w:right w:val="single" w:color="auto" w:sz="4" w:space="0"/>
                  </w:tcBorders>
                  <w:vAlign w:val="center"/>
                </w:tcPr>
                <w:p w14:paraId="3ACB9B9A">
                  <w:pPr>
                    <w:jc w:val="center"/>
                    <w:rPr>
                      <w:rFonts w:ascii="Times New Roman" w:hAnsi="Times New Roman"/>
                      <w:sz w:val="22"/>
                      <w:szCs w:val="22"/>
                    </w:rPr>
                  </w:pPr>
                  <w:r>
                    <w:rPr>
                      <w:rFonts w:ascii="Times New Roman" w:hAnsi="Times New Roman"/>
                      <w:sz w:val="22"/>
                      <w:szCs w:val="22"/>
                    </w:rPr>
                    <w:t>3.58</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301D2A21">
                  <w:pPr>
                    <w:jc w:val="center"/>
                    <w:rPr>
                      <w:rFonts w:ascii="Times New Roman" w:hAnsi="Times New Roman"/>
                      <w:szCs w:val="21"/>
                    </w:rPr>
                  </w:pPr>
                  <w:r>
                    <w:rPr>
                      <w:rFonts w:ascii="Times New Roman" w:hAnsi="Times New Roman"/>
                      <w:szCs w:val="21"/>
                    </w:rPr>
                    <w:t>17.96</w:t>
                  </w:r>
                </w:p>
              </w:tc>
              <w:tc>
                <w:tcPr>
                  <w:tcW w:w="870" w:type="pct"/>
                  <w:vAlign w:val="center"/>
                </w:tcPr>
                <w:p w14:paraId="69E5FCE4">
                  <w:pPr>
                    <w:jc w:val="center"/>
                    <w:rPr>
                      <w:rFonts w:ascii="Times New Roman" w:hAnsi="Times New Roman"/>
                      <w:szCs w:val="21"/>
                    </w:rPr>
                  </w:pPr>
                  <w:r>
                    <w:rPr>
                      <w:rFonts w:ascii="Times New Roman" w:hAnsi="Times New Roman"/>
                      <w:szCs w:val="21"/>
                    </w:rPr>
                    <w:t>6.40×10</w:t>
                  </w:r>
                  <w:r>
                    <w:rPr>
                      <w:rFonts w:ascii="Times New Roman" w:hAnsi="Times New Roman"/>
                      <w:szCs w:val="21"/>
                      <w:vertAlign w:val="superscript"/>
                    </w:rPr>
                    <w:t>-3</w:t>
                  </w:r>
                </w:p>
              </w:tc>
              <w:tc>
                <w:tcPr>
                  <w:tcW w:w="673" w:type="pct"/>
                  <w:vAlign w:val="center"/>
                </w:tcPr>
                <w:p w14:paraId="3723ACEA">
                  <w:pPr>
                    <w:jc w:val="center"/>
                    <w:rPr>
                      <w:rFonts w:ascii="Times New Roman" w:hAnsi="Times New Roman"/>
                      <w:szCs w:val="21"/>
                    </w:rPr>
                  </w:pPr>
                  <w:r>
                    <w:rPr>
                      <w:rFonts w:ascii="Times New Roman" w:hAnsi="Times New Roman"/>
                      <w:szCs w:val="21"/>
                    </w:rPr>
                    <w:t>14.98(控制区)</w:t>
                  </w:r>
                </w:p>
              </w:tc>
              <w:tc>
                <w:tcPr>
                  <w:tcW w:w="866" w:type="pct"/>
                  <w:vAlign w:val="center"/>
                </w:tcPr>
                <w:p w14:paraId="6EAD7109">
                  <w:pPr>
                    <w:jc w:val="center"/>
                    <w:rPr>
                      <w:rFonts w:ascii="Times New Roman" w:hAnsi="Times New Roman"/>
                      <w:szCs w:val="21"/>
                    </w:rPr>
                  </w:pPr>
                  <w:r>
                    <w:rPr>
                      <w:rFonts w:ascii="Times New Roman" w:hAnsi="Times New Roman"/>
                      <w:szCs w:val="21"/>
                    </w:rPr>
                    <w:t>0.26</w:t>
                  </w:r>
                </w:p>
              </w:tc>
            </w:tr>
            <w:tr w14:paraId="2FD1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4F37C388">
                  <w:pPr>
                    <w:adjustRightInd w:val="0"/>
                    <w:snapToGrid w:val="0"/>
                    <w:jc w:val="center"/>
                    <w:rPr>
                      <w:rFonts w:ascii="Times New Roman" w:hAnsi="Times New Roman"/>
                      <w:b/>
                      <w:szCs w:val="21"/>
                    </w:rPr>
                  </w:pPr>
                  <w:r>
                    <w:rPr>
                      <w:rFonts w:ascii="Times New Roman" w:hAnsi="Times New Roman"/>
                      <w:b/>
                      <w:szCs w:val="21"/>
                    </w:rPr>
                    <w:t>390</w:t>
                  </w:r>
                </w:p>
              </w:tc>
              <w:tc>
                <w:tcPr>
                  <w:tcW w:w="659" w:type="pct"/>
                  <w:tcBorders>
                    <w:top w:val="single" w:color="auto" w:sz="4" w:space="0"/>
                    <w:left w:val="single" w:color="auto" w:sz="4" w:space="0"/>
                    <w:bottom w:val="single" w:color="auto" w:sz="4" w:space="0"/>
                    <w:right w:val="single" w:color="auto" w:sz="4" w:space="0"/>
                  </w:tcBorders>
                  <w:vAlign w:val="center"/>
                </w:tcPr>
                <w:p w14:paraId="29552128">
                  <w:pPr>
                    <w:jc w:val="center"/>
                    <w:rPr>
                      <w:rFonts w:ascii="Times New Roman" w:hAnsi="Times New Roman"/>
                      <w:sz w:val="22"/>
                      <w:szCs w:val="22"/>
                    </w:rPr>
                  </w:pPr>
                  <w:r>
                    <w:rPr>
                      <w:rFonts w:ascii="Times New Roman" w:hAnsi="Times New Roman"/>
                      <w:sz w:val="22"/>
                      <w:szCs w:val="22"/>
                    </w:rPr>
                    <w:t xml:space="preserve">10.93 </w:t>
                  </w:r>
                </w:p>
              </w:tc>
              <w:tc>
                <w:tcPr>
                  <w:tcW w:w="851" w:type="pct"/>
                  <w:tcBorders>
                    <w:top w:val="single" w:color="auto" w:sz="4" w:space="0"/>
                    <w:left w:val="single" w:color="auto" w:sz="4" w:space="0"/>
                    <w:bottom w:val="single" w:color="auto" w:sz="4" w:space="0"/>
                    <w:right w:val="single" w:color="auto" w:sz="4" w:space="0"/>
                  </w:tcBorders>
                  <w:vAlign w:val="center"/>
                </w:tcPr>
                <w:p w14:paraId="41E5D2D3">
                  <w:pPr>
                    <w:jc w:val="center"/>
                    <w:rPr>
                      <w:rFonts w:ascii="Times New Roman" w:hAnsi="Times New Roman"/>
                      <w:sz w:val="22"/>
                      <w:szCs w:val="22"/>
                    </w:rPr>
                  </w:pPr>
                  <w:r>
                    <w:rPr>
                      <w:rFonts w:ascii="Times New Roman" w:hAnsi="Times New Roman"/>
                      <w:sz w:val="22"/>
                      <w:szCs w:val="22"/>
                    </w:rPr>
                    <w:t>2.93</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28D5B395">
                  <w:pPr>
                    <w:jc w:val="center"/>
                    <w:rPr>
                      <w:rFonts w:ascii="Times New Roman" w:hAnsi="Times New Roman"/>
                      <w:szCs w:val="21"/>
                    </w:rPr>
                  </w:pPr>
                  <w:r>
                    <w:rPr>
                      <w:rFonts w:ascii="Times New Roman" w:hAnsi="Times New Roman"/>
                      <w:szCs w:val="21"/>
                    </w:rPr>
                    <w:t>14.71(控制区)</w:t>
                  </w:r>
                </w:p>
              </w:tc>
              <w:tc>
                <w:tcPr>
                  <w:tcW w:w="870" w:type="pct"/>
                  <w:vAlign w:val="center"/>
                </w:tcPr>
                <w:p w14:paraId="2957272F">
                  <w:pPr>
                    <w:jc w:val="center"/>
                    <w:rPr>
                      <w:rFonts w:ascii="Times New Roman" w:hAnsi="Times New Roman"/>
                      <w:szCs w:val="21"/>
                    </w:rPr>
                  </w:pPr>
                  <w:r>
                    <w:rPr>
                      <w:rFonts w:ascii="Times New Roman" w:hAnsi="Times New Roman"/>
                      <w:szCs w:val="21"/>
                    </w:rPr>
                    <w:t>5.24×10</w:t>
                  </w:r>
                  <w:r>
                    <w:rPr>
                      <w:rFonts w:ascii="Times New Roman" w:hAnsi="Times New Roman"/>
                      <w:szCs w:val="21"/>
                      <w:vertAlign w:val="superscript"/>
                    </w:rPr>
                    <w:t>-3</w:t>
                  </w:r>
                </w:p>
              </w:tc>
              <w:tc>
                <w:tcPr>
                  <w:tcW w:w="673" w:type="pct"/>
                  <w:vAlign w:val="center"/>
                </w:tcPr>
                <w:p w14:paraId="0F86F791">
                  <w:pPr>
                    <w:jc w:val="center"/>
                    <w:rPr>
                      <w:rFonts w:ascii="Times New Roman" w:hAnsi="Times New Roman"/>
                      <w:szCs w:val="21"/>
                    </w:rPr>
                  </w:pPr>
                  <w:r>
                    <w:rPr>
                      <w:rFonts w:ascii="Times New Roman" w:hAnsi="Times New Roman"/>
                      <w:szCs w:val="21"/>
                    </w:rPr>
                    <w:t>12.27</w:t>
                  </w:r>
                </w:p>
              </w:tc>
              <w:tc>
                <w:tcPr>
                  <w:tcW w:w="866" w:type="pct"/>
                  <w:vAlign w:val="center"/>
                </w:tcPr>
                <w:p w14:paraId="47D41FB6">
                  <w:pPr>
                    <w:jc w:val="center"/>
                    <w:rPr>
                      <w:rFonts w:ascii="Times New Roman" w:hAnsi="Times New Roman"/>
                      <w:szCs w:val="21"/>
                    </w:rPr>
                  </w:pPr>
                  <w:r>
                    <w:rPr>
                      <w:rFonts w:ascii="Times New Roman" w:hAnsi="Times New Roman"/>
                      <w:szCs w:val="21"/>
                    </w:rPr>
                    <w:t>0.22</w:t>
                  </w:r>
                </w:p>
              </w:tc>
            </w:tr>
            <w:tr w14:paraId="63E9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0E3B8946">
                  <w:pPr>
                    <w:adjustRightInd w:val="0"/>
                    <w:snapToGrid w:val="0"/>
                    <w:jc w:val="center"/>
                    <w:rPr>
                      <w:rFonts w:ascii="Times New Roman" w:hAnsi="Times New Roman"/>
                      <w:b/>
                      <w:szCs w:val="21"/>
                    </w:rPr>
                  </w:pPr>
                  <w:r>
                    <w:rPr>
                      <w:rFonts w:ascii="Times New Roman" w:hAnsi="Times New Roman"/>
                      <w:b/>
                      <w:szCs w:val="21"/>
                    </w:rPr>
                    <w:t>500</w:t>
                  </w:r>
                </w:p>
              </w:tc>
              <w:tc>
                <w:tcPr>
                  <w:tcW w:w="659" w:type="pct"/>
                  <w:tcBorders>
                    <w:top w:val="single" w:color="auto" w:sz="4" w:space="0"/>
                    <w:left w:val="single" w:color="auto" w:sz="4" w:space="0"/>
                    <w:bottom w:val="single" w:color="auto" w:sz="4" w:space="0"/>
                    <w:right w:val="single" w:color="auto" w:sz="4" w:space="0"/>
                  </w:tcBorders>
                  <w:vAlign w:val="center"/>
                </w:tcPr>
                <w:p w14:paraId="1D0E07D1">
                  <w:pPr>
                    <w:jc w:val="center"/>
                    <w:rPr>
                      <w:rFonts w:ascii="Times New Roman" w:hAnsi="Times New Roman"/>
                      <w:sz w:val="22"/>
                      <w:szCs w:val="22"/>
                    </w:rPr>
                  </w:pPr>
                  <w:r>
                    <w:rPr>
                      <w:rFonts w:ascii="Times New Roman" w:hAnsi="Times New Roman"/>
                      <w:sz w:val="22"/>
                      <w:szCs w:val="22"/>
                    </w:rPr>
                    <w:t xml:space="preserve">6.65 </w:t>
                  </w:r>
                </w:p>
              </w:tc>
              <w:tc>
                <w:tcPr>
                  <w:tcW w:w="851" w:type="pct"/>
                  <w:tcBorders>
                    <w:top w:val="single" w:color="auto" w:sz="4" w:space="0"/>
                    <w:left w:val="single" w:color="auto" w:sz="4" w:space="0"/>
                    <w:bottom w:val="single" w:color="auto" w:sz="4" w:space="0"/>
                    <w:right w:val="single" w:color="auto" w:sz="4" w:space="0"/>
                  </w:tcBorders>
                  <w:vAlign w:val="center"/>
                </w:tcPr>
                <w:p w14:paraId="3E4E980B">
                  <w:pPr>
                    <w:jc w:val="center"/>
                    <w:rPr>
                      <w:rFonts w:ascii="Times New Roman" w:hAnsi="Times New Roman"/>
                      <w:sz w:val="22"/>
                      <w:szCs w:val="22"/>
                    </w:rPr>
                  </w:pPr>
                  <w:r>
                    <w:rPr>
                      <w:rFonts w:ascii="Times New Roman" w:hAnsi="Times New Roman"/>
                      <w:sz w:val="22"/>
                      <w:szCs w:val="22"/>
                    </w:rPr>
                    <w:t>1.78</w:t>
                  </w:r>
                  <w:r>
                    <w:rPr>
                      <w:rFonts w:ascii="Times New Roman" w:hAnsi="Times New Roman"/>
                      <w:szCs w:val="21"/>
                    </w:rPr>
                    <w:t>×10</w:t>
                  </w:r>
                  <w:r>
                    <w:rPr>
                      <w:rFonts w:ascii="Times New Roman" w:hAnsi="Times New Roman"/>
                      <w:szCs w:val="21"/>
                      <w:vertAlign w:val="superscript"/>
                    </w:rPr>
                    <w:t>-3</w:t>
                  </w:r>
                </w:p>
              </w:tc>
              <w:tc>
                <w:tcPr>
                  <w:tcW w:w="628" w:type="pct"/>
                  <w:vAlign w:val="center"/>
                </w:tcPr>
                <w:p w14:paraId="682BC3E5">
                  <w:pPr>
                    <w:jc w:val="center"/>
                    <w:rPr>
                      <w:rFonts w:ascii="Times New Roman" w:hAnsi="Times New Roman"/>
                      <w:szCs w:val="21"/>
                    </w:rPr>
                  </w:pPr>
                  <w:r>
                    <w:rPr>
                      <w:rFonts w:ascii="Times New Roman" w:hAnsi="Times New Roman"/>
                      <w:szCs w:val="21"/>
                    </w:rPr>
                    <w:t>8.95</w:t>
                  </w:r>
                </w:p>
              </w:tc>
              <w:tc>
                <w:tcPr>
                  <w:tcW w:w="870" w:type="pct"/>
                  <w:vAlign w:val="center"/>
                </w:tcPr>
                <w:p w14:paraId="72072997">
                  <w:pPr>
                    <w:jc w:val="center"/>
                    <w:rPr>
                      <w:rFonts w:ascii="Times New Roman" w:hAnsi="Times New Roman"/>
                      <w:szCs w:val="21"/>
                    </w:rPr>
                  </w:pPr>
                  <w:r>
                    <w:rPr>
                      <w:rFonts w:ascii="Times New Roman" w:hAnsi="Times New Roman"/>
                      <w:szCs w:val="21"/>
                    </w:rPr>
                    <w:t>3.19×10</w:t>
                  </w:r>
                  <w:r>
                    <w:rPr>
                      <w:rFonts w:ascii="Times New Roman" w:hAnsi="Times New Roman"/>
                      <w:szCs w:val="21"/>
                      <w:vertAlign w:val="superscript"/>
                    </w:rPr>
                    <w:t>-3</w:t>
                  </w:r>
                </w:p>
              </w:tc>
              <w:tc>
                <w:tcPr>
                  <w:tcW w:w="673" w:type="pct"/>
                  <w:vAlign w:val="center"/>
                </w:tcPr>
                <w:p w14:paraId="17D37A4C">
                  <w:pPr>
                    <w:jc w:val="center"/>
                    <w:rPr>
                      <w:rFonts w:ascii="Times New Roman" w:hAnsi="Times New Roman"/>
                      <w:szCs w:val="21"/>
                    </w:rPr>
                  </w:pPr>
                  <w:r>
                    <w:rPr>
                      <w:rFonts w:ascii="Times New Roman" w:hAnsi="Times New Roman"/>
                      <w:szCs w:val="21"/>
                    </w:rPr>
                    <w:t>7.46</w:t>
                  </w:r>
                </w:p>
              </w:tc>
              <w:tc>
                <w:tcPr>
                  <w:tcW w:w="866" w:type="pct"/>
                  <w:vAlign w:val="center"/>
                </w:tcPr>
                <w:p w14:paraId="27077394">
                  <w:pPr>
                    <w:jc w:val="center"/>
                    <w:rPr>
                      <w:rFonts w:ascii="Times New Roman" w:hAnsi="Times New Roman"/>
                      <w:szCs w:val="21"/>
                    </w:rPr>
                  </w:pPr>
                  <w:r>
                    <w:rPr>
                      <w:rFonts w:ascii="Times New Roman" w:hAnsi="Times New Roman"/>
                      <w:szCs w:val="21"/>
                    </w:rPr>
                    <w:t>0.13</w:t>
                  </w:r>
                </w:p>
              </w:tc>
            </w:tr>
            <w:tr w14:paraId="79C7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172735D8">
                  <w:pPr>
                    <w:adjustRightInd w:val="0"/>
                    <w:snapToGrid w:val="0"/>
                    <w:jc w:val="center"/>
                    <w:rPr>
                      <w:rFonts w:ascii="Times New Roman" w:hAnsi="Times New Roman"/>
                      <w:b/>
                      <w:szCs w:val="21"/>
                    </w:rPr>
                  </w:pPr>
                  <w:r>
                    <w:rPr>
                      <w:rFonts w:ascii="Times New Roman" w:hAnsi="Times New Roman"/>
                      <w:b/>
                      <w:szCs w:val="21"/>
                    </w:rPr>
                    <w:t>700</w:t>
                  </w:r>
                </w:p>
              </w:tc>
              <w:tc>
                <w:tcPr>
                  <w:tcW w:w="659" w:type="pct"/>
                  <w:tcBorders>
                    <w:top w:val="single" w:color="auto" w:sz="4" w:space="0"/>
                    <w:left w:val="single" w:color="auto" w:sz="4" w:space="0"/>
                    <w:bottom w:val="single" w:color="auto" w:sz="4" w:space="0"/>
                    <w:right w:val="single" w:color="auto" w:sz="4" w:space="0"/>
                  </w:tcBorders>
                  <w:vAlign w:val="center"/>
                </w:tcPr>
                <w:p w14:paraId="5649556B">
                  <w:pPr>
                    <w:jc w:val="center"/>
                    <w:rPr>
                      <w:rFonts w:ascii="Times New Roman" w:hAnsi="Times New Roman"/>
                      <w:sz w:val="22"/>
                      <w:szCs w:val="22"/>
                    </w:rPr>
                  </w:pPr>
                  <w:r>
                    <w:rPr>
                      <w:rFonts w:ascii="Times New Roman" w:hAnsi="Times New Roman"/>
                      <w:sz w:val="22"/>
                      <w:szCs w:val="22"/>
                    </w:rPr>
                    <w:t xml:space="preserve">3.39 </w:t>
                  </w:r>
                </w:p>
              </w:tc>
              <w:tc>
                <w:tcPr>
                  <w:tcW w:w="851" w:type="pct"/>
                  <w:tcBorders>
                    <w:top w:val="single" w:color="auto" w:sz="4" w:space="0"/>
                    <w:left w:val="single" w:color="auto" w:sz="4" w:space="0"/>
                    <w:bottom w:val="single" w:color="auto" w:sz="4" w:space="0"/>
                    <w:right w:val="single" w:color="auto" w:sz="4" w:space="0"/>
                  </w:tcBorders>
                  <w:vAlign w:val="center"/>
                </w:tcPr>
                <w:p w14:paraId="565EBB51">
                  <w:pPr>
                    <w:jc w:val="center"/>
                    <w:rPr>
                      <w:rFonts w:ascii="Times New Roman" w:hAnsi="Times New Roman"/>
                      <w:sz w:val="22"/>
                      <w:szCs w:val="22"/>
                    </w:rPr>
                  </w:pPr>
                  <w:r>
                    <w:rPr>
                      <w:rFonts w:ascii="Times New Roman" w:hAnsi="Times New Roman"/>
                      <w:sz w:val="22"/>
                      <w:szCs w:val="22"/>
                    </w:rPr>
                    <w:t>9.10</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0B44FD47">
                  <w:pPr>
                    <w:jc w:val="center"/>
                    <w:rPr>
                      <w:rFonts w:ascii="Times New Roman" w:hAnsi="Times New Roman"/>
                      <w:szCs w:val="21"/>
                    </w:rPr>
                  </w:pPr>
                  <w:r>
                    <w:rPr>
                      <w:rFonts w:ascii="Times New Roman" w:hAnsi="Times New Roman"/>
                      <w:szCs w:val="21"/>
                    </w:rPr>
                    <w:t>4.57</w:t>
                  </w:r>
                </w:p>
              </w:tc>
              <w:tc>
                <w:tcPr>
                  <w:tcW w:w="870" w:type="pct"/>
                  <w:vAlign w:val="center"/>
                </w:tcPr>
                <w:p w14:paraId="70B54104">
                  <w:pPr>
                    <w:jc w:val="center"/>
                    <w:rPr>
                      <w:rFonts w:ascii="Times New Roman" w:hAnsi="Times New Roman"/>
                      <w:szCs w:val="21"/>
                    </w:rPr>
                  </w:pPr>
                  <w:r>
                    <w:rPr>
                      <w:rFonts w:ascii="Times New Roman" w:hAnsi="Times New Roman"/>
                      <w:szCs w:val="21"/>
                    </w:rPr>
                    <w:t>1.63×10</w:t>
                  </w:r>
                  <w:r>
                    <w:rPr>
                      <w:rFonts w:ascii="Times New Roman" w:hAnsi="Times New Roman"/>
                      <w:szCs w:val="21"/>
                      <w:vertAlign w:val="superscript"/>
                    </w:rPr>
                    <w:t>-3</w:t>
                  </w:r>
                </w:p>
              </w:tc>
              <w:tc>
                <w:tcPr>
                  <w:tcW w:w="673" w:type="pct"/>
                  <w:vAlign w:val="center"/>
                </w:tcPr>
                <w:p w14:paraId="748C2771">
                  <w:pPr>
                    <w:jc w:val="center"/>
                    <w:rPr>
                      <w:rFonts w:ascii="Times New Roman" w:hAnsi="Times New Roman"/>
                      <w:szCs w:val="21"/>
                    </w:rPr>
                  </w:pPr>
                  <w:r>
                    <w:rPr>
                      <w:rFonts w:ascii="Times New Roman" w:hAnsi="Times New Roman"/>
                      <w:szCs w:val="21"/>
                    </w:rPr>
                    <w:t>3.81</w:t>
                  </w:r>
                </w:p>
              </w:tc>
              <w:tc>
                <w:tcPr>
                  <w:tcW w:w="866" w:type="pct"/>
                  <w:vAlign w:val="center"/>
                </w:tcPr>
                <w:p w14:paraId="3FD216F5">
                  <w:pPr>
                    <w:jc w:val="center"/>
                    <w:rPr>
                      <w:rFonts w:ascii="Times New Roman" w:hAnsi="Times New Roman"/>
                      <w:szCs w:val="21"/>
                    </w:rPr>
                  </w:pPr>
                  <w:r>
                    <w:rPr>
                      <w:rFonts w:ascii="Times New Roman" w:hAnsi="Times New Roman"/>
                      <w:szCs w:val="21"/>
                    </w:rPr>
                    <w:t>6.70×10</w:t>
                  </w:r>
                  <w:r>
                    <w:rPr>
                      <w:rFonts w:ascii="Times New Roman" w:hAnsi="Times New Roman"/>
                      <w:szCs w:val="21"/>
                      <w:vertAlign w:val="superscript"/>
                    </w:rPr>
                    <w:t>-2</w:t>
                  </w:r>
                </w:p>
              </w:tc>
            </w:tr>
            <w:tr w14:paraId="0EFC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694D396">
                  <w:pPr>
                    <w:adjustRightInd w:val="0"/>
                    <w:snapToGrid w:val="0"/>
                    <w:jc w:val="center"/>
                    <w:rPr>
                      <w:rFonts w:ascii="Times New Roman" w:hAnsi="Times New Roman"/>
                      <w:b/>
                      <w:szCs w:val="21"/>
                    </w:rPr>
                  </w:pPr>
                  <w:r>
                    <w:rPr>
                      <w:rFonts w:ascii="Times New Roman" w:hAnsi="Times New Roman"/>
                      <w:b/>
                      <w:szCs w:val="21"/>
                    </w:rPr>
                    <w:t>816</w:t>
                  </w:r>
                </w:p>
              </w:tc>
              <w:tc>
                <w:tcPr>
                  <w:tcW w:w="659" w:type="pct"/>
                  <w:tcBorders>
                    <w:top w:val="single" w:color="auto" w:sz="4" w:space="0"/>
                    <w:left w:val="single" w:color="auto" w:sz="4" w:space="0"/>
                    <w:bottom w:val="single" w:color="auto" w:sz="4" w:space="0"/>
                    <w:right w:val="single" w:color="auto" w:sz="4" w:space="0"/>
                  </w:tcBorders>
                  <w:vAlign w:val="center"/>
                </w:tcPr>
                <w:p w14:paraId="468627FD">
                  <w:pPr>
                    <w:widowControl/>
                    <w:jc w:val="center"/>
                    <w:rPr>
                      <w:rFonts w:ascii="Times New Roman" w:hAnsi="Times New Roman"/>
                      <w:kern w:val="0"/>
                      <w:sz w:val="22"/>
                      <w:szCs w:val="22"/>
                    </w:rPr>
                  </w:pPr>
                  <w:r>
                    <w:rPr>
                      <w:rFonts w:ascii="Times New Roman" w:hAnsi="Times New Roman"/>
                      <w:sz w:val="22"/>
                      <w:szCs w:val="22"/>
                    </w:rPr>
                    <w:t xml:space="preserve">2.50 </w:t>
                  </w:r>
                </w:p>
              </w:tc>
              <w:tc>
                <w:tcPr>
                  <w:tcW w:w="851" w:type="pct"/>
                  <w:tcBorders>
                    <w:top w:val="single" w:color="auto" w:sz="4" w:space="0"/>
                    <w:left w:val="single" w:color="auto" w:sz="4" w:space="0"/>
                    <w:bottom w:val="single" w:color="auto" w:sz="4" w:space="0"/>
                    <w:right w:val="single" w:color="auto" w:sz="4" w:space="0"/>
                  </w:tcBorders>
                  <w:vAlign w:val="center"/>
                </w:tcPr>
                <w:p w14:paraId="23B8F08D">
                  <w:pPr>
                    <w:jc w:val="center"/>
                    <w:rPr>
                      <w:rFonts w:ascii="Times New Roman" w:hAnsi="Times New Roman"/>
                      <w:sz w:val="22"/>
                      <w:szCs w:val="22"/>
                    </w:rPr>
                  </w:pPr>
                  <w:r>
                    <w:rPr>
                      <w:rFonts w:ascii="Times New Roman" w:hAnsi="Times New Roman"/>
                      <w:sz w:val="22"/>
                      <w:szCs w:val="22"/>
                    </w:rPr>
                    <w:t>6.70</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08F10A52">
                  <w:pPr>
                    <w:widowControl/>
                    <w:jc w:val="center"/>
                    <w:rPr>
                      <w:rFonts w:ascii="Times New Roman" w:hAnsi="Times New Roman"/>
                      <w:kern w:val="0"/>
                      <w:sz w:val="22"/>
                      <w:szCs w:val="22"/>
                    </w:rPr>
                  </w:pPr>
                  <w:r>
                    <w:rPr>
                      <w:rFonts w:ascii="Times New Roman" w:hAnsi="Times New Roman"/>
                      <w:sz w:val="22"/>
                      <w:szCs w:val="22"/>
                    </w:rPr>
                    <w:t xml:space="preserve">3.36 </w:t>
                  </w:r>
                </w:p>
              </w:tc>
              <w:tc>
                <w:tcPr>
                  <w:tcW w:w="870" w:type="pct"/>
                  <w:vAlign w:val="center"/>
                </w:tcPr>
                <w:p w14:paraId="2225AF00">
                  <w:pPr>
                    <w:widowControl/>
                    <w:jc w:val="center"/>
                    <w:rPr>
                      <w:rFonts w:ascii="Times New Roman" w:hAnsi="Times New Roman"/>
                      <w:kern w:val="0"/>
                      <w:sz w:val="22"/>
                      <w:szCs w:val="22"/>
                    </w:rPr>
                  </w:pPr>
                  <w:r>
                    <w:rPr>
                      <w:rFonts w:ascii="Times New Roman" w:hAnsi="Times New Roman"/>
                      <w:sz w:val="22"/>
                      <w:szCs w:val="22"/>
                    </w:rPr>
                    <w:t>1.20</w:t>
                  </w:r>
                  <w:r>
                    <w:rPr>
                      <w:rFonts w:ascii="Times New Roman" w:hAnsi="Times New Roman"/>
                      <w:szCs w:val="21"/>
                    </w:rPr>
                    <w:t>×10</w:t>
                  </w:r>
                  <w:r>
                    <w:rPr>
                      <w:rFonts w:ascii="Times New Roman" w:hAnsi="Times New Roman"/>
                      <w:szCs w:val="21"/>
                      <w:vertAlign w:val="superscript"/>
                    </w:rPr>
                    <w:t>-3</w:t>
                  </w:r>
                </w:p>
              </w:tc>
              <w:tc>
                <w:tcPr>
                  <w:tcW w:w="673" w:type="pct"/>
                  <w:vAlign w:val="center"/>
                </w:tcPr>
                <w:p w14:paraId="1AB76A38">
                  <w:pPr>
                    <w:widowControl/>
                    <w:jc w:val="center"/>
                    <w:rPr>
                      <w:rFonts w:ascii="Times New Roman" w:hAnsi="Times New Roman"/>
                      <w:kern w:val="0"/>
                      <w:sz w:val="22"/>
                      <w:szCs w:val="22"/>
                    </w:rPr>
                  </w:pPr>
                  <w:r>
                    <w:rPr>
                      <w:rFonts w:ascii="Times New Roman" w:hAnsi="Times New Roman"/>
                      <w:sz w:val="22"/>
                      <w:szCs w:val="22"/>
                    </w:rPr>
                    <w:t xml:space="preserve">2.80 </w:t>
                  </w:r>
                </w:p>
              </w:tc>
              <w:tc>
                <w:tcPr>
                  <w:tcW w:w="866" w:type="pct"/>
                  <w:vAlign w:val="center"/>
                </w:tcPr>
                <w:p w14:paraId="0972AA4F">
                  <w:pPr>
                    <w:widowControl/>
                    <w:jc w:val="center"/>
                    <w:rPr>
                      <w:rFonts w:ascii="Times New Roman" w:hAnsi="Times New Roman"/>
                      <w:kern w:val="0"/>
                      <w:sz w:val="22"/>
                      <w:szCs w:val="22"/>
                    </w:rPr>
                  </w:pPr>
                  <w:r>
                    <w:rPr>
                      <w:rFonts w:ascii="Times New Roman" w:hAnsi="Times New Roman"/>
                      <w:sz w:val="22"/>
                      <w:szCs w:val="22"/>
                    </w:rPr>
                    <w:t>4.93</w:t>
                  </w:r>
                  <w:r>
                    <w:rPr>
                      <w:rFonts w:ascii="Times New Roman" w:hAnsi="Times New Roman"/>
                      <w:szCs w:val="21"/>
                    </w:rPr>
                    <w:t>×10</w:t>
                  </w:r>
                  <w:r>
                    <w:rPr>
                      <w:rFonts w:ascii="Times New Roman" w:hAnsi="Times New Roman"/>
                      <w:szCs w:val="21"/>
                      <w:vertAlign w:val="superscript"/>
                    </w:rPr>
                    <w:t>-2</w:t>
                  </w:r>
                </w:p>
              </w:tc>
            </w:tr>
            <w:tr w14:paraId="5AA2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E905CB3">
                  <w:pPr>
                    <w:adjustRightInd w:val="0"/>
                    <w:snapToGrid w:val="0"/>
                    <w:jc w:val="center"/>
                    <w:rPr>
                      <w:rFonts w:ascii="Times New Roman" w:hAnsi="Times New Roman"/>
                      <w:b/>
                      <w:szCs w:val="21"/>
                    </w:rPr>
                  </w:pPr>
                  <w:r>
                    <w:rPr>
                      <w:rFonts w:ascii="Times New Roman" w:hAnsi="Times New Roman"/>
                      <w:b/>
                      <w:szCs w:val="21"/>
                    </w:rPr>
                    <w:t>817</w:t>
                  </w:r>
                </w:p>
              </w:tc>
              <w:tc>
                <w:tcPr>
                  <w:tcW w:w="659" w:type="pct"/>
                  <w:tcBorders>
                    <w:top w:val="single" w:color="auto" w:sz="4" w:space="0"/>
                    <w:left w:val="single" w:color="auto" w:sz="4" w:space="0"/>
                    <w:bottom w:val="single" w:color="auto" w:sz="4" w:space="0"/>
                    <w:right w:val="single" w:color="auto" w:sz="4" w:space="0"/>
                  </w:tcBorders>
                  <w:vAlign w:val="center"/>
                </w:tcPr>
                <w:p w14:paraId="03413950">
                  <w:pPr>
                    <w:jc w:val="center"/>
                    <w:rPr>
                      <w:rFonts w:ascii="Times New Roman" w:hAnsi="Times New Roman"/>
                      <w:sz w:val="22"/>
                      <w:szCs w:val="22"/>
                    </w:rPr>
                  </w:pPr>
                  <w:r>
                    <w:rPr>
                      <w:rFonts w:ascii="Times New Roman" w:hAnsi="Times New Roman"/>
                      <w:sz w:val="22"/>
                      <w:szCs w:val="22"/>
                    </w:rPr>
                    <w:t>2.49(监督区)</w:t>
                  </w:r>
                </w:p>
              </w:tc>
              <w:tc>
                <w:tcPr>
                  <w:tcW w:w="851" w:type="pct"/>
                  <w:tcBorders>
                    <w:top w:val="single" w:color="auto" w:sz="4" w:space="0"/>
                    <w:left w:val="single" w:color="auto" w:sz="4" w:space="0"/>
                    <w:bottom w:val="single" w:color="auto" w:sz="4" w:space="0"/>
                    <w:right w:val="single" w:color="auto" w:sz="4" w:space="0"/>
                  </w:tcBorders>
                  <w:vAlign w:val="center"/>
                </w:tcPr>
                <w:p w14:paraId="78407652">
                  <w:pPr>
                    <w:jc w:val="center"/>
                    <w:rPr>
                      <w:rFonts w:ascii="Times New Roman" w:hAnsi="Times New Roman"/>
                      <w:sz w:val="22"/>
                      <w:szCs w:val="22"/>
                    </w:rPr>
                  </w:pPr>
                  <w:r>
                    <w:rPr>
                      <w:rFonts w:ascii="Times New Roman" w:hAnsi="Times New Roman"/>
                      <w:sz w:val="22"/>
                      <w:szCs w:val="22"/>
                    </w:rPr>
                    <w:t>6.68</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5C0813D6">
                  <w:pPr>
                    <w:jc w:val="center"/>
                    <w:rPr>
                      <w:rFonts w:ascii="Times New Roman" w:hAnsi="Times New Roman"/>
                      <w:sz w:val="22"/>
                      <w:szCs w:val="22"/>
                    </w:rPr>
                  </w:pPr>
                  <w:r>
                    <w:rPr>
                      <w:rFonts w:ascii="Times New Roman" w:hAnsi="Times New Roman"/>
                      <w:sz w:val="22"/>
                      <w:szCs w:val="22"/>
                    </w:rPr>
                    <w:t xml:space="preserve">3.35 </w:t>
                  </w:r>
                </w:p>
              </w:tc>
              <w:tc>
                <w:tcPr>
                  <w:tcW w:w="870" w:type="pct"/>
                  <w:vAlign w:val="center"/>
                </w:tcPr>
                <w:p w14:paraId="3CEDE6D0">
                  <w:pPr>
                    <w:jc w:val="center"/>
                    <w:rPr>
                      <w:rFonts w:ascii="Times New Roman" w:hAnsi="Times New Roman"/>
                      <w:sz w:val="22"/>
                      <w:szCs w:val="22"/>
                    </w:rPr>
                  </w:pPr>
                  <w:r>
                    <w:rPr>
                      <w:rFonts w:ascii="Times New Roman" w:hAnsi="Times New Roman"/>
                      <w:sz w:val="22"/>
                      <w:szCs w:val="22"/>
                    </w:rPr>
                    <w:t>1.19</w:t>
                  </w:r>
                  <w:r>
                    <w:rPr>
                      <w:rFonts w:ascii="Times New Roman" w:hAnsi="Times New Roman"/>
                      <w:szCs w:val="21"/>
                    </w:rPr>
                    <w:t>×10</w:t>
                  </w:r>
                  <w:r>
                    <w:rPr>
                      <w:rFonts w:ascii="Times New Roman" w:hAnsi="Times New Roman"/>
                      <w:szCs w:val="21"/>
                      <w:vertAlign w:val="superscript"/>
                    </w:rPr>
                    <w:t>-3</w:t>
                  </w:r>
                </w:p>
              </w:tc>
              <w:tc>
                <w:tcPr>
                  <w:tcW w:w="673" w:type="pct"/>
                  <w:vAlign w:val="center"/>
                </w:tcPr>
                <w:p w14:paraId="0DBC8CE3">
                  <w:pPr>
                    <w:jc w:val="center"/>
                    <w:rPr>
                      <w:rFonts w:ascii="Times New Roman" w:hAnsi="Times New Roman"/>
                      <w:sz w:val="22"/>
                      <w:szCs w:val="22"/>
                    </w:rPr>
                  </w:pPr>
                  <w:r>
                    <w:rPr>
                      <w:rFonts w:ascii="Times New Roman" w:hAnsi="Times New Roman"/>
                      <w:sz w:val="22"/>
                      <w:szCs w:val="22"/>
                    </w:rPr>
                    <w:t xml:space="preserve">2.80 </w:t>
                  </w:r>
                </w:p>
              </w:tc>
              <w:tc>
                <w:tcPr>
                  <w:tcW w:w="866" w:type="pct"/>
                  <w:vAlign w:val="center"/>
                </w:tcPr>
                <w:p w14:paraId="15759358">
                  <w:pPr>
                    <w:jc w:val="center"/>
                    <w:rPr>
                      <w:rFonts w:ascii="Times New Roman" w:hAnsi="Times New Roman"/>
                      <w:sz w:val="22"/>
                      <w:szCs w:val="22"/>
                    </w:rPr>
                  </w:pPr>
                  <w:r>
                    <w:rPr>
                      <w:rFonts w:ascii="Times New Roman" w:hAnsi="Times New Roman"/>
                      <w:sz w:val="22"/>
                      <w:szCs w:val="22"/>
                    </w:rPr>
                    <w:t>4.92</w:t>
                  </w:r>
                  <w:r>
                    <w:rPr>
                      <w:rFonts w:ascii="Times New Roman" w:hAnsi="Times New Roman"/>
                      <w:szCs w:val="21"/>
                    </w:rPr>
                    <w:t>×10</w:t>
                  </w:r>
                  <w:r>
                    <w:rPr>
                      <w:rFonts w:ascii="Times New Roman" w:hAnsi="Times New Roman"/>
                      <w:szCs w:val="21"/>
                      <w:vertAlign w:val="superscript"/>
                    </w:rPr>
                    <w:t>-2</w:t>
                  </w:r>
                </w:p>
              </w:tc>
            </w:tr>
            <w:tr w14:paraId="529B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20FA52F9">
                  <w:pPr>
                    <w:adjustRightInd w:val="0"/>
                    <w:snapToGrid w:val="0"/>
                    <w:jc w:val="center"/>
                    <w:rPr>
                      <w:rFonts w:ascii="Times New Roman" w:hAnsi="Times New Roman"/>
                      <w:b/>
                      <w:szCs w:val="21"/>
                    </w:rPr>
                  </w:pPr>
                  <w:r>
                    <w:rPr>
                      <w:rFonts w:ascii="Times New Roman" w:hAnsi="Times New Roman"/>
                      <w:b/>
                      <w:szCs w:val="21"/>
                    </w:rPr>
                    <w:t>850</w:t>
                  </w:r>
                </w:p>
              </w:tc>
              <w:tc>
                <w:tcPr>
                  <w:tcW w:w="659" w:type="pct"/>
                  <w:tcBorders>
                    <w:top w:val="single" w:color="auto" w:sz="4" w:space="0"/>
                    <w:left w:val="single" w:color="auto" w:sz="4" w:space="0"/>
                    <w:bottom w:val="single" w:color="auto" w:sz="4" w:space="0"/>
                    <w:right w:val="single" w:color="auto" w:sz="4" w:space="0"/>
                  </w:tcBorders>
                  <w:vAlign w:val="center"/>
                </w:tcPr>
                <w:p w14:paraId="3E4DE5AF">
                  <w:pPr>
                    <w:jc w:val="center"/>
                    <w:rPr>
                      <w:rFonts w:ascii="Times New Roman" w:hAnsi="Times New Roman"/>
                      <w:sz w:val="22"/>
                      <w:szCs w:val="22"/>
                    </w:rPr>
                  </w:pPr>
                  <w:r>
                    <w:rPr>
                      <w:rFonts w:ascii="Times New Roman" w:hAnsi="Times New Roman"/>
                      <w:sz w:val="22"/>
                      <w:szCs w:val="22"/>
                    </w:rPr>
                    <w:t xml:space="preserve">2.30 </w:t>
                  </w:r>
                </w:p>
              </w:tc>
              <w:tc>
                <w:tcPr>
                  <w:tcW w:w="851" w:type="pct"/>
                  <w:tcBorders>
                    <w:top w:val="single" w:color="auto" w:sz="4" w:space="0"/>
                    <w:left w:val="single" w:color="auto" w:sz="4" w:space="0"/>
                    <w:bottom w:val="single" w:color="auto" w:sz="4" w:space="0"/>
                    <w:right w:val="single" w:color="auto" w:sz="4" w:space="0"/>
                  </w:tcBorders>
                  <w:vAlign w:val="center"/>
                </w:tcPr>
                <w:p w14:paraId="4D715280">
                  <w:pPr>
                    <w:jc w:val="center"/>
                    <w:rPr>
                      <w:rFonts w:ascii="Times New Roman" w:hAnsi="Times New Roman"/>
                      <w:sz w:val="22"/>
                      <w:szCs w:val="22"/>
                    </w:rPr>
                  </w:pPr>
                  <w:r>
                    <w:rPr>
                      <w:rFonts w:ascii="Times New Roman" w:hAnsi="Times New Roman"/>
                      <w:sz w:val="22"/>
                      <w:szCs w:val="22"/>
                    </w:rPr>
                    <w:t>6.17</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0F76CFDF">
                  <w:pPr>
                    <w:jc w:val="center"/>
                    <w:rPr>
                      <w:rFonts w:ascii="Times New Roman" w:hAnsi="Times New Roman"/>
                      <w:szCs w:val="21"/>
                    </w:rPr>
                  </w:pPr>
                  <w:r>
                    <w:rPr>
                      <w:rFonts w:ascii="Times New Roman" w:hAnsi="Times New Roman"/>
                      <w:szCs w:val="21"/>
                    </w:rPr>
                    <w:t>3.10</w:t>
                  </w:r>
                </w:p>
              </w:tc>
              <w:tc>
                <w:tcPr>
                  <w:tcW w:w="870" w:type="pct"/>
                  <w:vAlign w:val="center"/>
                </w:tcPr>
                <w:p w14:paraId="5C11498B">
                  <w:pPr>
                    <w:jc w:val="center"/>
                    <w:rPr>
                      <w:rFonts w:ascii="Times New Roman" w:hAnsi="Times New Roman"/>
                      <w:szCs w:val="21"/>
                    </w:rPr>
                  </w:pPr>
                  <w:r>
                    <w:rPr>
                      <w:rFonts w:ascii="Times New Roman" w:hAnsi="Times New Roman"/>
                      <w:szCs w:val="21"/>
                    </w:rPr>
                    <w:t>1.10×10</w:t>
                  </w:r>
                  <w:r>
                    <w:rPr>
                      <w:rFonts w:ascii="Times New Roman" w:hAnsi="Times New Roman"/>
                      <w:szCs w:val="21"/>
                      <w:vertAlign w:val="superscript"/>
                    </w:rPr>
                    <w:t>-3</w:t>
                  </w:r>
                </w:p>
              </w:tc>
              <w:tc>
                <w:tcPr>
                  <w:tcW w:w="673" w:type="pct"/>
                  <w:vAlign w:val="center"/>
                </w:tcPr>
                <w:p w14:paraId="1E3F47CB">
                  <w:pPr>
                    <w:jc w:val="center"/>
                    <w:rPr>
                      <w:rFonts w:ascii="Times New Roman" w:hAnsi="Times New Roman"/>
                      <w:szCs w:val="21"/>
                    </w:rPr>
                  </w:pPr>
                  <w:r>
                    <w:rPr>
                      <w:rFonts w:ascii="Times New Roman" w:hAnsi="Times New Roman"/>
                      <w:szCs w:val="21"/>
                    </w:rPr>
                    <w:t>2.58</w:t>
                  </w:r>
                </w:p>
              </w:tc>
              <w:tc>
                <w:tcPr>
                  <w:tcW w:w="866" w:type="pct"/>
                  <w:vAlign w:val="center"/>
                </w:tcPr>
                <w:p w14:paraId="7CB1F89B">
                  <w:pPr>
                    <w:jc w:val="center"/>
                    <w:rPr>
                      <w:rFonts w:ascii="Times New Roman" w:hAnsi="Times New Roman"/>
                      <w:szCs w:val="21"/>
                    </w:rPr>
                  </w:pPr>
                  <w:r>
                    <w:rPr>
                      <w:rFonts w:ascii="Times New Roman" w:hAnsi="Times New Roman"/>
                      <w:szCs w:val="21"/>
                    </w:rPr>
                    <w:t>4.55×10</w:t>
                  </w:r>
                  <w:r>
                    <w:rPr>
                      <w:rFonts w:ascii="Times New Roman" w:hAnsi="Times New Roman"/>
                      <w:szCs w:val="21"/>
                      <w:vertAlign w:val="superscript"/>
                    </w:rPr>
                    <w:t>-2</w:t>
                  </w:r>
                </w:p>
              </w:tc>
            </w:tr>
            <w:tr w14:paraId="21DC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29C7F3C9">
                  <w:pPr>
                    <w:adjustRightInd w:val="0"/>
                    <w:snapToGrid w:val="0"/>
                    <w:jc w:val="center"/>
                    <w:rPr>
                      <w:rFonts w:ascii="Times New Roman" w:hAnsi="Times New Roman"/>
                      <w:b/>
                      <w:szCs w:val="21"/>
                    </w:rPr>
                  </w:pPr>
                  <w:r>
                    <w:rPr>
                      <w:rFonts w:ascii="Times New Roman" w:hAnsi="Times New Roman"/>
                      <w:b/>
                      <w:szCs w:val="21"/>
                    </w:rPr>
                    <w:t>865</w:t>
                  </w:r>
                </w:p>
              </w:tc>
              <w:tc>
                <w:tcPr>
                  <w:tcW w:w="659" w:type="pct"/>
                  <w:tcBorders>
                    <w:top w:val="single" w:color="auto" w:sz="4" w:space="0"/>
                    <w:left w:val="single" w:color="auto" w:sz="4" w:space="0"/>
                    <w:bottom w:val="single" w:color="auto" w:sz="4" w:space="0"/>
                    <w:right w:val="single" w:color="auto" w:sz="4" w:space="0"/>
                  </w:tcBorders>
                  <w:vAlign w:val="center"/>
                </w:tcPr>
                <w:p w14:paraId="76E03D62">
                  <w:pPr>
                    <w:jc w:val="center"/>
                    <w:rPr>
                      <w:rFonts w:ascii="Times New Roman" w:hAnsi="Times New Roman"/>
                      <w:sz w:val="22"/>
                      <w:szCs w:val="22"/>
                    </w:rPr>
                  </w:pPr>
                  <w:r>
                    <w:rPr>
                      <w:rFonts w:ascii="Times New Roman" w:hAnsi="Times New Roman"/>
                      <w:sz w:val="22"/>
                      <w:szCs w:val="22"/>
                    </w:rPr>
                    <w:t xml:space="preserve">2.22 </w:t>
                  </w:r>
                </w:p>
              </w:tc>
              <w:tc>
                <w:tcPr>
                  <w:tcW w:w="851" w:type="pct"/>
                  <w:tcBorders>
                    <w:top w:val="single" w:color="auto" w:sz="4" w:space="0"/>
                    <w:left w:val="single" w:color="auto" w:sz="4" w:space="0"/>
                    <w:bottom w:val="single" w:color="auto" w:sz="4" w:space="0"/>
                    <w:right w:val="single" w:color="auto" w:sz="4" w:space="0"/>
                  </w:tcBorders>
                  <w:vAlign w:val="center"/>
                </w:tcPr>
                <w:p w14:paraId="139FD0DD">
                  <w:pPr>
                    <w:jc w:val="center"/>
                    <w:rPr>
                      <w:rFonts w:ascii="Times New Roman" w:hAnsi="Times New Roman"/>
                      <w:sz w:val="22"/>
                      <w:szCs w:val="22"/>
                    </w:rPr>
                  </w:pPr>
                  <w:r>
                    <w:rPr>
                      <w:rFonts w:ascii="Times New Roman" w:hAnsi="Times New Roman"/>
                      <w:sz w:val="22"/>
                      <w:szCs w:val="22"/>
                    </w:rPr>
                    <w:t>5.96</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751C764A">
                  <w:pPr>
                    <w:jc w:val="center"/>
                    <w:rPr>
                      <w:rFonts w:ascii="Times New Roman" w:hAnsi="Times New Roman"/>
                      <w:szCs w:val="21"/>
                    </w:rPr>
                  </w:pPr>
                  <w:r>
                    <w:rPr>
                      <w:rFonts w:ascii="Times New Roman" w:hAnsi="Times New Roman"/>
                      <w:szCs w:val="21"/>
                    </w:rPr>
                    <w:t>2.99</w:t>
                  </w:r>
                </w:p>
              </w:tc>
              <w:tc>
                <w:tcPr>
                  <w:tcW w:w="870" w:type="pct"/>
                  <w:vAlign w:val="center"/>
                </w:tcPr>
                <w:p w14:paraId="5FF2E413">
                  <w:pPr>
                    <w:jc w:val="center"/>
                    <w:rPr>
                      <w:rFonts w:ascii="Times New Roman" w:hAnsi="Times New Roman"/>
                      <w:szCs w:val="21"/>
                    </w:rPr>
                  </w:pPr>
                  <w:r>
                    <w:rPr>
                      <w:rFonts w:ascii="Times New Roman" w:hAnsi="Times New Roman"/>
                      <w:szCs w:val="21"/>
                    </w:rPr>
                    <w:t>1.07×10</w:t>
                  </w:r>
                  <w:r>
                    <w:rPr>
                      <w:rFonts w:ascii="Times New Roman" w:hAnsi="Times New Roman"/>
                      <w:szCs w:val="21"/>
                      <w:vertAlign w:val="superscript"/>
                    </w:rPr>
                    <w:t>-3</w:t>
                  </w:r>
                </w:p>
              </w:tc>
              <w:tc>
                <w:tcPr>
                  <w:tcW w:w="673" w:type="pct"/>
                  <w:vAlign w:val="center"/>
                </w:tcPr>
                <w:p w14:paraId="04249C06">
                  <w:pPr>
                    <w:jc w:val="center"/>
                    <w:rPr>
                      <w:rFonts w:ascii="Times New Roman" w:hAnsi="Times New Roman"/>
                      <w:szCs w:val="21"/>
                    </w:rPr>
                  </w:pPr>
                  <w:r>
                    <w:rPr>
                      <w:rFonts w:ascii="Times New Roman" w:hAnsi="Times New Roman"/>
                      <w:szCs w:val="21"/>
                    </w:rPr>
                    <w:t>2.49(监督区)</w:t>
                  </w:r>
                </w:p>
              </w:tc>
              <w:tc>
                <w:tcPr>
                  <w:tcW w:w="866" w:type="pct"/>
                  <w:vAlign w:val="center"/>
                </w:tcPr>
                <w:p w14:paraId="0B8253F8">
                  <w:pPr>
                    <w:jc w:val="center"/>
                    <w:rPr>
                      <w:rFonts w:ascii="Times New Roman" w:hAnsi="Times New Roman"/>
                      <w:szCs w:val="21"/>
                    </w:rPr>
                  </w:pPr>
                  <w:r>
                    <w:rPr>
                      <w:rFonts w:ascii="Times New Roman" w:hAnsi="Times New Roman"/>
                      <w:szCs w:val="21"/>
                    </w:rPr>
                    <w:t>4.39×10</w:t>
                  </w:r>
                  <w:r>
                    <w:rPr>
                      <w:rFonts w:ascii="Times New Roman" w:hAnsi="Times New Roman"/>
                      <w:szCs w:val="21"/>
                      <w:vertAlign w:val="superscript"/>
                    </w:rPr>
                    <w:t>-2</w:t>
                  </w:r>
                </w:p>
              </w:tc>
            </w:tr>
            <w:tr w14:paraId="0B4B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136B46E6">
                  <w:pPr>
                    <w:adjustRightInd w:val="0"/>
                    <w:snapToGrid w:val="0"/>
                    <w:jc w:val="center"/>
                    <w:rPr>
                      <w:rFonts w:ascii="Times New Roman" w:hAnsi="Times New Roman"/>
                      <w:b/>
                      <w:szCs w:val="21"/>
                    </w:rPr>
                  </w:pPr>
                  <w:r>
                    <w:rPr>
                      <w:rFonts w:ascii="Times New Roman" w:hAnsi="Times New Roman"/>
                      <w:b/>
                      <w:szCs w:val="21"/>
                    </w:rPr>
                    <w:t>900</w:t>
                  </w:r>
                </w:p>
              </w:tc>
              <w:tc>
                <w:tcPr>
                  <w:tcW w:w="659" w:type="pct"/>
                  <w:tcBorders>
                    <w:top w:val="single" w:color="auto" w:sz="4" w:space="0"/>
                    <w:left w:val="single" w:color="auto" w:sz="4" w:space="0"/>
                    <w:bottom w:val="single" w:color="auto" w:sz="4" w:space="0"/>
                    <w:right w:val="single" w:color="auto" w:sz="4" w:space="0"/>
                  </w:tcBorders>
                  <w:vAlign w:val="center"/>
                </w:tcPr>
                <w:p w14:paraId="158BAE9D">
                  <w:pPr>
                    <w:jc w:val="center"/>
                    <w:rPr>
                      <w:rFonts w:ascii="Times New Roman" w:hAnsi="Times New Roman"/>
                      <w:sz w:val="22"/>
                      <w:szCs w:val="22"/>
                    </w:rPr>
                  </w:pPr>
                  <w:r>
                    <w:rPr>
                      <w:rFonts w:ascii="Times New Roman" w:hAnsi="Times New Roman"/>
                      <w:sz w:val="22"/>
                      <w:szCs w:val="22"/>
                    </w:rPr>
                    <w:t xml:space="preserve">2.05 </w:t>
                  </w:r>
                </w:p>
              </w:tc>
              <w:tc>
                <w:tcPr>
                  <w:tcW w:w="851" w:type="pct"/>
                  <w:tcBorders>
                    <w:top w:val="single" w:color="auto" w:sz="4" w:space="0"/>
                    <w:left w:val="single" w:color="auto" w:sz="4" w:space="0"/>
                    <w:bottom w:val="single" w:color="auto" w:sz="4" w:space="0"/>
                    <w:right w:val="single" w:color="auto" w:sz="4" w:space="0"/>
                  </w:tcBorders>
                  <w:vAlign w:val="center"/>
                </w:tcPr>
                <w:p w14:paraId="2AB67455">
                  <w:pPr>
                    <w:jc w:val="center"/>
                    <w:rPr>
                      <w:rFonts w:ascii="Times New Roman" w:hAnsi="Times New Roman"/>
                      <w:sz w:val="22"/>
                      <w:szCs w:val="22"/>
                    </w:rPr>
                  </w:pPr>
                  <w:r>
                    <w:rPr>
                      <w:rFonts w:ascii="Times New Roman" w:hAnsi="Times New Roman"/>
                      <w:sz w:val="22"/>
                      <w:szCs w:val="22"/>
                    </w:rPr>
                    <w:t>5.51</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3499BCAB">
                  <w:pPr>
                    <w:jc w:val="center"/>
                    <w:rPr>
                      <w:rFonts w:ascii="Times New Roman" w:hAnsi="Times New Roman"/>
                      <w:szCs w:val="21"/>
                    </w:rPr>
                  </w:pPr>
                  <w:r>
                    <w:rPr>
                      <w:rFonts w:ascii="Times New Roman" w:hAnsi="Times New Roman"/>
                      <w:szCs w:val="21"/>
                    </w:rPr>
                    <w:t>2.76</w:t>
                  </w:r>
                </w:p>
              </w:tc>
              <w:tc>
                <w:tcPr>
                  <w:tcW w:w="870" w:type="pct"/>
                  <w:vAlign w:val="center"/>
                </w:tcPr>
                <w:p w14:paraId="08E7B328">
                  <w:pPr>
                    <w:jc w:val="center"/>
                    <w:rPr>
                      <w:rFonts w:ascii="Times New Roman" w:hAnsi="Times New Roman"/>
                      <w:szCs w:val="21"/>
                    </w:rPr>
                  </w:pPr>
                  <w:r>
                    <w:rPr>
                      <w:rFonts w:ascii="Times New Roman" w:hAnsi="Times New Roman"/>
                      <w:szCs w:val="21"/>
                    </w:rPr>
                    <w:t>9.84×10</w:t>
                  </w:r>
                  <w:r>
                    <w:rPr>
                      <w:rFonts w:ascii="Times New Roman" w:hAnsi="Times New Roman"/>
                      <w:szCs w:val="21"/>
                      <w:vertAlign w:val="superscript"/>
                    </w:rPr>
                    <w:t>-4</w:t>
                  </w:r>
                </w:p>
              </w:tc>
              <w:tc>
                <w:tcPr>
                  <w:tcW w:w="673" w:type="pct"/>
                  <w:vAlign w:val="center"/>
                </w:tcPr>
                <w:p w14:paraId="3BD0C080">
                  <w:pPr>
                    <w:jc w:val="center"/>
                    <w:rPr>
                      <w:rFonts w:ascii="Times New Roman" w:hAnsi="Times New Roman"/>
                      <w:szCs w:val="21"/>
                    </w:rPr>
                  </w:pPr>
                  <w:r>
                    <w:rPr>
                      <w:rFonts w:ascii="Times New Roman" w:hAnsi="Times New Roman"/>
                      <w:szCs w:val="21"/>
                    </w:rPr>
                    <w:t>2.30</w:t>
                  </w:r>
                </w:p>
              </w:tc>
              <w:tc>
                <w:tcPr>
                  <w:tcW w:w="866" w:type="pct"/>
                  <w:vAlign w:val="center"/>
                </w:tcPr>
                <w:p w14:paraId="5275C677">
                  <w:pPr>
                    <w:jc w:val="center"/>
                    <w:rPr>
                      <w:rFonts w:ascii="Times New Roman" w:hAnsi="Times New Roman"/>
                      <w:szCs w:val="21"/>
                    </w:rPr>
                  </w:pPr>
                  <w:r>
                    <w:rPr>
                      <w:rFonts w:ascii="Times New Roman" w:hAnsi="Times New Roman"/>
                      <w:szCs w:val="21"/>
                    </w:rPr>
                    <w:t>4.06×10</w:t>
                  </w:r>
                  <w:r>
                    <w:rPr>
                      <w:rFonts w:ascii="Times New Roman" w:hAnsi="Times New Roman"/>
                      <w:szCs w:val="21"/>
                      <w:vertAlign w:val="superscript"/>
                    </w:rPr>
                    <w:t>-2</w:t>
                  </w:r>
                </w:p>
              </w:tc>
            </w:tr>
            <w:tr w14:paraId="6481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Align w:val="center"/>
                </w:tcPr>
                <w:p w14:paraId="703FBCEA">
                  <w:pPr>
                    <w:adjustRightInd w:val="0"/>
                    <w:snapToGrid w:val="0"/>
                    <w:jc w:val="center"/>
                    <w:rPr>
                      <w:rFonts w:ascii="Times New Roman" w:hAnsi="Times New Roman"/>
                      <w:b/>
                      <w:szCs w:val="21"/>
                    </w:rPr>
                  </w:pPr>
                  <w:r>
                    <w:rPr>
                      <w:rFonts w:ascii="Times New Roman" w:hAnsi="Times New Roman"/>
                      <w:b/>
                      <w:szCs w:val="21"/>
                    </w:rPr>
                    <w:t>950</w:t>
                  </w:r>
                </w:p>
              </w:tc>
              <w:tc>
                <w:tcPr>
                  <w:tcW w:w="659" w:type="pct"/>
                  <w:tcBorders>
                    <w:top w:val="single" w:color="auto" w:sz="4" w:space="0"/>
                    <w:left w:val="single" w:color="auto" w:sz="4" w:space="0"/>
                    <w:bottom w:val="single" w:color="auto" w:sz="4" w:space="0"/>
                    <w:right w:val="single" w:color="auto" w:sz="4" w:space="0"/>
                  </w:tcBorders>
                  <w:vAlign w:val="center"/>
                </w:tcPr>
                <w:p w14:paraId="583F483B">
                  <w:pPr>
                    <w:jc w:val="center"/>
                    <w:rPr>
                      <w:rFonts w:ascii="Times New Roman" w:hAnsi="Times New Roman"/>
                      <w:sz w:val="22"/>
                      <w:szCs w:val="22"/>
                    </w:rPr>
                  </w:pPr>
                  <w:r>
                    <w:rPr>
                      <w:rFonts w:ascii="Times New Roman" w:hAnsi="Times New Roman"/>
                      <w:sz w:val="22"/>
                      <w:szCs w:val="22"/>
                    </w:rPr>
                    <w:t xml:space="preserve">1.84 </w:t>
                  </w:r>
                </w:p>
              </w:tc>
              <w:tc>
                <w:tcPr>
                  <w:tcW w:w="851" w:type="pct"/>
                  <w:tcBorders>
                    <w:top w:val="single" w:color="auto" w:sz="4" w:space="0"/>
                    <w:left w:val="single" w:color="auto" w:sz="4" w:space="0"/>
                    <w:bottom w:val="single" w:color="auto" w:sz="4" w:space="0"/>
                    <w:right w:val="single" w:color="auto" w:sz="4" w:space="0"/>
                  </w:tcBorders>
                  <w:vAlign w:val="center"/>
                </w:tcPr>
                <w:p w14:paraId="0EC2D694">
                  <w:pPr>
                    <w:jc w:val="center"/>
                    <w:rPr>
                      <w:rFonts w:ascii="Times New Roman" w:hAnsi="Times New Roman"/>
                      <w:sz w:val="22"/>
                      <w:szCs w:val="22"/>
                    </w:rPr>
                  </w:pPr>
                  <w:r>
                    <w:rPr>
                      <w:rFonts w:ascii="Times New Roman" w:hAnsi="Times New Roman"/>
                      <w:sz w:val="22"/>
                      <w:szCs w:val="22"/>
                    </w:rPr>
                    <w:t>4.94</w:t>
                  </w:r>
                  <w:r>
                    <w:rPr>
                      <w:rFonts w:ascii="Times New Roman" w:hAnsi="Times New Roman"/>
                      <w:szCs w:val="21"/>
                    </w:rPr>
                    <w:t>×10</w:t>
                  </w:r>
                  <w:r>
                    <w:rPr>
                      <w:rFonts w:ascii="Times New Roman" w:hAnsi="Times New Roman"/>
                      <w:szCs w:val="21"/>
                      <w:vertAlign w:val="superscript"/>
                    </w:rPr>
                    <w:t>-4</w:t>
                  </w:r>
                </w:p>
              </w:tc>
              <w:tc>
                <w:tcPr>
                  <w:tcW w:w="628" w:type="pct"/>
                  <w:vAlign w:val="center"/>
                </w:tcPr>
                <w:p w14:paraId="63AEA8C1">
                  <w:pPr>
                    <w:jc w:val="center"/>
                    <w:rPr>
                      <w:rFonts w:ascii="Times New Roman" w:hAnsi="Times New Roman"/>
                      <w:szCs w:val="21"/>
                    </w:rPr>
                  </w:pPr>
                  <w:r>
                    <w:rPr>
                      <w:rFonts w:ascii="Times New Roman" w:hAnsi="Times New Roman"/>
                      <w:szCs w:val="21"/>
                    </w:rPr>
                    <w:t>2.48(监督区)</w:t>
                  </w:r>
                </w:p>
              </w:tc>
              <w:tc>
                <w:tcPr>
                  <w:tcW w:w="870" w:type="pct"/>
                  <w:vAlign w:val="center"/>
                </w:tcPr>
                <w:p w14:paraId="3E8CEEC5">
                  <w:pPr>
                    <w:jc w:val="center"/>
                    <w:rPr>
                      <w:rFonts w:ascii="Times New Roman" w:hAnsi="Times New Roman"/>
                      <w:szCs w:val="21"/>
                    </w:rPr>
                  </w:pPr>
                  <w:r>
                    <w:rPr>
                      <w:rFonts w:ascii="Times New Roman" w:hAnsi="Times New Roman"/>
                      <w:szCs w:val="21"/>
                    </w:rPr>
                    <w:t>8.83×10</w:t>
                  </w:r>
                  <w:r>
                    <w:rPr>
                      <w:rFonts w:ascii="Times New Roman" w:hAnsi="Times New Roman"/>
                      <w:szCs w:val="21"/>
                      <w:vertAlign w:val="superscript"/>
                    </w:rPr>
                    <w:t>-4</w:t>
                  </w:r>
                </w:p>
              </w:tc>
              <w:tc>
                <w:tcPr>
                  <w:tcW w:w="673" w:type="pct"/>
                  <w:vAlign w:val="center"/>
                </w:tcPr>
                <w:p w14:paraId="3FB0E2AB">
                  <w:pPr>
                    <w:jc w:val="center"/>
                    <w:rPr>
                      <w:rFonts w:ascii="Times New Roman" w:hAnsi="Times New Roman"/>
                      <w:szCs w:val="21"/>
                    </w:rPr>
                  </w:pPr>
                  <w:r>
                    <w:rPr>
                      <w:rFonts w:ascii="Times New Roman" w:hAnsi="Times New Roman"/>
                      <w:szCs w:val="21"/>
                    </w:rPr>
                    <w:t>2.07</w:t>
                  </w:r>
                </w:p>
              </w:tc>
              <w:tc>
                <w:tcPr>
                  <w:tcW w:w="866" w:type="pct"/>
                  <w:vAlign w:val="center"/>
                </w:tcPr>
                <w:p w14:paraId="7FF4918F">
                  <w:pPr>
                    <w:jc w:val="center"/>
                    <w:rPr>
                      <w:rFonts w:ascii="Times New Roman" w:hAnsi="Times New Roman"/>
                      <w:szCs w:val="21"/>
                    </w:rPr>
                  </w:pPr>
                  <w:r>
                    <w:rPr>
                      <w:rFonts w:ascii="Times New Roman" w:hAnsi="Times New Roman"/>
                      <w:szCs w:val="21"/>
                    </w:rPr>
                    <w:t>3.64×10</w:t>
                  </w:r>
                  <w:r>
                    <w:rPr>
                      <w:rFonts w:ascii="Times New Roman" w:hAnsi="Times New Roman"/>
                      <w:szCs w:val="21"/>
                      <w:vertAlign w:val="superscript"/>
                    </w:rPr>
                    <w:t>-2</w:t>
                  </w:r>
                </w:p>
              </w:tc>
            </w:tr>
            <w:bookmarkEnd w:id="41"/>
            <w:bookmarkEnd w:id="42"/>
          </w:tbl>
          <w:p w14:paraId="47D61AAC">
            <w:pPr>
              <w:adjustRightInd w:val="0"/>
              <w:snapToGrid w:val="0"/>
              <w:spacing w:line="360" w:lineRule="auto"/>
              <w:ind w:firstLine="482" w:firstLineChars="200"/>
              <w:rPr>
                <w:rFonts w:ascii="Times New Roman" w:hAnsi="Times New Roman"/>
                <w:b/>
                <w:sz w:val="24"/>
              </w:rPr>
            </w:pPr>
            <w:r>
              <w:rPr>
                <w:rFonts w:ascii="Times New Roman" w:hAnsi="Times New Roman"/>
                <w:b/>
                <w:sz w:val="24"/>
              </w:rPr>
              <w:t>2、泄漏辐射计算</w:t>
            </w:r>
          </w:p>
          <w:p w14:paraId="7BCA08A8">
            <w:pPr>
              <w:adjustRightInd w:val="0"/>
              <w:snapToGrid w:val="0"/>
              <w:spacing w:line="360" w:lineRule="auto"/>
              <w:ind w:firstLine="480" w:firstLineChars="200"/>
              <w:rPr>
                <w:rFonts w:ascii="Times New Roman" w:hAnsi="Times New Roman"/>
                <w:sz w:val="24"/>
              </w:rPr>
            </w:pPr>
            <w:r>
              <w:rPr>
                <w:rFonts w:ascii="Times New Roman" w:hAnsi="Times New Roman"/>
                <w:sz w:val="24"/>
              </w:rPr>
              <w:t>对于本项目购置X射线探伤机，根据《工业探伤放射防护要求》（GBZ 117-2022）中规定：当X射线探伤机的管电压大于200kV时，要求距X射线管焦点1m处的漏射线所致周围剂量当量率小于5mSv/h。</w:t>
            </w:r>
          </w:p>
          <w:p w14:paraId="10BAFC83">
            <w:pPr>
              <w:adjustRightInd w:val="0"/>
              <w:snapToGrid w:val="0"/>
              <w:spacing w:line="360" w:lineRule="auto"/>
              <w:ind w:firstLine="480" w:firstLineChars="200"/>
              <w:rPr>
                <w:rFonts w:ascii="Times New Roman" w:hAnsi="Times New Roman"/>
                <w:sz w:val="24"/>
              </w:rPr>
            </w:pPr>
            <w:r>
              <w:rPr>
                <w:rFonts w:ascii="Times New Roman" w:hAnsi="Times New Roman"/>
                <w:sz w:val="24"/>
              </w:rPr>
              <w:t>计算根据《工业X射线探伤室辐射屏蔽规范》(GBZT 250-2014)中泄漏辐射剂量估算公式进行计算。</w:t>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3"/>
              <w:gridCol w:w="2922"/>
              <w:gridCol w:w="3020"/>
            </w:tblGrid>
            <w:tr w14:paraId="6C127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49" w:type="dxa"/>
                  <w:vAlign w:val="center"/>
                </w:tcPr>
                <w:p w14:paraId="7075DB38">
                  <w:pPr>
                    <w:adjustRightInd w:val="0"/>
                    <w:snapToGrid w:val="0"/>
                    <w:jc w:val="center"/>
                    <w:rPr>
                      <w:rFonts w:ascii="Times New Roman" w:hAnsi="Times New Roman"/>
                      <w:sz w:val="24"/>
                    </w:rPr>
                  </w:pPr>
                </w:p>
              </w:tc>
              <w:tc>
                <w:tcPr>
                  <w:tcW w:w="3049" w:type="dxa"/>
                  <w:vAlign w:val="center"/>
                </w:tcPr>
                <w:p w14:paraId="7467E4EF">
                  <w:pPr>
                    <w:adjustRightInd w:val="0"/>
                    <w:snapToGrid w:val="0"/>
                    <w:jc w:val="center"/>
                    <w:rPr>
                      <w:rFonts w:ascii="Times New Roman" w:hAnsi="Times New Roman"/>
                      <w:b/>
                      <w:szCs w:val="21"/>
                    </w:rPr>
                  </w:pPr>
                  <m:oMathPara>
                    <m:oMath>
                      <m:acc>
                        <m:accPr>
                          <m:chr m:val="̇"/>
                          <m:ctrlPr>
                            <w:rPr>
                              <w:rFonts w:ascii="Cambria Math" w:hAnsi="Cambria Math"/>
                              <w:b/>
                              <w:szCs w:val="21"/>
                            </w:rPr>
                          </m:ctrlPr>
                        </m:accPr>
                        <m:e>
                          <m:r>
                            <m:rPr>
                              <m:sty m:val="bi"/>
                            </m:rPr>
                            <w:rPr>
                              <w:rFonts w:ascii="Cambria Math" w:hAnsi="Cambria Math"/>
                              <w:szCs w:val="21"/>
                            </w:rPr>
                            <m:t>H</m:t>
                          </m:r>
                          <m:ctrlPr>
                            <w:rPr>
                              <w:rFonts w:ascii="Cambria Math" w:hAnsi="Cambria Math"/>
                              <w:b/>
                              <w:szCs w:val="21"/>
                            </w:rPr>
                          </m:ctrlPr>
                        </m:e>
                      </m:acc>
                      <m:r>
                        <m:rPr>
                          <m:sty m:val="bi"/>
                        </m:rPr>
                        <w:rPr>
                          <w:rFonts w:ascii="Cambria Math" w:hAnsi="Cambria Math"/>
                          <w:szCs w:val="21"/>
                        </w:rPr>
                        <m:t>=</m:t>
                      </m:r>
                      <m:f>
                        <m:fPr>
                          <m:ctrlPr>
                            <w:rPr>
                              <w:rFonts w:ascii="Cambria Math" w:hAnsi="Cambria Math"/>
                              <w:b/>
                              <w:i/>
                              <w:szCs w:val="21"/>
                            </w:rPr>
                          </m:ctrlPr>
                        </m:fPr>
                        <m:num>
                          <m:sSub>
                            <m:sSubPr>
                              <m:ctrlPr>
                                <w:rPr>
                                  <w:rFonts w:ascii="Cambria Math" w:hAnsi="Cambria Math"/>
                                  <w:b/>
                                  <w:i/>
                                  <w:szCs w:val="21"/>
                                </w:rPr>
                              </m:ctrlPr>
                            </m:sSubPr>
                            <m:e>
                              <m:acc>
                                <m:accPr>
                                  <m:chr m:val="̇"/>
                                  <m:ctrlPr>
                                    <w:rPr>
                                      <w:rFonts w:ascii="Cambria Math" w:hAnsi="Cambria Math"/>
                                      <w:b/>
                                      <w:i/>
                                      <w:szCs w:val="21"/>
                                    </w:rPr>
                                  </m:ctrlPr>
                                </m:accPr>
                                <m:e>
                                  <m:r>
                                    <m:rPr>
                                      <m:sty m:val="bi"/>
                                    </m:rPr>
                                    <w:rPr>
                                      <w:rFonts w:ascii="Cambria Math" w:hAnsi="Cambria Math"/>
                                      <w:szCs w:val="21"/>
                                    </w:rPr>
                                    <m:t>H</m:t>
                                  </m:r>
                                  <m:ctrlPr>
                                    <w:rPr>
                                      <w:rFonts w:ascii="Cambria Math" w:hAnsi="Cambria Math"/>
                                      <w:b/>
                                      <w:i/>
                                      <w:szCs w:val="21"/>
                                    </w:rPr>
                                  </m:ctrlPr>
                                </m:e>
                              </m:acc>
                              <m:ctrlPr>
                                <w:rPr>
                                  <w:rFonts w:ascii="Cambria Math" w:hAnsi="Cambria Math"/>
                                  <w:b/>
                                  <w:i/>
                                  <w:szCs w:val="21"/>
                                </w:rPr>
                              </m:ctrlPr>
                            </m:e>
                            <m:sub>
                              <m:r>
                                <m:rPr>
                                  <m:sty m:val="bi"/>
                                </m:rPr>
                                <w:rPr>
                                  <w:rFonts w:ascii="Cambria Math" w:hAnsi="Cambria Math"/>
                                  <w:szCs w:val="21"/>
                                </w:rPr>
                                <m:t>L</m:t>
                              </m:r>
                              <m:ctrlPr>
                                <w:rPr>
                                  <w:rFonts w:ascii="Cambria Math" w:hAnsi="Cambria Math"/>
                                  <w:b/>
                                  <w:i/>
                                  <w:szCs w:val="21"/>
                                </w:rPr>
                              </m:ctrlPr>
                            </m:sub>
                          </m:sSub>
                          <m:r>
                            <m:rPr>
                              <m:sty m:val="bi"/>
                            </m:rPr>
                            <w:rPr>
                              <w:rFonts w:ascii="Cambria Math" w:hAnsi="Cambria Math"/>
                              <w:szCs w:val="21"/>
                            </w:rPr>
                            <m:t>∙B</m:t>
                          </m:r>
                          <m:ctrlPr>
                            <w:rPr>
                              <w:rFonts w:ascii="Cambria Math" w:hAnsi="Cambria Math"/>
                              <w:b/>
                              <w:i/>
                              <w:szCs w:val="21"/>
                            </w:rPr>
                          </m:ctrlPr>
                        </m:num>
                        <m:den>
                          <m:sSup>
                            <m:sSupPr>
                              <m:ctrlPr>
                                <w:rPr>
                                  <w:rFonts w:ascii="Cambria Math" w:hAnsi="Cambria Math"/>
                                  <w:b/>
                                  <w:i/>
                                  <w:szCs w:val="21"/>
                                </w:rPr>
                              </m:ctrlPr>
                            </m:sSupPr>
                            <m:e>
                              <m:r>
                                <m:rPr>
                                  <m:sty m:val="bi"/>
                                </m:rPr>
                                <w:rPr>
                                  <w:rFonts w:ascii="Cambria Math" w:hAnsi="Cambria Math"/>
                                  <w:szCs w:val="21"/>
                                </w:rPr>
                                <m:t>R</m:t>
                              </m:r>
                              <m:ctrlPr>
                                <w:rPr>
                                  <w:rFonts w:ascii="Cambria Math" w:hAnsi="Cambria Math"/>
                                  <w:b/>
                                  <w:i/>
                                  <w:szCs w:val="21"/>
                                </w:rPr>
                              </m:ctrlPr>
                            </m:e>
                            <m:sup>
                              <m:r>
                                <m:rPr>
                                  <m:sty m:val="bi"/>
                                </m:rPr>
                                <w:rPr>
                                  <w:rFonts w:ascii="Cambria Math" w:hAnsi="Cambria Math"/>
                                  <w:szCs w:val="21"/>
                                </w:rPr>
                                <m:t>2</m:t>
                              </m:r>
                              <m:ctrlPr>
                                <w:rPr>
                                  <w:rFonts w:ascii="Cambria Math" w:hAnsi="Cambria Math"/>
                                  <w:b/>
                                  <w:i/>
                                  <w:szCs w:val="21"/>
                                </w:rPr>
                              </m:ctrlPr>
                            </m:sup>
                          </m:sSup>
                          <m:ctrlPr>
                            <w:rPr>
                              <w:rFonts w:ascii="Cambria Math" w:hAnsi="Cambria Math"/>
                              <w:b/>
                              <w:i/>
                              <w:szCs w:val="21"/>
                            </w:rPr>
                          </m:ctrlPr>
                        </m:den>
                      </m:f>
                    </m:oMath>
                  </m:oMathPara>
                </w:p>
              </w:tc>
              <w:tc>
                <w:tcPr>
                  <w:tcW w:w="3050" w:type="dxa"/>
                  <w:vAlign w:val="center"/>
                </w:tcPr>
                <w:p w14:paraId="50C68CC0">
                  <w:pPr>
                    <w:adjustRightInd w:val="0"/>
                    <w:snapToGrid w:val="0"/>
                    <w:jc w:val="center"/>
                    <w:rPr>
                      <w:rFonts w:ascii="Times New Roman" w:hAnsi="Times New Roman"/>
                      <w:sz w:val="24"/>
                    </w:rPr>
                  </w:pPr>
                  <w:r>
                    <w:rPr>
                      <w:rFonts w:ascii="Times New Roman" w:hAnsi="Times New Roman"/>
                      <w:sz w:val="24"/>
                    </w:rPr>
                    <w:t>……………………….（4）</w:t>
                  </w:r>
                </w:p>
              </w:tc>
            </w:tr>
          </w:tbl>
          <w:p w14:paraId="1BC025AB">
            <w:pPr>
              <w:adjustRightInd w:val="0"/>
              <w:snapToGrid w:val="0"/>
              <w:spacing w:line="360" w:lineRule="auto"/>
              <w:ind w:firstLine="480" w:firstLineChars="200"/>
              <w:rPr>
                <w:rFonts w:ascii="Times New Roman" w:hAnsi="Times New Roman"/>
                <w:sz w:val="24"/>
              </w:rPr>
            </w:pPr>
            <w:r>
              <w:rPr>
                <w:rFonts w:ascii="Times New Roman" w:hAnsi="Times New Roman"/>
                <w:sz w:val="24"/>
              </w:rPr>
              <w:t>式中：</w:t>
            </w:r>
          </w:p>
          <w:p w14:paraId="3571D515">
            <w:pPr>
              <w:adjustRightInd w:val="0"/>
              <w:snapToGrid w:val="0"/>
              <w:spacing w:line="360" w:lineRule="auto"/>
              <w:ind w:firstLine="480" w:firstLineChars="200"/>
              <w:rPr>
                <w:rFonts w:ascii="Times New Roman" w:hAnsi="Times New Roman"/>
                <w:sz w:val="24"/>
              </w:rPr>
            </w:pPr>
            <w:r>
              <w:rPr>
                <w:rFonts w:ascii="Times New Roman" w:hAnsi="Times New Roman"/>
                <w:sz w:val="24"/>
              </w:rPr>
              <w:t>B  ——</w:t>
            </w:r>
            <w:bookmarkStart w:id="43" w:name="OLE_LINK31"/>
            <w:r>
              <w:rPr>
                <w:rFonts w:ascii="Times New Roman" w:hAnsi="Times New Roman"/>
                <w:sz w:val="24"/>
              </w:rPr>
              <w:t>屏蔽</w:t>
            </w:r>
            <w:bookmarkEnd w:id="43"/>
            <w:r>
              <w:rPr>
                <w:rFonts w:ascii="Times New Roman" w:hAnsi="Times New Roman"/>
                <w:sz w:val="24"/>
              </w:rPr>
              <w:t>透射因子；</w:t>
            </w:r>
          </w:p>
          <w:p w14:paraId="6B0856CD">
            <w:pPr>
              <w:adjustRightInd w:val="0"/>
              <w:snapToGrid w:val="0"/>
              <w:spacing w:line="360" w:lineRule="auto"/>
              <w:ind w:firstLine="480" w:firstLineChars="200"/>
              <w:rPr>
                <w:rFonts w:ascii="Times New Roman" w:hAnsi="Times New Roman"/>
                <w:sz w:val="24"/>
              </w:rPr>
            </w:pPr>
            <w:r>
              <w:rPr>
                <w:rFonts w:ascii="Times New Roman" w:hAnsi="Times New Roman"/>
                <w:sz w:val="24"/>
              </w:rPr>
              <w:t>R  ——辐射源点（靶点）至关注点的距离，单位为米（m）；</w:t>
            </w:r>
          </w:p>
          <w:p w14:paraId="39F6DDF3">
            <w:pPr>
              <w:adjustRightInd w:val="0"/>
              <w:snapToGrid w:val="0"/>
              <w:spacing w:before="72" w:beforeLines="30" w:line="360" w:lineRule="auto"/>
              <w:ind w:firstLine="480" w:firstLineChars="200"/>
              <w:rPr>
                <w:rFonts w:ascii="Times New Roman" w:hAnsi="Times New Roman"/>
                <w:sz w:val="24"/>
              </w:rPr>
            </w:pPr>
            <w:r>
              <w:rPr>
                <w:rFonts w:ascii="Times New Roman" w:hAnsi="Times New Roman"/>
                <w:sz w:val="24"/>
              </w:rPr>
              <w:t>H</w:t>
            </w:r>
            <w:r>
              <w:rPr>
                <w:rFonts w:ascii="Times New Roman" w:hAnsi="Times New Roman"/>
                <w:sz w:val="24"/>
                <w:vertAlign w:val="subscript"/>
              </w:rPr>
              <w:t>L</w:t>
            </w:r>
            <w:r>
              <w:rPr>
                <w:rFonts w:ascii="Times New Roman" w:hAnsi="Times New Roman"/>
                <w:sz w:val="24"/>
              </w:rPr>
              <w:t xml:space="preserve"> ——距靶点1m处X射线管组装体的泄漏辐射剂量率，单位为微希每小时（μSv/h）。</w:t>
            </w:r>
          </w:p>
          <w:p w14:paraId="4EAD8745">
            <w:pPr>
              <w:pStyle w:val="2"/>
              <w:spacing w:after="0"/>
              <w:ind w:left="0" w:leftChars="0" w:firstLine="0" w:firstLineChars="0"/>
              <w:jc w:val="center"/>
              <w:rPr>
                <w:b/>
                <w:kern w:val="0"/>
                <w:szCs w:val="21"/>
              </w:rPr>
            </w:pPr>
            <w:r>
              <w:rPr>
                <w:b/>
                <w:kern w:val="0"/>
                <w:szCs w:val="21"/>
              </w:rPr>
              <w:t>表11-2 探伤室泄漏辐射方向各关注点处剂量率</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18"/>
            </w:tblGrid>
            <w:tr w14:paraId="2C49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722B53A8">
                  <w:pPr>
                    <w:pStyle w:val="2"/>
                    <w:spacing w:after="0"/>
                    <w:ind w:left="0" w:leftChars="0" w:firstLine="0" w:firstLineChars="0"/>
                    <w:jc w:val="center"/>
                    <w:rPr>
                      <w:b/>
                      <w:kern w:val="0"/>
                      <w:szCs w:val="21"/>
                    </w:rPr>
                  </w:pPr>
                  <w:r>
                    <w:rPr>
                      <w:szCs w:val="21"/>
                    </w:rPr>
                    <w:t xml:space="preserve">X </w:t>
                  </w:r>
                  <w:r>
                    <w:rPr>
                      <w:b/>
                      <w:bCs/>
                      <w:szCs w:val="21"/>
                    </w:rPr>
                    <w:t>射线管电压（</w:t>
                  </w:r>
                  <w:r>
                    <w:rPr>
                      <w:szCs w:val="21"/>
                    </w:rPr>
                    <w:t>kV</w:t>
                  </w:r>
                  <w:r>
                    <w:rPr>
                      <w:b/>
                      <w:bCs/>
                      <w:szCs w:val="21"/>
                    </w:rPr>
                    <w:t>）</w:t>
                  </w:r>
                </w:p>
              </w:tc>
              <w:tc>
                <w:tcPr>
                  <w:tcW w:w="4418" w:type="dxa"/>
                  <w:vAlign w:val="center"/>
                </w:tcPr>
                <w:p w14:paraId="03353BF6">
                  <w:pPr>
                    <w:pStyle w:val="2"/>
                    <w:spacing w:after="0"/>
                    <w:ind w:left="0" w:leftChars="0" w:firstLine="0" w:firstLineChars="0"/>
                    <w:jc w:val="center"/>
                    <w:rPr>
                      <w:b/>
                      <w:kern w:val="0"/>
                      <w:szCs w:val="21"/>
                    </w:rPr>
                  </w:pPr>
                  <w:r>
                    <w:rPr>
                      <w:b/>
                      <w:bCs/>
                      <w:szCs w:val="21"/>
                    </w:rPr>
                    <w:t>距离靶点</w:t>
                  </w:r>
                  <w:r>
                    <w:rPr>
                      <w:szCs w:val="21"/>
                    </w:rPr>
                    <w:t>1m</w:t>
                  </w:r>
                  <w:r>
                    <w:rPr>
                      <w:b/>
                      <w:bCs/>
                      <w:szCs w:val="21"/>
                    </w:rPr>
                    <w:t>处的泄露辐射剂量率（</w:t>
                  </w:r>
                  <w:r>
                    <w:rPr>
                      <w:szCs w:val="21"/>
                    </w:rPr>
                    <w:t>μSv/h</w:t>
                  </w:r>
                  <w:r>
                    <w:rPr>
                      <w:b/>
                      <w:bCs/>
                      <w:szCs w:val="21"/>
                    </w:rPr>
                    <w:t>）</w:t>
                  </w:r>
                </w:p>
              </w:tc>
            </w:tr>
            <w:tr w14:paraId="1C70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2D8CD748">
                  <w:pPr>
                    <w:pStyle w:val="2"/>
                    <w:spacing w:after="0"/>
                    <w:ind w:left="0" w:leftChars="0" w:firstLine="0" w:firstLineChars="0"/>
                    <w:jc w:val="center"/>
                    <w:rPr>
                      <w:b/>
                      <w:kern w:val="0"/>
                      <w:szCs w:val="21"/>
                    </w:rPr>
                  </w:pPr>
                  <w:r>
                    <w:rPr>
                      <w:szCs w:val="21"/>
                    </w:rPr>
                    <w:t>＜150</w:t>
                  </w:r>
                </w:p>
              </w:tc>
              <w:tc>
                <w:tcPr>
                  <w:tcW w:w="4418" w:type="dxa"/>
                  <w:vAlign w:val="center"/>
                </w:tcPr>
                <w:p w14:paraId="0F2BBFF9">
                  <w:pPr>
                    <w:pStyle w:val="2"/>
                    <w:spacing w:after="0"/>
                    <w:ind w:left="0" w:leftChars="0" w:firstLine="0" w:firstLineChars="0"/>
                    <w:jc w:val="center"/>
                    <w:rPr>
                      <w:b/>
                      <w:kern w:val="0"/>
                      <w:szCs w:val="21"/>
                    </w:rPr>
                  </w:pPr>
                  <w:r>
                    <w:rPr>
                      <w:szCs w:val="21"/>
                    </w:rPr>
                    <w:t>1×10</w:t>
                  </w:r>
                  <w:r>
                    <w:rPr>
                      <w:szCs w:val="21"/>
                      <w:vertAlign w:val="superscript"/>
                    </w:rPr>
                    <w:t>3</w:t>
                  </w:r>
                </w:p>
              </w:tc>
            </w:tr>
            <w:tr w14:paraId="3A6E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200426AB">
                  <w:pPr>
                    <w:pStyle w:val="2"/>
                    <w:spacing w:after="0"/>
                    <w:ind w:left="0" w:leftChars="0" w:firstLine="0" w:firstLineChars="0"/>
                    <w:jc w:val="center"/>
                    <w:rPr>
                      <w:b/>
                      <w:kern w:val="0"/>
                      <w:szCs w:val="21"/>
                    </w:rPr>
                  </w:pPr>
                  <w:r>
                    <w:rPr>
                      <w:szCs w:val="21"/>
                    </w:rPr>
                    <w:t>150≤kV≤200</w:t>
                  </w:r>
                </w:p>
              </w:tc>
              <w:tc>
                <w:tcPr>
                  <w:tcW w:w="4418" w:type="dxa"/>
                  <w:vAlign w:val="center"/>
                </w:tcPr>
                <w:p w14:paraId="5A4C4137">
                  <w:pPr>
                    <w:pStyle w:val="2"/>
                    <w:spacing w:after="0"/>
                    <w:ind w:left="0" w:leftChars="0" w:firstLine="0" w:firstLineChars="0"/>
                    <w:jc w:val="center"/>
                    <w:rPr>
                      <w:b/>
                      <w:kern w:val="0"/>
                      <w:szCs w:val="21"/>
                    </w:rPr>
                  </w:pPr>
                  <w:r>
                    <w:rPr>
                      <w:szCs w:val="21"/>
                    </w:rPr>
                    <w:t>2.5×10</w:t>
                  </w:r>
                  <w:r>
                    <w:rPr>
                      <w:szCs w:val="21"/>
                      <w:vertAlign w:val="superscript"/>
                    </w:rPr>
                    <w:t>3</w:t>
                  </w:r>
                </w:p>
              </w:tc>
            </w:tr>
            <w:tr w14:paraId="3EC3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46A270DD">
                  <w:pPr>
                    <w:pStyle w:val="2"/>
                    <w:spacing w:after="0"/>
                    <w:ind w:left="0" w:leftChars="0" w:firstLine="0" w:firstLineChars="0"/>
                    <w:jc w:val="center"/>
                    <w:rPr>
                      <w:b/>
                      <w:kern w:val="0"/>
                      <w:szCs w:val="21"/>
                    </w:rPr>
                  </w:pPr>
                  <w:r>
                    <w:rPr>
                      <w:szCs w:val="21"/>
                    </w:rPr>
                    <w:t>＞200</w:t>
                  </w:r>
                </w:p>
              </w:tc>
              <w:tc>
                <w:tcPr>
                  <w:tcW w:w="4418" w:type="dxa"/>
                  <w:vAlign w:val="center"/>
                </w:tcPr>
                <w:p w14:paraId="60D0A127">
                  <w:pPr>
                    <w:pStyle w:val="2"/>
                    <w:spacing w:after="0"/>
                    <w:ind w:left="0" w:leftChars="0" w:firstLine="0" w:firstLineChars="0"/>
                    <w:jc w:val="center"/>
                    <w:rPr>
                      <w:b/>
                      <w:kern w:val="0"/>
                      <w:szCs w:val="21"/>
                    </w:rPr>
                  </w:pPr>
                  <w:r>
                    <w:rPr>
                      <w:szCs w:val="21"/>
                    </w:rPr>
                    <w:t>5×10</w:t>
                  </w:r>
                  <w:r>
                    <w:rPr>
                      <w:szCs w:val="21"/>
                      <w:vertAlign w:val="superscript"/>
                    </w:rPr>
                    <w:t>3</w:t>
                  </w:r>
                </w:p>
              </w:tc>
            </w:tr>
          </w:tbl>
          <w:p w14:paraId="6613B62A">
            <w:pPr>
              <w:adjustRightInd w:val="0"/>
              <w:snapToGrid w:val="0"/>
              <w:spacing w:line="360" w:lineRule="exact"/>
              <w:ind w:firstLine="482" w:firstLineChars="200"/>
              <w:rPr>
                <w:rFonts w:ascii="Times New Roman" w:hAnsi="Times New Roman"/>
                <w:b/>
                <w:bCs/>
                <w:sz w:val="24"/>
              </w:rPr>
            </w:pPr>
            <w:r>
              <w:rPr>
                <w:rFonts w:ascii="Times New Roman" w:hAnsi="Times New Roman"/>
                <w:b/>
                <w:sz w:val="24"/>
              </w:rPr>
              <w:t>3</w:t>
            </w:r>
            <w:r>
              <w:rPr>
                <w:rFonts w:ascii="Times New Roman" w:hAnsi="Times New Roman"/>
                <w:b/>
                <w:bCs/>
                <w:sz w:val="24"/>
              </w:rPr>
              <w:t>、散射线（非主射方向外）</w:t>
            </w:r>
          </w:p>
          <w:p w14:paraId="1D40615F">
            <w:pPr>
              <w:adjustRightInd w:val="0"/>
              <w:snapToGrid w:val="0"/>
              <w:spacing w:line="360" w:lineRule="exact"/>
              <w:ind w:firstLine="480" w:firstLineChars="200"/>
              <w:rPr>
                <w:rFonts w:ascii="Times New Roman" w:hAnsi="Times New Roman"/>
                <w:sz w:val="24"/>
              </w:rPr>
            </w:pPr>
            <w:r>
              <w:rPr>
                <w:rFonts w:ascii="Times New Roman" w:hAnsi="Times New Roman"/>
                <w:sz w:val="24"/>
              </w:rPr>
              <w:t>根据《工业X射线探伤室辐射屏蔽规范》（GBZ/T 250-2014），散射辐射剂量率可根据下式（3）计算。</w:t>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9"/>
              <w:gridCol w:w="2948"/>
              <w:gridCol w:w="2978"/>
            </w:tblGrid>
            <w:tr w14:paraId="1A3E0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49" w:type="dxa"/>
                  <w:vAlign w:val="center"/>
                </w:tcPr>
                <w:p w14:paraId="49E43382">
                  <w:pPr>
                    <w:adjustRightInd w:val="0"/>
                    <w:snapToGrid w:val="0"/>
                    <w:ind w:firstLine="521"/>
                    <w:jc w:val="center"/>
                    <w:rPr>
                      <w:rFonts w:ascii="Times New Roman" w:hAnsi="Times New Roman"/>
                      <w:sz w:val="24"/>
                    </w:rPr>
                  </w:pPr>
                </w:p>
              </w:tc>
              <w:tc>
                <w:tcPr>
                  <w:tcW w:w="3049" w:type="dxa"/>
                  <w:vAlign w:val="center"/>
                </w:tcPr>
                <w:p w14:paraId="5298CC54">
                  <w:pPr>
                    <w:adjustRightInd w:val="0"/>
                    <w:snapToGrid w:val="0"/>
                    <w:ind w:firstLine="443"/>
                    <w:jc w:val="center"/>
                    <w:rPr>
                      <w:rFonts w:ascii="Times New Roman" w:hAnsi="Times New Roman"/>
                      <w:b/>
                      <w:szCs w:val="21"/>
                    </w:rPr>
                  </w:pPr>
                  <m:oMathPara>
                    <m:oMath>
                      <m:acc>
                        <m:accPr>
                          <m:chr m:val="̇"/>
                          <m:ctrlPr>
                            <w:rPr>
                              <w:rFonts w:ascii="Cambria Math" w:hAnsi="Cambria Math"/>
                              <w:b/>
                              <w:szCs w:val="21"/>
                            </w:rPr>
                          </m:ctrlPr>
                        </m:accPr>
                        <m:e>
                          <m:r>
                            <m:rPr>
                              <m:sty m:val="bi"/>
                            </m:rPr>
                            <w:rPr>
                              <w:rFonts w:ascii="Cambria Math" w:hAnsi="Cambria Math"/>
                              <w:szCs w:val="21"/>
                            </w:rPr>
                            <m:t>H</m:t>
                          </m:r>
                          <m:ctrlPr>
                            <w:rPr>
                              <w:rFonts w:ascii="Cambria Math" w:hAnsi="Cambria Math"/>
                              <w:b/>
                              <w:szCs w:val="21"/>
                            </w:rPr>
                          </m:ctrlPr>
                        </m:e>
                      </m:acc>
                      <m:r>
                        <m:rPr>
                          <m:sty m:val="bi"/>
                        </m:rPr>
                        <w:rPr>
                          <w:rFonts w:ascii="Cambria Math" w:hAnsi="Cambria Math"/>
                          <w:szCs w:val="21"/>
                        </w:rPr>
                        <m:t>=</m:t>
                      </m:r>
                      <m:f>
                        <m:fPr>
                          <m:ctrlPr>
                            <w:rPr>
                              <w:rFonts w:ascii="Cambria Math" w:hAnsi="Cambria Math"/>
                              <w:b/>
                              <w:i/>
                              <w:szCs w:val="21"/>
                            </w:rPr>
                          </m:ctrlPr>
                        </m:fPr>
                        <m:num>
                          <m:r>
                            <m:rPr>
                              <m:sty m:val="bi"/>
                            </m:rPr>
                            <w:rPr>
                              <w:rFonts w:ascii="Cambria Math" w:hAnsi="Cambria Math"/>
                              <w:szCs w:val="21"/>
                            </w:rPr>
                            <m:t>I∙</m:t>
                          </m:r>
                          <m:sSub>
                            <m:sSubPr>
                              <m:ctrlPr>
                                <w:rPr>
                                  <w:rFonts w:ascii="Cambria Math" w:hAnsi="Cambria Math"/>
                                  <w:b/>
                                  <w:i/>
                                  <w:szCs w:val="21"/>
                                </w:rPr>
                              </m:ctrlPr>
                            </m:sSubPr>
                            <m:e>
                              <m:r>
                                <m:rPr>
                                  <m:sty m:val="bi"/>
                                </m:rPr>
                                <w:rPr>
                                  <w:rFonts w:ascii="Cambria Math" w:hAnsi="Cambria Math"/>
                                  <w:szCs w:val="21"/>
                                </w:rPr>
                                <m:t>H</m:t>
                              </m:r>
                              <m:ctrlPr>
                                <w:rPr>
                                  <w:rFonts w:ascii="Cambria Math" w:hAnsi="Cambria Math"/>
                                  <w:b/>
                                  <w:i/>
                                  <w:szCs w:val="21"/>
                                </w:rPr>
                              </m:ctrlPr>
                            </m:e>
                            <m:sub>
                              <m:r>
                                <m:rPr>
                                  <m:sty m:val="bi"/>
                                </m:rPr>
                                <w:rPr>
                                  <w:rFonts w:ascii="Cambria Math" w:hAnsi="Cambria Math"/>
                                  <w:szCs w:val="21"/>
                                </w:rPr>
                                <m:t>0</m:t>
                              </m:r>
                              <m:ctrlPr>
                                <w:rPr>
                                  <w:rFonts w:ascii="Cambria Math" w:hAnsi="Cambria Math"/>
                                  <w:b/>
                                  <w:i/>
                                  <w:szCs w:val="21"/>
                                </w:rPr>
                              </m:ctrlPr>
                            </m:sub>
                          </m:sSub>
                          <m:r>
                            <m:rPr>
                              <m:sty m:val="bi"/>
                            </m:rPr>
                            <w:rPr>
                              <w:rFonts w:ascii="Cambria Math" w:hAnsi="Cambria Math"/>
                              <w:szCs w:val="21"/>
                            </w:rPr>
                            <m:t>∙B</m:t>
                          </m:r>
                          <m:ctrlPr>
                            <w:rPr>
                              <w:rFonts w:ascii="Cambria Math" w:hAnsi="Cambria Math"/>
                              <w:b/>
                              <w:i/>
                              <w:szCs w:val="21"/>
                            </w:rPr>
                          </m:ctrlPr>
                        </m:num>
                        <m:den>
                          <m:sSubSup>
                            <m:sSubSupPr>
                              <m:ctrlPr>
                                <w:rPr>
                                  <w:rFonts w:ascii="Cambria Math" w:hAnsi="Cambria Math"/>
                                  <w:b/>
                                  <w:i/>
                                  <w:szCs w:val="21"/>
                                </w:rPr>
                              </m:ctrlPr>
                            </m:sSubSupPr>
                            <m:e>
                              <m:r>
                                <m:rPr>
                                  <m:sty m:val="bi"/>
                                </m:rPr>
                                <w:rPr>
                                  <w:rFonts w:ascii="Cambria Math" w:hAnsi="Cambria Math"/>
                                  <w:szCs w:val="21"/>
                                </w:rPr>
                                <m:t>R</m:t>
                              </m:r>
                              <m:ctrlPr>
                                <w:rPr>
                                  <w:rFonts w:ascii="Cambria Math" w:hAnsi="Cambria Math"/>
                                  <w:b/>
                                  <w:i/>
                                  <w:szCs w:val="21"/>
                                </w:rPr>
                              </m:ctrlPr>
                            </m:e>
                            <m:sub>
                              <m:r>
                                <m:rPr>
                                  <m:sty m:val="bi"/>
                                </m:rPr>
                                <w:rPr>
                                  <w:rFonts w:ascii="Cambria Math" w:hAnsi="Cambria Math"/>
                                  <w:szCs w:val="21"/>
                                </w:rPr>
                                <m:t>s</m:t>
                              </m:r>
                              <m:ctrlPr>
                                <w:rPr>
                                  <w:rFonts w:ascii="Cambria Math" w:hAnsi="Cambria Math"/>
                                  <w:b/>
                                  <w:i/>
                                  <w:szCs w:val="21"/>
                                </w:rPr>
                              </m:ctrlPr>
                            </m:sub>
                            <m:sup>
                              <m:r>
                                <m:rPr>
                                  <m:sty m:val="bi"/>
                                </m:rPr>
                                <w:rPr>
                                  <w:rFonts w:ascii="Cambria Math" w:hAnsi="Cambria Math"/>
                                  <w:szCs w:val="21"/>
                                </w:rPr>
                                <m:t>2</m:t>
                              </m:r>
                              <m:ctrlPr>
                                <w:rPr>
                                  <w:rFonts w:ascii="Cambria Math" w:hAnsi="Cambria Math"/>
                                  <w:b/>
                                  <w:i/>
                                  <w:szCs w:val="21"/>
                                </w:rPr>
                              </m:ctrlPr>
                            </m:sup>
                          </m:sSubSup>
                          <m:ctrlPr>
                            <w:rPr>
                              <w:rFonts w:ascii="Cambria Math" w:hAnsi="Cambria Math"/>
                              <w:b/>
                              <w:i/>
                              <w:szCs w:val="21"/>
                            </w:rPr>
                          </m:ctrlPr>
                        </m:den>
                      </m:f>
                      <m:r>
                        <m:rPr>
                          <m:sty m:val="bi"/>
                        </m:rPr>
                        <w:rPr>
                          <w:rFonts w:ascii="Cambria Math" w:hAnsi="Cambria Math"/>
                          <w:szCs w:val="21"/>
                        </w:rPr>
                        <m:t>∙</m:t>
                      </m:r>
                      <m:f>
                        <m:fPr>
                          <m:ctrlPr>
                            <w:rPr>
                              <w:rFonts w:ascii="Cambria Math" w:hAnsi="Cambria Math"/>
                              <w:b/>
                              <w:i/>
                              <w:szCs w:val="21"/>
                            </w:rPr>
                          </m:ctrlPr>
                        </m:fPr>
                        <m:num>
                          <m:r>
                            <m:rPr>
                              <m:sty m:val="bi"/>
                            </m:rPr>
                            <w:rPr>
                              <w:rFonts w:ascii="Cambria Math" w:hAnsi="Cambria Math"/>
                              <w:szCs w:val="21"/>
                            </w:rPr>
                            <m:t>F∙α</m:t>
                          </m:r>
                          <m:ctrlPr>
                            <w:rPr>
                              <w:rFonts w:ascii="Cambria Math" w:hAnsi="Cambria Math"/>
                              <w:b/>
                              <w:i/>
                              <w:szCs w:val="21"/>
                            </w:rPr>
                          </m:ctrlPr>
                        </m:num>
                        <m:den>
                          <m:sSubSup>
                            <m:sSubSupPr>
                              <m:ctrlPr>
                                <w:rPr>
                                  <w:rFonts w:ascii="Cambria Math" w:hAnsi="Cambria Math"/>
                                  <w:b/>
                                  <w:i/>
                                  <w:szCs w:val="21"/>
                                </w:rPr>
                              </m:ctrlPr>
                            </m:sSubSupPr>
                            <m:e>
                              <m:r>
                                <m:rPr>
                                  <m:sty m:val="bi"/>
                                </m:rPr>
                                <w:rPr>
                                  <w:rFonts w:ascii="Cambria Math" w:hAnsi="Cambria Math"/>
                                  <w:szCs w:val="21"/>
                                </w:rPr>
                                <m:t>R</m:t>
                              </m:r>
                              <m:ctrlPr>
                                <w:rPr>
                                  <w:rFonts w:ascii="Cambria Math" w:hAnsi="Cambria Math"/>
                                  <w:b/>
                                  <w:i/>
                                  <w:szCs w:val="21"/>
                                </w:rPr>
                              </m:ctrlPr>
                            </m:e>
                            <m:sub>
                              <m:r>
                                <m:rPr>
                                  <m:sty m:val="bi"/>
                                </m:rPr>
                                <w:rPr>
                                  <w:rFonts w:ascii="Cambria Math" w:hAnsi="Cambria Math"/>
                                  <w:szCs w:val="21"/>
                                </w:rPr>
                                <m:t>0</m:t>
                              </m:r>
                              <m:ctrlPr>
                                <w:rPr>
                                  <w:rFonts w:ascii="Cambria Math" w:hAnsi="Cambria Math"/>
                                  <w:b/>
                                  <w:i/>
                                  <w:szCs w:val="21"/>
                                </w:rPr>
                              </m:ctrlPr>
                            </m:sub>
                            <m:sup>
                              <m:r>
                                <m:rPr>
                                  <m:sty m:val="bi"/>
                                </m:rPr>
                                <w:rPr>
                                  <w:rFonts w:ascii="Cambria Math" w:hAnsi="Cambria Math"/>
                                  <w:szCs w:val="21"/>
                                </w:rPr>
                                <m:t>2</m:t>
                              </m:r>
                              <m:ctrlPr>
                                <w:rPr>
                                  <w:rFonts w:ascii="Cambria Math" w:hAnsi="Cambria Math"/>
                                  <w:b/>
                                  <w:i/>
                                  <w:szCs w:val="21"/>
                                </w:rPr>
                              </m:ctrlPr>
                            </m:sup>
                          </m:sSubSup>
                          <m:ctrlPr>
                            <w:rPr>
                              <w:rFonts w:ascii="Cambria Math" w:hAnsi="Cambria Math"/>
                              <w:b/>
                              <w:i/>
                              <w:szCs w:val="21"/>
                            </w:rPr>
                          </m:ctrlPr>
                        </m:den>
                      </m:f>
                    </m:oMath>
                  </m:oMathPara>
                </w:p>
              </w:tc>
              <w:tc>
                <w:tcPr>
                  <w:tcW w:w="3050" w:type="dxa"/>
                  <w:vAlign w:val="center"/>
                </w:tcPr>
                <w:p w14:paraId="4AE3A501">
                  <w:pPr>
                    <w:adjustRightInd w:val="0"/>
                    <w:snapToGrid w:val="0"/>
                    <w:ind w:firstLine="521"/>
                    <w:jc w:val="right"/>
                    <w:rPr>
                      <w:rFonts w:ascii="Times New Roman" w:hAnsi="Times New Roman"/>
                      <w:sz w:val="24"/>
                    </w:rPr>
                  </w:pPr>
                  <w:r>
                    <w:rPr>
                      <w:rFonts w:ascii="Times New Roman" w:hAnsi="Times New Roman"/>
                      <w:sz w:val="24"/>
                    </w:rPr>
                    <w:t>（3）</w:t>
                  </w:r>
                </w:p>
              </w:tc>
            </w:tr>
          </w:tbl>
          <w:p w14:paraId="5880055A">
            <w:pPr>
              <w:adjustRightInd w:val="0"/>
              <w:snapToGrid w:val="0"/>
              <w:spacing w:line="360" w:lineRule="auto"/>
              <w:ind w:firstLine="480" w:firstLineChars="200"/>
              <w:rPr>
                <w:rFonts w:ascii="Times New Roman" w:hAnsi="Times New Roman"/>
                <w:sz w:val="24"/>
              </w:rPr>
            </w:pPr>
            <w:r>
              <w:rPr>
                <w:rFonts w:ascii="Times New Roman" w:hAnsi="Times New Roman"/>
                <w:sz w:val="24"/>
              </w:rPr>
              <w:t>式中：</w:t>
            </w:r>
          </w:p>
          <w:p w14:paraId="425A2416">
            <w:pPr>
              <w:adjustRightInd w:val="0"/>
              <w:snapToGrid w:val="0"/>
              <w:spacing w:line="360" w:lineRule="auto"/>
              <w:ind w:firstLine="480" w:firstLineChars="200"/>
              <w:rPr>
                <w:rFonts w:ascii="Times New Roman" w:hAnsi="Times New Roman"/>
                <w:sz w:val="24"/>
              </w:rPr>
            </w:pPr>
            <w:r>
              <w:rPr>
                <w:rFonts w:ascii="Times New Roman" w:hAnsi="Times New Roman"/>
                <w:sz w:val="24"/>
              </w:rPr>
              <w:t>I —X射线探伤机在最高管电压下的常用最大管电流，mA，本项目5台探伤机的管电流最大均为5mA；</w:t>
            </w:r>
          </w:p>
          <w:p w14:paraId="17274A65">
            <w:pPr>
              <w:adjustRightInd w:val="0"/>
              <w:snapToGrid w:val="0"/>
              <w:spacing w:line="360" w:lineRule="auto"/>
              <w:ind w:firstLine="480" w:firstLineChars="200"/>
              <w:rPr>
                <w:rFonts w:ascii="Times New Roman" w:hAnsi="Times New Roman"/>
                <w:sz w:val="24"/>
              </w:rPr>
            </w:pPr>
            <w:r>
              <w:rPr>
                <w:rFonts w:ascii="Times New Roman" w:hAnsi="Times New Roman"/>
                <w:sz w:val="24"/>
              </w:rPr>
              <w:t>H</w:t>
            </w:r>
            <w:r>
              <w:rPr>
                <w:rFonts w:ascii="Times New Roman" w:hAnsi="Times New Roman"/>
                <w:sz w:val="24"/>
                <w:vertAlign w:val="subscript"/>
              </w:rPr>
              <w:t xml:space="preserve">0 </w:t>
            </w:r>
            <w:r>
              <w:rPr>
                <w:rFonts w:ascii="Times New Roman" w:hAnsi="Times New Roman"/>
                <w:sz w:val="24"/>
              </w:rPr>
              <w:t>—距辐射源点（靶点）1m处输出量，μSv·m</w:t>
            </w:r>
            <w:r>
              <w:rPr>
                <w:rFonts w:ascii="Times New Roman" w:hAnsi="Times New Roman"/>
                <w:sz w:val="24"/>
                <w:vertAlign w:val="superscript"/>
              </w:rPr>
              <w:t>2</w:t>
            </w:r>
            <w:r>
              <w:rPr>
                <w:rFonts w:ascii="Times New Roman" w:hAnsi="Times New Roman"/>
                <w:sz w:val="24"/>
              </w:rPr>
              <w:t>/(mA·h)，以mSv·m</w:t>
            </w:r>
            <w:r>
              <w:rPr>
                <w:rFonts w:ascii="Times New Roman" w:hAnsi="Times New Roman"/>
                <w:sz w:val="24"/>
                <w:vertAlign w:val="superscript"/>
              </w:rPr>
              <w:t>2</w:t>
            </w:r>
            <w:r>
              <w:rPr>
                <w:rFonts w:ascii="Times New Roman" w:hAnsi="Times New Roman"/>
                <w:sz w:val="24"/>
              </w:rPr>
              <w:t>/（mA·min）为单位的值乘以6×10</w:t>
            </w:r>
            <w:r>
              <w:rPr>
                <w:rFonts w:ascii="Times New Roman" w:hAnsi="Times New Roman"/>
                <w:sz w:val="24"/>
                <w:vertAlign w:val="superscript"/>
              </w:rPr>
              <w:t>4</w:t>
            </w:r>
            <w:r>
              <w:rPr>
                <w:rFonts w:ascii="Times New Roman" w:hAnsi="Times New Roman"/>
                <w:sz w:val="24"/>
              </w:rPr>
              <w:t>，本项目探伤机过滤片材料均按偏保守考虑，参考《工业X射线探伤室辐射屏蔽规范》（GBZ/T 250-2014，表B.1），本项目XT3005D型定向探伤机取滤过条件3mm铝的输出量20.9mGy·m</w:t>
            </w:r>
            <w:r>
              <w:rPr>
                <w:rFonts w:ascii="Times New Roman" w:hAnsi="Times New Roman"/>
                <w:sz w:val="24"/>
                <w:vertAlign w:val="superscript"/>
              </w:rPr>
              <w:t>2</w:t>
            </w:r>
            <w:r>
              <w:rPr>
                <w:rFonts w:ascii="Times New Roman" w:hAnsi="Times New Roman"/>
                <w:sz w:val="24"/>
              </w:rPr>
              <w:t>·mA</w:t>
            </w:r>
            <w:r>
              <w:rPr>
                <w:rFonts w:ascii="Times New Roman" w:hAnsi="Times New Roman"/>
                <w:sz w:val="24"/>
                <w:vertAlign w:val="superscript"/>
              </w:rPr>
              <w:t>-1</w:t>
            </w:r>
            <w:r>
              <w:rPr>
                <w:rFonts w:ascii="Times New Roman" w:hAnsi="Times New Roman"/>
                <w:sz w:val="24"/>
              </w:rPr>
              <w:t>min</w:t>
            </w:r>
            <w:r>
              <w:rPr>
                <w:rFonts w:ascii="Times New Roman" w:hAnsi="Times New Roman"/>
                <w:sz w:val="24"/>
                <w:vertAlign w:val="superscript"/>
              </w:rPr>
              <w:t>-1</w:t>
            </w:r>
            <w:r>
              <w:rPr>
                <w:rFonts w:ascii="Times New Roman" w:hAnsi="Times New Roman"/>
                <w:sz w:val="24"/>
              </w:rPr>
              <w:t>；XT2505D型定向探伤机取滤过条件0.5mm铜的输出量16.5mGy·m</w:t>
            </w:r>
            <w:r>
              <w:rPr>
                <w:rFonts w:ascii="Times New Roman" w:hAnsi="Times New Roman"/>
                <w:sz w:val="24"/>
                <w:vertAlign w:val="superscript"/>
              </w:rPr>
              <w:t>2</w:t>
            </w:r>
            <w:r>
              <w:rPr>
                <w:rFonts w:ascii="Times New Roman" w:hAnsi="Times New Roman"/>
                <w:sz w:val="24"/>
              </w:rPr>
              <w:t>·mA</w:t>
            </w:r>
            <w:r>
              <w:rPr>
                <w:rFonts w:ascii="Times New Roman" w:hAnsi="Times New Roman"/>
                <w:sz w:val="24"/>
                <w:vertAlign w:val="superscript"/>
              </w:rPr>
              <w:t>-1</w:t>
            </w:r>
            <w:r>
              <w:rPr>
                <w:rFonts w:ascii="Times New Roman" w:hAnsi="Times New Roman"/>
                <w:sz w:val="24"/>
              </w:rPr>
              <w:t>min</w:t>
            </w:r>
            <w:r>
              <w:rPr>
                <w:rFonts w:ascii="Times New Roman" w:hAnsi="Times New Roman"/>
                <w:sz w:val="24"/>
                <w:vertAlign w:val="superscript"/>
              </w:rPr>
              <w:t>-1</w:t>
            </w:r>
            <w:r>
              <w:rPr>
                <w:rFonts w:ascii="Times New Roman" w:hAnsi="Times New Roman"/>
                <w:sz w:val="24"/>
              </w:rPr>
              <w:t>；XXH2005C型周向探伤机取滤过条件2mm铝的输出量28.7mGy·m</w:t>
            </w:r>
            <w:r>
              <w:rPr>
                <w:rFonts w:ascii="Times New Roman" w:hAnsi="Times New Roman"/>
                <w:sz w:val="24"/>
                <w:vertAlign w:val="superscript"/>
              </w:rPr>
              <w:t>2</w:t>
            </w:r>
            <w:r>
              <w:rPr>
                <w:rFonts w:ascii="Times New Roman" w:hAnsi="Times New Roman"/>
                <w:sz w:val="24"/>
              </w:rPr>
              <w:t>·mA</w:t>
            </w:r>
            <w:r>
              <w:rPr>
                <w:rFonts w:ascii="Times New Roman" w:hAnsi="Times New Roman"/>
                <w:sz w:val="24"/>
                <w:vertAlign w:val="superscript"/>
              </w:rPr>
              <w:t>-1</w:t>
            </w:r>
            <w:r>
              <w:rPr>
                <w:rFonts w:ascii="Times New Roman" w:hAnsi="Times New Roman"/>
                <w:sz w:val="24"/>
              </w:rPr>
              <w:t>min</w:t>
            </w:r>
            <w:r>
              <w:rPr>
                <w:rFonts w:ascii="Times New Roman" w:hAnsi="Times New Roman"/>
                <w:sz w:val="24"/>
                <w:vertAlign w:val="superscript"/>
              </w:rPr>
              <w:t>-1</w:t>
            </w:r>
            <w:r>
              <w:rPr>
                <w:rFonts w:ascii="Times New Roman" w:hAnsi="Times New Roman"/>
                <w:sz w:val="24"/>
              </w:rPr>
              <w:t>；XT1605D型定向探伤机保守取滤过条件2mm铝的输出量28.7mGy·m</w:t>
            </w:r>
            <w:r>
              <w:rPr>
                <w:rFonts w:ascii="Times New Roman" w:hAnsi="Times New Roman"/>
                <w:sz w:val="24"/>
                <w:vertAlign w:val="superscript"/>
              </w:rPr>
              <w:t>2</w:t>
            </w:r>
            <w:r>
              <w:rPr>
                <w:rFonts w:ascii="Times New Roman" w:hAnsi="Times New Roman"/>
                <w:sz w:val="24"/>
              </w:rPr>
              <w:t>·mA</w:t>
            </w:r>
            <w:r>
              <w:rPr>
                <w:rFonts w:ascii="Times New Roman" w:hAnsi="Times New Roman"/>
                <w:sz w:val="24"/>
                <w:vertAlign w:val="superscript"/>
              </w:rPr>
              <w:t>-1</w:t>
            </w:r>
            <w:r>
              <w:rPr>
                <w:rFonts w:ascii="Times New Roman" w:hAnsi="Times New Roman"/>
                <w:sz w:val="24"/>
              </w:rPr>
              <w:t>min</w:t>
            </w:r>
            <w:r>
              <w:rPr>
                <w:rFonts w:ascii="Times New Roman" w:hAnsi="Times New Roman"/>
                <w:sz w:val="24"/>
                <w:vertAlign w:val="superscript"/>
              </w:rPr>
              <w:t>-1</w:t>
            </w:r>
            <w:r>
              <w:rPr>
                <w:rFonts w:ascii="Times New Roman" w:hAnsi="Times New Roman"/>
                <w:sz w:val="24"/>
              </w:rPr>
              <w:t>；</w:t>
            </w:r>
          </w:p>
          <w:p w14:paraId="595DB578">
            <w:pPr>
              <w:tabs>
                <w:tab w:val="left" w:pos="3410"/>
              </w:tabs>
              <w:adjustRightInd w:val="0"/>
              <w:snapToGrid w:val="0"/>
              <w:spacing w:line="360" w:lineRule="auto"/>
              <w:ind w:firstLine="480" w:firstLineChars="200"/>
              <w:rPr>
                <w:rFonts w:ascii="Times New Roman" w:hAnsi="Times New Roman"/>
                <w:sz w:val="24"/>
              </w:rPr>
            </w:pPr>
            <w:r>
              <w:rPr>
                <w:rFonts w:ascii="Times New Roman" w:hAnsi="Times New Roman"/>
                <w:sz w:val="24"/>
              </w:rPr>
              <w:t>B —屏蔽透射因子；</w:t>
            </w:r>
          </w:p>
          <w:p w14:paraId="7B079FF2">
            <w:pPr>
              <w:adjustRightInd w:val="0"/>
              <w:snapToGrid w:val="0"/>
              <w:spacing w:line="360" w:lineRule="auto"/>
              <w:ind w:firstLine="480" w:firstLineChars="200"/>
              <w:rPr>
                <w:rFonts w:ascii="Times New Roman" w:hAnsi="Times New Roman"/>
                <w:sz w:val="24"/>
              </w:rPr>
            </w:pPr>
            <w:r>
              <w:rPr>
                <w:rFonts w:ascii="Times New Roman" w:hAnsi="Times New Roman"/>
                <w:sz w:val="24"/>
              </w:rPr>
              <w:t>F —R</w:t>
            </w:r>
            <w:r>
              <w:rPr>
                <w:rFonts w:ascii="Times New Roman" w:hAnsi="Times New Roman"/>
                <w:sz w:val="24"/>
                <w:vertAlign w:val="subscript"/>
              </w:rPr>
              <w:t>0</w:t>
            </w:r>
            <w:r>
              <w:rPr>
                <w:rFonts w:ascii="Times New Roman" w:hAnsi="Times New Roman"/>
                <w:sz w:val="24"/>
              </w:rPr>
              <w:t>处的辐射野面积，m</w:t>
            </w:r>
            <w:r>
              <w:rPr>
                <w:rFonts w:ascii="Times New Roman" w:hAnsi="Times New Roman"/>
                <w:sz w:val="24"/>
                <w:vertAlign w:val="superscript"/>
              </w:rPr>
              <w:t>2</w:t>
            </w:r>
            <w:r>
              <w:rPr>
                <w:rFonts w:ascii="Times New Roman" w:hAnsi="Times New Roman"/>
                <w:sz w:val="24"/>
              </w:rPr>
              <w:t>；</w:t>
            </w:r>
          </w:p>
          <w:p w14:paraId="6E900192">
            <w:pPr>
              <w:adjustRightInd w:val="0"/>
              <w:snapToGrid w:val="0"/>
              <w:spacing w:line="360" w:lineRule="auto"/>
              <w:ind w:firstLine="480" w:firstLineChars="200"/>
              <w:rPr>
                <w:rFonts w:ascii="Times New Roman" w:hAnsi="Times New Roman"/>
                <w:sz w:val="24"/>
              </w:rPr>
            </w:pPr>
            <w:r>
              <w:rPr>
                <w:rFonts w:ascii="Times New Roman" w:hAnsi="Times New Roman"/>
                <w:sz w:val="24"/>
              </w:rPr>
              <w:t>R</w:t>
            </w:r>
            <w:r>
              <w:rPr>
                <w:rFonts w:ascii="Times New Roman" w:hAnsi="Times New Roman"/>
                <w:sz w:val="24"/>
                <w:vertAlign w:val="subscript"/>
              </w:rPr>
              <w:t xml:space="preserve">0 </w:t>
            </w:r>
            <w:r>
              <w:rPr>
                <w:rFonts w:ascii="Times New Roman" w:hAnsi="Times New Roman"/>
                <w:sz w:val="24"/>
              </w:rPr>
              <w:t>—辐射源点（靶点）至探伤工件的距离，</w:t>
            </w:r>
            <w:r>
              <w:rPr>
                <w:rFonts w:ascii="Times New Roman" w:hAnsi="Times New Roman"/>
              </w:rPr>
              <w:t>均取0.5</w:t>
            </w:r>
            <w:r>
              <w:rPr>
                <w:rFonts w:ascii="Times New Roman" w:hAnsi="Times New Roman"/>
                <w:sz w:val="24"/>
              </w:rPr>
              <w:t>m；</w:t>
            </w:r>
          </w:p>
          <w:p w14:paraId="25992538">
            <w:pPr>
              <w:adjustRightInd w:val="0"/>
              <w:snapToGrid w:val="0"/>
              <w:spacing w:line="360" w:lineRule="auto"/>
              <w:ind w:firstLine="480" w:firstLineChars="200"/>
              <w:rPr>
                <w:rFonts w:ascii="Times New Roman" w:hAnsi="Times New Roman"/>
                <w:sz w:val="24"/>
              </w:rPr>
            </w:pPr>
            <w:r>
              <w:rPr>
                <w:rFonts w:ascii="Times New Roman" w:hAnsi="Times New Roman"/>
                <w:sz w:val="24"/>
              </w:rPr>
              <w:t>R</w:t>
            </w:r>
            <w:r>
              <w:rPr>
                <w:rFonts w:ascii="Times New Roman" w:hAnsi="Times New Roman"/>
                <w:sz w:val="24"/>
                <w:vertAlign w:val="subscript"/>
              </w:rPr>
              <w:t xml:space="preserve">S </w:t>
            </w:r>
            <w:r>
              <w:rPr>
                <w:rFonts w:ascii="Times New Roman" w:hAnsi="Times New Roman"/>
                <w:sz w:val="24"/>
              </w:rPr>
              <w:t>—散射体至关注点的距离，m。</w:t>
            </w:r>
          </w:p>
          <w:p w14:paraId="7F358D76">
            <w:pPr>
              <w:adjustRightInd w:val="0"/>
              <w:snapToGrid w:val="0"/>
              <w:spacing w:line="360" w:lineRule="auto"/>
              <w:ind w:firstLine="420" w:firstLineChars="200"/>
              <w:rPr>
                <w:rFonts w:ascii="Times New Roman" w:hAnsi="Times New Roman"/>
                <w:sz w:val="24"/>
              </w:rPr>
            </w:pPr>
            <w:r>
              <w:rPr>
                <w:rFonts w:ascii="Times New Roman" w:hAnsi="Times New Roman"/>
              </w:rPr>
              <w:t>α— 散射因子，</w:t>
            </w:r>
            <w:r>
              <w:rPr>
                <w:rFonts w:ascii="Times New Roman" w:hAnsi="Times New Roman"/>
                <w:sz w:val="24"/>
              </w:rPr>
              <w:t>可保守取值为αw·10000/400，αw保守取1.9×10</w:t>
            </w:r>
            <w:r>
              <w:rPr>
                <w:rFonts w:ascii="Times New Roman" w:hAnsi="Times New Roman"/>
                <w:sz w:val="24"/>
                <w:vertAlign w:val="superscript"/>
              </w:rPr>
              <w:t>-3</w:t>
            </w:r>
            <w:r>
              <w:rPr>
                <w:rFonts w:ascii="Times New Roman" w:hAnsi="Times New Roman"/>
                <w:sz w:val="24"/>
              </w:rPr>
              <w:t>，见GBZ/T 250-2014附录B中表B.3，R</w:t>
            </w:r>
            <w:r>
              <w:rPr>
                <w:rFonts w:ascii="Times New Roman" w:hAnsi="Times New Roman"/>
                <w:sz w:val="24"/>
                <w:vertAlign w:val="subscript"/>
              </w:rPr>
              <w:t>0</w:t>
            </w:r>
            <w:r>
              <w:rPr>
                <w:rFonts w:ascii="Times New Roman" w:hAnsi="Times New Roman"/>
                <w:sz w:val="24"/>
                <w:vertAlign w:val="superscript"/>
              </w:rPr>
              <w:t>2</w:t>
            </w:r>
            <w:r>
              <w:rPr>
                <w:rFonts w:ascii="Times New Roman" w:hAnsi="Times New Roman"/>
                <w:sz w:val="24"/>
              </w:rPr>
              <w:t>/(F·α)—当X射线探伤装置圆锥束中心轴和圆锥边界的夹角为20°时，取值为50；经过工件一次散射后，根据《工业X射线探伤室辐射屏蔽规范》（GBZ/T 250-2014）表2，对应的X射线能量见表11-3。</w:t>
            </w:r>
          </w:p>
          <w:p w14:paraId="4480E9F1">
            <w:pPr>
              <w:adjustRightInd w:val="0"/>
              <w:snapToGrid w:val="0"/>
              <w:jc w:val="center"/>
              <w:rPr>
                <w:rFonts w:ascii="Times New Roman" w:hAnsi="Times New Roman"/>
                <w:b/>
                <w:bCs/>
              </w:rPr>
            </w:pPr>
            <w:r>
              <w:rPr>
                <w:rFonts w:ascii="Times New Roman" w:hAnsi="Times New Roman"/>
                <w:b/>
                <w:bCs/>
              </w:rPr>
              <w:t>表</w:t>
            </w:r>
            <w:r>
              <w:rPr>
                <w:rFonts w:ascii="Times New Roman" w:hAnsi="Times New Roman"/>
                <w:b/>
              </w:rPr>
              <w:t>11-3 X</w:t>
            </w:r>
            <w:r>
              <w:rPr>
                <w:rFonts w:ascii="Times New Roman" w:hAnsi="Times New Roman"/>
                <w:b/>
                <w:bCs/>
              </w:rPr>
              <w:t>射线</w:t>
            </w:r>
            <w:r>
              <w:rPr>
                <w:rFonts w:ascii="Times New Roman" w:hAnsi="Times New Roman"/>
                <w:b/>
              </w:rPr>
              <w:t>90°</w:t>
            </w:r>
            <w:r>
              <w:rPr>
                <w:rFonts w:ascii="Times New Roman" w:hAnsi="Times New Roman"/>
                <w:b/>
                <w:bCs/>
              </w:rPr>
              <w:t>散射辐射最高能量相应的</w:t>
            </w:r>
            <w:r>
              <w:rPr>
                <w:rFonts w:ascii="Times New Roman" w:hAnsi="Times New Roman"/>
                <w:b/>
              </w:rPr>
              <w:t>kV</w:t>
            </w:r>
            <w:r>
              <w:rPr>
                <w:rFonts w:ascii="Times New Roman" w:hAnsi="Times New Roman"/>
                <w:b/>
                <w:bCs/>
              </w:rPr>
              <w:t>值</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18"/>
            </w:tblGrid>
            <w:tr w14:paraId="5349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209BA8FB">
                  <w:pPr>
                    <w:pStyle w:val="2"/>
                    <w:spacing w:after="0"/>
                    <w:ind w:left="0" w:leftChars="0" w:firstLine="0" w:firstLineChars="0"/>
                    <w:jc w:val="center"/>
                  </w:pPr>
                  <w:r>
                    <w:rPr>
                      <w:b/>
                      <w:bCs/>
                      <w:szCs w:val="21"/>
                    </w:rPr>
                    <w:t>原始</w:t>
                  </w:r>
                  <w:r>
                    <w:rPr>
                      <w:szCs w:val="21"/>
                    </w:rPr>
                    <w:t>X</w:t>
                  </w:r>
                  <w:r>
                    <w:rPr>
                      <w:b/>
                      <w:bCs/>
                      <w:szCs w:val="21"/>
                    </w:rPr>
                    <w:t>射线（</w:t>
                  </w:r>
                  <w:r>
                    <w:rPr>
                      <w:szCs w:val="21"/>
                    </w:rPr>
                    <w:t>kV</w:t>
                  </w:r>
                  <w:r>
                    <w:rPr>
                      <w:b/>
                      <w:bCs/>
                      <w:szCs w:val="21"/>
                    </w:rPr>
                    <w:t>）</w:t>
                  </w:r>
                </w:p>
              </w:tc>
              <w:tc>
                <w:tcPr>
                  <w:tcW w:w="4418" w:type="dxa"/>
                </w:tcPr>
                <w:p w14:paraId="0EAE6447">
                  <w:pPr>
                    <w:pStyle w:val="2"/>
                    <w:spacing w:after="0"/>
                    <w:ind w:left="0" w:leftChars="0" w:firstLine="0" w:firstLineChars="0"/>
                    <w:jc w:val="center"/>
                  </w:pPr>
                  <w:r>
                    <w:rPr>
                      <w:b/>
                      <w:bCs/>
                      <w:szCs w:val="21"/>
                    </w:rPr>
                    <w:t>散射辐射（</w:t>
                  </w:r>
                  <w:r>
                    <w:rPr>
                      <w:szCs w:val="21"/>
                    </w:rPr>
                    <w:t>kV</w:t>
                  </w:r>
                  <w:r>
                    <w:rPr>
                      <w:b/>
                      <w:bCs/>
                      <w:szCs w:val="21"/>
                    </w:rPr>
                    <w:t>）</w:t>
                  </w:r>
                </w:p>
              </w:tc>
            </w:tr>
            <w:tr w14:paraId="0759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4BE60B9E">
                  <w:pPr>
                    <w:pStyle w:val="2"/>
                    <w:spacing w:after="0"/>
                    <w:ind w:left="0" w:leftChars="0" w:firstLine="0" w:firstLineChars="0"/>
                    <w:jc w:val="center"/>
                    <w:rPr>
                      <w:szCs w:val="21"/>
                    </w:rPr>
                  </w:pPr>
                  <w:r>
                    <w:rPr>
                      <w:szCs w:val="21"/>
                    </w:rPr>
                    <w:t>150＜kV≤200</w:t>
                  </w:r>
                </w:p>
              </w:tc>
              <w:tc>
                <w:tcPr>
                  <w:tcW w:w="4418" w:type="dxa"/>
                </w:tcPr>
                <w:p w14:paraId="53588E54">
                  <w:pPr>
                    <w:pStyle w:val="2"/>
                    <w:spacing w:after="0"/>
                    <w:ind w:left="0" w:leftChars="0" w:firstLine="0" w:firstLineChars="0"/>
                    <w:jc w:val="center"/>
                  </w:pPr>
                  <w:r>
                    <w:t>150</w:t>
                  </w:r>
                </w:p>
              </w:tc>
            </w:tr>
            <w:tr w14:paraId="3397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7FA8A7F5">
                  <w:pPr>
                    <w:pStyle w:val="2"/>
                    <w:spacing w:after="0"/>
                    <w:ind w:left="0" w:leftChars="0" w:firstLine="0" w:firstLineChars="0"/>
                    <w:jc w:val="center"/>
                  </w:pPr>
                  <w:r>
                    <w:rPr>
                      <w:szCs w:val="21"/>
                    </w:rPr>
                    <w:t>200＜kV≤300</w:t>
                  </w:r>
                </w:p>
              </w:tc>
              <w:tc>
                <w:tcPr>
                  <w:tcW w:w="4418" w:type="dxa"/>
                </w:tcPr>
                <w:p w14:paraId="044058B2">
                  <w:pPr>
                    <w:pStyle w:val="2"/>
                    <w:spacing w:after="0"/>
                    <w:ind w:left="0" w:leftChars="0" w:firstLine="0" w:firstLineChars="0"/>
                    <w:jc w:val="center"/>
                  </w:pPr>
                  <w:r>
                    <w:t>200</w:t>
                  </w:r>
                </w:p>
              </w:tc>
            </w:tr>
          </w:tbl>
          <w:p w14:paraId="3B450045">
            <w:pPr>
              <w:pStyle w:val="2"/>
              <w:spacing w:after="0" w:line="360" w:lineRule="exact"/>
              <w:ind w:left="0" w:leftChars="0"/>
              <w:jc w:val="left"/>
            </w:pPr>
            <w:r>
              <w:t>根据（式4）、（式5）所述，计算结果见下表：</w:t>
            </w:r>
          </w:p>
          <w:p w14:paraId="02FBC4E3">
            <w:pPr>
              <w:pStyle w:val="2"/>
              <w:spacing w:after="0" w:line="360" w:lineRule="exact"/>
              <w:ind w:left="0" w:leftChars="0" w:firstLine="0" w:firstLineChars="0"/>
              <w:jc w:val="center"/>
            </w:pPr>
            <w:r>
              <w:rPr>
                <w:b/>
                <w:bCs/>
              </w:rPr>
              <w:t>表</w:t>
            </w:r>
            <w:r>
              <w:t xml:space="preserve">11-4 </w:t>
            </w:r>
            <w:r>
              <w:rPr>
                <w:b/>
                <w:bCs/>
              </w:rPr>
              <w:t>不同距离非主射方向空气吸收剂量计算表（无铅屏风）（</w:t>
            </w:r>
            <w:r>
              <w:t>μSv/h</w:t>
            </w:r>
            <w:r>
              <w:rPr>
                <w:b/>
                <w:bCs/>
              </w:rPr>
              <w:t>）</w:t>
            </w:r>
          </w:p>
          <w:tbl>
            <w:tblPr>
              <w:tblStyle w:val="37"/>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794"/>
              <w:gridCol w:w="899"/>
              <w:gridCol w:w="969"/>
              <w:gridCol w:w="794"/>
              <w:gridCol w:w="899"/>
              <w:gridCol w:w="969"/>
              <w:gridCol w:w="794"/>
              <w:gridCol w:w="935"/>
              <w:gridCol w:w="981"/>
            </w:tblGrid>
            <w:tr w14:paraId="73C7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0FBCF71C">
                  <w:pPr>
                    <w:pStyle w:val="2"/>
                    <w:spacing w:after="0"/>
                    <w:ind w:left="0" w:leftChars="0" w:firstLine="0" w:firstLineChars="0"/>
                    <w:jc w:val="center"/>
                    <w:rPr>
                      <w:szCs w:val="21"/>
                    </w:rPr>
                  </w:pPr>
                  <w:r>
                    <w:rPr>
                      <w:b/>
                      <w:bCs/>
                      <w:szCs w:val="21"/>
                    </w:rPr>
                    <w:t>距射线靶的距离（</w:t>
                  </w:r>
                  <w:r>
                    <w:rPr>
                      <w:szCs w:val="21"/>
                    </w:rPr>
                    <w:t>m</w:t>
                  </w:r>
                  <w:r>
                    <w:rPr>
                      <w:b/>
                      <w:bCs/>
                      <w:szCs w:val="21"/>
                    </w:rPr>
                    <w:t>）</w:t>
                  </w:r>
                </w:p>
              </w:tc>
              <w:tc>
                <w:tcPr>
                  <w:tcW w:w="1507" w:type="pct"/>
                  <w:gridSpan w:val="3"/>
                  <w:tcBorders>
                    <w:top w:val="single" w:color="auto" w:sz="4" w:space="0"/>
                    <w:left w:val="single" w:color="auto" w:sz="4" w:space="0"/>
                    <w:bottom w:val="single" w:color="auto" w:sz="4" w:space="0"/>
                    <w:right w:val="single" w:color="auto" w:sz="4" w:space="0"/>
                  </w:tcBorders>
                  <w:vAlign w:val="center"/>
                </w:tcPr>
                <w:p w14:paraId="5F609AF4">
                  <w:pPr>
                    <w:pStyle w:val="2"/>
                    <w:spacing w:after="0"/>
                    <w:ind w:left="0" w:leftChars="0" w:firstLine="0" w:firstLineChars="0"/>
                    <w:jc w:val="center"/>
                    <w:rPr>
                      <w:b/>
                      <w:bCs/>
                      <w:szCs w:val="21"/>
                    </w:rPr>
                  </w:pPr>
                  <w:r>
                    <w:rPr>
                      <w:szCs w:val="21"/>
                    </w:rPr>
                    <w:t>XT1605</w:t>
                  </w:r>
                  <w:r>
                    <w:rPr>
                      <w:b/>
                      <w:bCs/>
                      <w:szCs w:val="21"/>
                    </w:rPr>
                    <w:t>定向</w:t>
                  </w:r>
                </w:p>
                <w:p w14:paraId="182572D0">
                  <w:pPr>
                    <w:pStyle w:val="2"/>
                    <w:spacing w:after="0"/>
                    <w:ind w:left="0" w:leftChars="0" w:firstLine="0" w:firstLineChars="0"/>
                    <w:jc w:val="center"/>
                    <w:rPr>
                      <w:szCs w:val="21"/>
                    </w:rPr>
                  </w:pPr>
                  <w:r>
                    <w:rPr>
                      <w:szCs w:val="21"/>
                    </w:rPr>
                    <w:t>X</w:t>
                  </w:r>
                  <w:r>
                    <w:rPr>
                      <w:b/>
                      <w:bCs/>
                      <w:szCs w:val="21"/>
                    </w:rPr>
                    <w:t>射线探伤机</w:t>
                  </w:r>
                </w:p>
              </w:tc>
              <w:tc>
                <w:tcPr>
                  <w:tcW w:w="1507" w:type="pct"/>
                  <w:gridSpan w:val="3"/>
                  <w:vAlign w:val="center"/>
                </w:tcPr>
                <w:p w14:paraId="6FB245D0">
                  <w:pPr>
                    <w:pStyle w:val="2"/>
                    <w:spacing w:after="0"/>
                    <w:ind w:left="0" w:leftChars="0" w:firstLine="0" w:firstLineChars="0"/>
                    <w:jc w:val="center"/>
                    <w:rPr>
                      <w:b/>
                      <w:bCs/>
                      <w:szCs w:val="21"/>
                    </w:rPr>
                  </w:pPr>
                  <w:r>
                    <w:rPr>
                      <w:szCs w:val="21"/>
                    </w:rPr>
                    <w:t>XT2505</w:t>
                  </w:r>
                  <w:r>
                    <w:rPr>
                      <w:b/>
                      <w:bCs/>
                      <w:szCs w:val="21"/>
                    </w:rPr>
                    <w:t>定向</w:t>
                  </w:r>
                </w:p>
                <w:p w14:paraId="252D3BDE">
                  <w:pPr>
                    <w:pStyle w:val="2"/>
                    <w:spacing w:after="0"/>
                    <w:ind w:left="0" w:leftChars="0" w:firstLine="0" w:firstLineChars="0"/>
                    <w:jc w:val="center"/>
                    <w:rPr>
                      <w:szCs w:val="21"/>
                    </w:rPr>
                  </w:pPr>
                  <w:r>
                    <w:rPr>
                      <w:szCs w:val="21"/>
                    </w:rPr>
                    <w:t>X</w:t>
                  </w:r>
                  <w:r>
                    <w:rPr>
                      <w:b/>
                      <w:bCs/>
                      <w:szCs w:val="21"/>
                    </w:rPr>
                    <w:t>射线探伤机</w:t>
                  </w:r>
                </w:p>
              </w:tc>
              <w:tc>
                <w:tcPr>
                  <w:tcW w:w="1533" w:type="pct"/>
                  <w:gridSpan w:val="3"/>
                  <w:tcBorders>
                    <w:top w:val="single" w:color="auto" w:sz="4" w:space="0"/>
                    <w:left w:val="single" w:color="auto" w:sz="4" w:space="0"/>
                    <w:bottom w:val="single" w:color="auto" w:sz="4" w:space="0"/>
                    <w:right w:val="single" w:color="auto" w:sz="4" w:space="0"/>
                  </w:tcBorders>
                </w:tcPr>
                <w:p w14:paraId="535E7E80">
                  <w:pPr>
                    <w:pStyle w:val="2"/>
                    <w:spacing w:after="0"/>
                    <w:ind w:left="0" w:leftChars="0" w:firstLine="0" w:firstLineChars="0"/>
                    <w:jc w:val="center"/>
                    <w:rPr>
                      <w:b/>
                      <w:bCs/>
                      <w:szCs w:val="21"/>
                    </w:rPr>
                  </w:pPr>
                  <w:r>
                    <w:rPr>
                      <w:szCs w:val="21"/>
                    </w:rPr>
                    <w:t>XT3005</w:t>
                  </w:r>
                  <w:r>
                    <w:rPr>
                      <w:b/>
                      <w:bCs/>
                      <w:szCs w:val="21"/>
                    </w:rPr>
                    <w:t>定向</w:t>
                  </w:r>
                </w:p>
                <w:p w14:paraId="6B27DFF2">
                  <w:pPr>
                    <w:pStyle w:val="2"/>
                    <w:spacing w:after="0"/>
                    <w:ind w:left="0" w:leftChars="0" w:firstLine="0" w:firstLineChars="0"/>
                    <w:jc w:val="center"/>
                    <w:rPr>
                      <w:szCs w:val="21"/>
                    </w:rPr>
                  </w:pPr>
                  <w:r>
                    <w:rPr>
                      <w:szCs w:val="21"/>
                    </w:rPr>
                    <w:t>X</w:t>
                  </w:r>
                  <w:r>
                    <w:rPr>
                      <w:b/>
                      <w:bCs/>
                      <w:szCs w:val="21"/>
                    </w:rPr>
                    <w:t>射线探伤机</w:t>
                  </w:r>
                </w:p>
              </w:tc>
            </w:tr>
            <w:tr w14:paraId="5159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BF7FE90">
                  <w:pPr>
                    <w:pStyle w:val="2"/>
                    <w:spacing w:after="0"/>
                    <w:ind w:left="0" w:leftChars="0" w:firstLine="0" w:firstLineChars="0"/>
                    <w:jc w:val="center"/>
                    <w:rPr>
                      <w:szCs w:val="21"/>
                    </w:rPr>
                  </w:pPr>
                </w:p>
              </w:tc>
              <w:tc>
                <w:tcPr>
                  <w:tcW w:w="449" w:type="pct"/>
                  <w:tcBorders>
                    <w:top w:val="single" w:color="auto" w:sz="4" w:space="0"/>
                    <w:left w:val="single" w:color="auto" w:sz="4" w:space="0"/>
                    <w:bottom w:val="single" w:color="auto" w:sz="4" w:space="0"/>
                    <w:right w:val="single" w:color="auto" w:sz="4" w:space="0"/>
                  </w:tcBorders>
                  <w:vAlign w:val="center"/>
                </w:tcPr>
                <w:p w14:paraId="33EDBAE5">
                  <w:pPr>
                    <w:pStyle w:val="2"/>
                    <w:spacing w:after="0"/>
                    <w:ind w:left="0" w:leftChars="0" w:firstLine="0" w:firstLineChars="0"/>
                    <w:jc w:val="center"/>
                    <w:rPr>
                      <w:szCs w:val="21"/>
                    </w:rPr>
                  </w:pPr>
                  <w:r>
                    <w:rPr>
                      <w:b/>
                      <w:bCs/>
                      <w:szCs w:val="21"/>
                    </w:rPr>
                    <w:t>漏射</w:t>
                  </w:r>
                </w:p>
              </w:tc>
              <w:tc>
                <w:tcPr>
                  <w:tcW w:w="509" w:type="pct"/>
                  <w:tcBorders>
                    <w:top w:val="single" w:color="auto" w:sz="4" w:space="0"/>
                    <w:left w:val="single" w:color="auto" w:sz="4" w:space="0"/>
                    <w:bottom w:val="single" w:color="auto" w:sz="4" w:space="0"/>
                    <w:right w:val="single" w:color="auto" w:sz="4" w:space="0"/>
                  </w:tcBorders>
                  <w:vAlign w:val="center"/>
                </w:tcPr>
                <w:p w14:paraId="4227C233">
                  <w:pPr>
                    <w:pStyle w:val="2"/>
                    <w:spacing w:after="0"/>
                    <w:ind w:left="0" w:leftChars="0" w:firstLine="0" w:firstLineChars="0"/>
                    <w:jc w:val="center"/>
                    <w:rPr>
                      <w:szCs w:val="21"/>
                    </w:rPr>
                  </w:pPr>
                  <w:r>
                    <w:rPr>
                      <w:b/>
                      <w:bCs/>
                      <w:szCs w:val="21"/>
                    </w:rPr>
                    <w:t>散射</w:t>
                  </w:r>
                </w:p>
              </w:tc>
              <w:tc>
                <w:tcPr>
                  <w:tcW w:w="549" w:type="pct"/>
                  <w:tcBorders>
                    <w:top w:val="single" w:color="auto" w:sz="4" w:space="0"/>
                    <w:left w:val="single" w:color="auto" w:sz="4" w:space="0"/>
                    <w:bottom w:val="single" w:color="auto" w:sz="4" w:space="0"/>
                    <w:right w:val="single" w:color="auto" w:sz="4" w:space="0"/>
                  </w:tcBorders>
                  <w:vAlign w:val="center"/>
                </w:tcPr>
                <w:p w14:paraId="0A5204A9">
                  <w:pPr>
                    <w:pStyle w:val="2"/>
                    <w:spacing w:after="0"/>
                    <w:ind w:left="0" w:leftChars="0" w:firstLine="0" w:firstLineChars="0"/>
                    <w:jc w:val="center"/>
                    <w:rPr>
                      <w:szCs w:val="21"/>
                    </w:rPr>
                  </w:pPr>
                  <w:r>
                    <w:rPr>
                      <w:b/>
                      <w:bCs/>
                      <w:szCs w:val="21"/>
                    </w:rPr>
                    <w:t>合计</w:t>
                  </w:r>
                </w:p>
              </w:tc>
              <w:tc>
                <w:tcPr>
                  <w:tcW w:w="449" w:type="pct"/>
                  <w:vAlign w:val="center"/>
                </w:tcPr>
                <w:p w14:paraId="07896A9D">
                  <w:pPr>
                    <w:pStyle w:val="2"/>
                    <w:spacing w:after="0"/>
                    <w:ind w:left="0" w:leftChars="0" w:firstLine="0" w:firstLineChars="0"/>
                    <w:jc w:val="center"/>
                    <w:rPr>
                      <w:szCs w:val="21"/>
                    </w:rPr>
                  </w:pPr>
                  <w:r>
                    <w:rPr>
                      <w:b/>
                      <w:bCs/>
                      <w:szCs w:val="21"/>
                    </w:rPr>
                    <w:t>漏射</w:t>
                  </w:r>
                </w:p>
              </w:tc>
              <w:tc>
                <w:tcPr>
                  <w:tcW w:w="509" w:type="pct"/>
                  <w:vAlign w:val="center"/>
                </w:tcPr>
                <w:p w14:paraId="3DCBCABF">
                  <w:pPr>
                    <w:pStyle w:val="2"/>
                    <w:spacing w:after="0"/>
                    <w:ind w:left="0" w:leftChars="0" w:firstLine="0" w:firstLineChars="0"/>
                    <w:jc w:val="center"/>
                    <w:rPr>
                      <w:szCs w:val="21"/>
                    </w:rPr>
                  </w:pPr>
                  <w:r>
                    <w:rPr>
                      <w:b/>
                      <w:bCs/>
                      <w:szCs w:val="21"/>
                    </w:rPr>
                    <w:t>散射</w:t>
                  </w:r>
                </w:p>
              </w:tc>
              <w:tc>
                <w:tcPr>
                  <w:tcW w:w="549" w:type="pct"/>
                  <w:vAlign w:val="center"/>
                </w:tcPr>
                <w:p w14:paraId="4E2DE6B0">
                  <w:pPr>
                    <w:pStyle w:val="2"/>
                    <w:spacing w:after="0"/>
                    <w:ind w:left="0" w:leftChars="0" w:firstLine="0" w:firstLineChars="0"/>
                    <w:jc w:val="center"/>
                    <w:rPr>
                      <w:szCs w:val="21"/>
                    </w:rPr>
                  </w:pPr>
                  <w:r>
                    <w:rPr>
                      <w:b/>
                      <w:bCs/>
                      <w:szCs w:val="21"/>
                    </w:rPr>
                    <w:t>合计</w:t>
                  </w:r>
                </w:p>
              </w:tc>
              <w:tc>
                <w:tcPr>
                  <w:tcW w:w="394" w:type="pct"/>
                  <w:tcBorders>
                    <w:top w:val="single" w:color="auto" w:sz="4" w:space="0"/>
                    <w:left w:val="single" w:color="auto" w:sz="4" w:space="0"/>
                    <w:bottom w:val="single" w:color="auto" w:sz="4" w:space="0"/>
                    <w:right w:val="single" w:color="auto" w:sz="4" w:space="0"/>
                  </w:tcBorders>
                  <w:vAlign w:val="center"/>
                </w:tcPr>
                <w:p w14:paraId="51F7DDF4">
                  <w:pPr>
                    <w:pStyle w:val="2"/>
                    <w:spacing w:after="0"/>
                    <w:ind w:left="0" w:leftChars="0" w:firstLine="0" w:firstLineChars="0"/>
                    <w:jc w:val="center"/>
                    <w:rPr>
                      <w:szCs w:val="21"/>
                    </w:rPr>
                  </w:pPr>
                  <w:r>
                    <w:rPr>
                      <w:b/>
                      <w:bCs/>
                      <w:szCs w:val="21"/>
                    </w:rPr>
                    <w:t>漏射</w:t>
                  </w:r>
                </w:p>
              </w:tc>
              <w:tc>
                <w:tcPr>
                  <w:tcW w:w="570" w:type="pct"/>
                  <w:tcBorders>
                    <w:top w:val="single" w:color="auto" w:sz="4" w:space="0"/>
                    <w:left w:val="single" w:color="auto" w:sz="4" w:space="0"/>
                    <w:bottom w:val="single" w:color="auto" w:sz="4" w:space="0"/>
                    <w:right w:val="single" w:color="auto" w:sz="4" w:space="0"/>
                  </w:tcBorders>
                  <w:vAlign w:val="center"/>
                </w:tcPr>
                <w:p w14:paraId="2D0AC8B0">
                  <w:pPr>
                    <w:pStyle w:val="2"/>
                    <w:spacing w:after="0"/>
                    <w:ind w:left="0" w:leftChars="0" w:firstLine="0" w:firstLineChars="0"/>
                    <w:jc w:val="center"/>
                    <w:rPr>
                      <w:szCs w:val="21"/>
                    </w:rPr>
                  </w:pPr>
                  <w:r>
                    <w:rPr>
                      <w:b/>
                      <w:bCs/>
                      <w:szCs w:val="21"/>
                    </w:rPr>
                    <w:t>散射</w:t>
                  </w:r>
                </w:p>
              </w:tc>
              <w:tc>
                <w:tcPr>
                  <w:tcW w:w="569" w:type="pct"/>
                  <w:tcBorders>
                    <w:top w:val="single" w:color="auto" w:sz="4" w:space="0"/>
                    <w:left w:val="single" w:color="auto" w:sz="4" w:space="0"/>
                    <w:bottom w:val="single" w:color="auto" w:sz="4" w:space="0"/>
                    <w:right w:val="single" w:color="auto" w:sz="4" w:space="0"/>
                  </w:tcBorders>
                  <w:vAlign w:val="center"/>
                </w:tcPr>
                <w:p w14:paraId="11C1C2C2">
                  <w:pPr>
                    <w:pStyle w:val="2"/>
                    <w:spacing w:after="0"/>
                    <w:ind w:left="0" w:leftChars="0" w:firstLine="0" w:firstLineChars="0"/>
                    <w:jc w:val="center"/>
                    <w:rPr>
                      <w:szCs w:val="21"/>
                    </w:rPr>
                  </w:pPr>
                  <w:r>
                    <w:rPr>
                      <w:b/>
                      <w:bCs/>
                      <w:szCs w:val="21"/>
                    </w:rPr>
                    <w:t>合计</w:t>
                  </w:r>
                </w:p>
              </w:tc>
            </w:tr>
            <w:tr w14:paraId="3A93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B587E62">
                  <w:pPr>
                    <w:pStyle w:val="2"/>
                    <w:spacing w:after="0"/>
                    <w:ind w:left="0" w:leftChars="0" w:firstLine="0" w:firstLineChars="0"/>
                    <w:jc w:val="center"/>
                    <w:rPr>
                      <w:szCs w:val="21"/>
                    </w:rPr>
                  </w:pPr>
                  <w:r>
                    <w:rPr>
                      <w:szCs w:val="21"/>
                    </w:rPr>
                    <w:t>5</w:t>
                  </w:r>
                </w:p>
              </w:tc>
              <w:tc>
                <w:tcPr>
                  <w:tcW w:w="449" w:type="pct"/>
                  <w:tcBorders>
                    <w:top w:val="single" w:color="auto" w:sz="4" w:space="0"/>
                    <w:left w:val="single" w:color="auto" w:sz="4" w:space="0"/>
                    <w:bottom w:val="single" w:color="auto" w:sz="4" w:space="0"/>
                    <w:right w:val="single" w:color="auto" w:sz="4" w:space="0"/>
                  </w:tcBorders>
                  <w:vAlign w:val="center"/>
                </w:tcPr>
                <w:p w14:paraId="3CF5688B">
                  <w:pPr>
                    <w:widowControl/>
                    <w:jc w:val="center"/>
                    <w:rPr>
                      <w:rFonts w:ascii="Times New Roman" w:hAnsi="Times New Roman"/>
                      <w:kern w:val="0"/>
                      <w:szCs w:val="21"/>
                    </w:rPr>
                  </w:pPr>
                  <w:r>
                    <w:rPr>
                      <w:rFonts w:ascii="Times New Roman" w:hAnsi="Times New Roman"/>
                      <w:szCs w:val="21"/>
                    </w:rPr>
                    <w:t xml:space="preserve">100.00 </w:t>
                  </w:r>
                </w:p>
              </w:tc>
              <w:tc>
                <w:tcPr>
                  <w:tcW w:w="509" w:type="pct"/>
                  <w:tcBorders>
                    <w:top w:val="single" w:color="auto" w:sz="4" w:space="0"/>
                    <w:left w:val="single" w:color="auto" w:sz="4" w:space="0"/>
                    <w:bottom w:val="single" w:color="auto" w:sz="4" w:space="0"/>
                    <w:right w:val="single" w:color="auto" w:sz="4" w:space="0"/>
                  </w:tcBorders>
                  <w:vAlign w:val="center"/>
                </w:tcPr>
                <w:p w14:paraId="2DB8688D">
                  <w:pPr>
                    <w:widowControl/>
                    <w:jc w:val="center"/>
                    <w:rPr>
                      <w:rFonts w:ascii="Times New Roman" w:hAnsi="Times New Roman"/>
                      <w:kern w:val="0"/>
                      <w:szCs w:val="21"/>
                    </w:rPr>
                  </w:pPr>
                  <w:r>
                    <w:rPr>
                      <w:rFonts w:ascii="Times New Roman" w:hAnsi="Times New Roman"/>
                      <w:szCs w:val="21"/>
                    </w:rPr>
                    <w:t xml:space="preserve">6888.00 </w:t>
                  </w:r>
                </w:p>
              </w:tc>
              <w:tc>
                <w:tcPr>
                  <w:tcW w:w="549" w:type="pct"/>
                  <w:tcBorders>
                    <w:top w:val="single" w:color="auto" w:sz="4" w:space="0"/>
                    <w:left w:val="single" w:color="auto" w:sz="4" w:space="0"/>
                    <w:bottom w:val="single" w:color="auto" w:sz="4" w:space="0"/>
                    <w:right w:val="single" w:color="auto" w:sz="4" w:space="0"/>
                  </w:tcBorders>
                  <w:vAlign w:val="center"/>
                </w:tcPr>
                <w:p w14:paraId="168FAAB6">
                  <w:pPr>
                    <w:widowControl/>
                    <w:jc w:val="center"/>
                    <w:rPr>
                      <w:rFonts w:ascii="Times New Roman" w:hAnsi="Times New Roman"/>
                      <w:kern w:val="0"/>
                      <w:szCs w:val="21"/>
                    </w:rPr>
                  </w:pPr>
                  <w:r>
                    <w:rPr>
                      <w:rFonts w:ascii="Times New Roman" w:hAnsi="Times New Roman"/>
                      <w:szCs w:val="21"/>
                    </w:rPr>
                    <w:t xml:space="preserve">6988.00 </w:t>
                  </w:r>
                </w:p>
              </w:tc>
              <w:tc>
                <w:tcPr>
                  <w:tcW w:w="449" w:type="pct"/>
                  <w:vAlign w:val="center"/>
                </w:tcPr>
                <w:p w14:paraId="2094D884">
                  <w:pPr>
                    <w:widowControl/>
                    <w:jc w:val="center"/>
                    <w:rPr>
                      <w:rFonts w:ascii="Times New Roman" w:hAnsi="Times New Roman"/>
                      <w:kern w:val="0"/>
                      <w:szCs w:val="21"/>
                    </w:rPr>
                  </w:pPr>
                  <w:r>
                    <w:rPr>
                      <w:rFonts w:ascii="Times New Roman" w:hAnsi="Times New Roman"/>
                      <w:szCs w:val="21"/>
                    </w:rPr>
                    <w:t xml:space="preserve">200.00 </w:t>
                  </w:r>
                </w:p>
              </w:tc>
              <w:tc>
                <w:tcPr>
                  <w:tcW w:w="509" w:type="pct"/>
                  <w:vAlign w:val="center"/>
                </w:tcPr>
                <w:p w14:paraId="094315F9">
                  <w:pPr>
                    <w:widowControl/>
                    <w:jc w:val="center"/>
                    <w:rPr>
                      <w:rFonts w:ascii="Times New Roman" w:hAnsi="Times New Roman"/>
                      <w:kern w:val="0"/>
                      <w:szCs w:val="21"/>
                    </w:rPr>
                  </w:pPr>
                  <w:r>
                    <w:rPr>
                      <w:rFonts w:ascii="Times New Roman" w:hAnsi="Times New Roman"/>
                      <w:szCs w:val="21"/>
                    </w:rPr>
                    <w:t xml:space="preserve">3960.00 </w:t>
                  </w:r>
                </w:p>
              </w:tc>
              <w:tc>
                <w:tcPr>
                  <w:tcW w:w="549" w:type="pct"/>
                  <w:vAlign w:val="center"/>
                </w:tcPr>
                <w:p w14:paraId="6DAEB903">
                  <w:pPr>
                    <w:jc w:val="center"/>
                    <w:rPr>
                      <w:rFonts w:ascii="Times New Roman" w:hAnsi="Times New Roman"/>
                      <w:szCs w:val="21"/>
                    </w:rPr>
                  </w:pPr>
                  <w:r>
                    <w:rPr>
                      <w:rFonts w:ascii="Times New Roman" w:hAnsi="Times New Roman"/>
                      <w:szCs w:val="21"/>
                    </w:rPr>
                    <w:t>4160.00</w:t>
                  </w:r>
                </w:p>
              </w:tc>
              <w:tc>
                <w:tcPr>
                  <w:tcW w:w="394" w:type="pct"/>
                  <w:tcBorders>
                    <w:top w:val="single" w:color="auto" w:sz="4" w:space="0"/>
                    <w:left w:val="single" w:color="auto" w:sz="4" w:space="0"/>
                    <w:bottom w:val="single" w:color="auto" w:sz="4" w:space="0"/>
                    <w:right w:val="single" w:color="auto" w:sz="4" w:space="0"/>
                  </w:tcBorders>
                  <w:vAlign w:val="center"/>
                </w:tcPr>
                <w:p w14:paraId="62FC93D6">
                  <w:pPr>
                    <w:widowControl/>
                    <w:jc w:val="center"/>
                    <w:rPr>
                      <w:rFonts w:ascii="Times New Roman" w:hAnsi="Times New Roman"/>
                      <w:kern w:val="0"/>
                      <w:szCs w:val="21"/>
                    </w:rPr>
                  </w:pPr>
                  <w:r>
                    <w:rPr>
                      <w:rFonts w:ascii="Times New Roman" w:hAnsi="Times New Roman"/>
                      <w:szCs w:val="21"/>
                    </w:rPr>
                    <w:t xml:space="preserve">200.00 </w:t>
                  </w:r>
                </w:p>
              </w:tc>
              <w:tc>
                <w:tcPr>
                  <w:tcW w:w="570" w:type="pct"/>
                  <w:tcBorders>
                    <w:top w:val="single" w:color="auto" w:sz="4" w:space="0"/>
                    <w:left w:val="single" w:color="auto" w:sz="4" w:space="0"/>
                    <w:bottom w:val="single" w:color="auto" w:sz="4" w:space="0"/>
                    <w:right w:val="single" w:color="auto" w:sz="4" w:space="0"/>
                  </w:tcBorders>
                  <w:vAlign w:val="center"/>
                </w:tcPr>
                <w:p w14:paraId="0EC05A61">
                  <w:pPr>
                    <w:widowControl/>
                    <w:jc w:val="center"/>
                    <w:rPr>
                      <w:rFonts w:ascii="Times New Roman" w:hAnsi="Times New Roman"/>
                      <w:kern w:val="0"/>
                      <w:szCs w:val="21"/>
                    </w:rPr>
                  </w:pPr>
                  <w:r>
                    <w:rPr>
                      <w:rFonts w:ascii="Times New Roman" w:hAnsi="Times New Roman"/>
                      <w:szCs w:val="21"/>
                    </w:rPr>
                    <w:t xml:space="preserve">5016.00 </w:t>
                  </w:r>
                </w:p>
              </w:tc>
              <w:tc>
                <w:tcPr>
                  <w:tcW w:w="569" w:type="pct"/>
                  <w:tcBorders>
                    <w:top w:val="single" w:color="auto" w:sz="4" w:space="0"/>
                    <w:left w:val="single" w:color="auto" w:sz="4" w:space="0"/>
                    <w:bottom w:val="single" w:color="auto" w:sz="4" w:space="0"/>
                    <w:right w:val="single" w:color="auto" w:sz="4" w:space="0"/>
                  </w:tcBorders>
                  <w:vAlign w:val="center"/>
                </w:tcPr>
                <w:p w14:paraId="0457E25B">
                  <w:pPr>
                    <w:jc w:val="center"/>
                    <w:rPr>
                      <w:rFonts w:ascii="Times New Roman" w:hAnsi="Times New Roman"/>
                      <w:szCs w:val="21"/>
                    </w:rPr>
                  </w:pPr>
                  <w:r>
                    <w:rPr>
                      <w:rFonts w:ascii="Times New Roman" w:hAnsi="Times New Roman"/>
                      <w:szCs w:val="21"/>
                    </w:rPr>
                    <w:t>5216.00</w:t>
                  </w:r>
                </w:p>
              </w:tc>
            </w:tr>
            <w:tr w14:paraId="6D02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442D599">
                  <w:pPr>
                    <w:pStyle w:val="2"/>
                    <w:spacing w:after="0"/>
                    <w:ind w:left="0" w:leftChars="0" w:firstLine="0" w:firstLineChars="0"/>
                    <w:jc w:val="center"/>
                    <w:rPr>
                      <w:szCs w:val="21"/>
                    </w:rPr>
                  </w:pPr>
                  <w:r>
                    <w:rPr>
                      <w:szCs w:val="21"/>
                    </w:rPr>
                    <w:t>10</w:t>
                  </w:r>
                </w:p>
              </w:tc>
              <w:tc>
                <w:tcPr>
                  <w:tcW w:w="449" w:type="pct"/>
                  <w:tcBorders>
                    <w:top w:val="single" w:color="auto" w:sz="4" w:space="0"/>
                    <w:left w:val="single" w:color="auto" w:sz="4" w:space="0"/>
                    <w:bottom w:val="single" w:color="auto" w:sz="4" w:space="0"/>
                    <w:right w:val="single" w:color="auto" w:sz="4" w:space="0"/>
                  </w:tcBorders>
                  <w:vAlign w:val="center"/>
                </w:tcPr>
                <w:p w14:paraId="53092BB8">
                  <w:pPr>
                    <w:jc w:val="center"/>
                    <w:rPr>
                      <w:rFonts w:ascii="Times New Roman" w:hAnsi="Times New Roman"/>
                      <w:szCs w:val="21"/>
                    </w:rPr>
                  </w:pPr>
                  <w:r>
                    <w:rPr>
                      <w:rFonts w:ascii="Times New Roman" w:hAnsi="Times New Roman"/>
                      <w:szCs w:val="21"/>
                    </w:rPr>
                    <w:t xml:space="preserve">25.00 </w:t>
                  </w:r>
                </w:p>
              </w:tc>
              <w:tc>
                <w:tcPr>
                  <w:tcW w:w="509" w:type="pct"/>
                  <w:tcBorders>
                    <w:top w:val="single" w:color="auto" w:sz="4" w:space="0"/>
                    <w:left w:val="single" w:color="auto" w:sz="4" w:space="0"/>
                    <w:bottom w:val="single" w:color="auto" w:sz="4" w:space="0"/>
                    <w:right w:val="single" w:color="auto" w:sz="4" w:space="0"/>
                  </w:tcBorders>
                  <w:vAlign w:val="center"/>
                </w:tcPr>
                <w:p w14:paraId="21DF0338">
                  <w:pPr>
                    <w:jc w:val="center"/>
                    <w:rPr>
                      <w:rFonts w:ascii="Times New Roman" w:hAnsi="Times New Roman"/>
                      <w:szCs w:val="21"/>
                    </w:rPr>
                  </w:pPr>
                  <w:r>
                    <w:rPr>
                      <w:rFonts w:ascii="Times New Roman" w:hAnsi="Times New Roman"/>
                      <w:szCs w:val="21"/>
                    </w:rPr>
                    <w:t xml:space="preserve">1722.00 </w:t>
                  </w:r>
                </w:p>
              </w:tc>
              <w:tc>
                <w:tcPr>
                  <w:tcW w:w="549" w:type="pct"/>
                  <w:tcBorders>
                    <w:top w:val="single" w:color="auto" w:sz="4" w:space="0"/>
                    <w:left w:val="single" w:color="auto" w:sz="4" w:space="0"/>
                    <w:bottom w:val="single" w:color="auto" w:sz="4" w:space="0"/>
                    <w:right w:val="single" w:color="auto" w:sz="4" w:space="0"/>
                  </w:tcBorders>
                  <w:vAlign w:val="center"/>
                </w:tcPr>
                <w:p w14:paraId="038B38DD">
                  <w:pPr>
                    <w:jc w:val="center"/>
                    <w:rPr>
                      <w:rFonts w:ascii="Times New Roman" w:hAnsi="Times New Roman"/>
                      <w:szCs w:val="21"/>
                    </w:rPr>
                  </w:pPr>
                  <w:r>
                    <w:rPr>
                      <w:rFonts w:ascii="Times New Roman" w:hAnsi="Times New Roman"/>
                      <w:szCs w:val="21"/>
                    </w:rPr>
                    <w:t xml:space="preserve">1747.00 </w:t>
                  </w:r>
                </w:p>
              </w:tc>
              <w:tc>
                <w:tcPr>
                  <w:tcW w:w="449" w:type="pct"/>
                  <w:vAlign w:val="center"/>
                </w:tcPr>
                <w:p w14:paraId="0F112EA2">
                  <w:pPr>
                    <w:jc w:val="center"/>
                    <w:rPr>
                      <w:rFonts w:ascii="Times New Roman" w:hAnsi="Times New Roman"/>
                      <w:szCs w:val="21"/>
                    </w:rPr>
                  </w:pPr>
                  <w:r>
                    <w:rPr>
                      <w:rFonts w:ascii="Times New Roman" w:hAnsi="Times New Roman"/>
                      <w:szCs w:val="21"/>
                    </w:rPr>
                    <w:t xml:space="preserve">50.00 </w:t>
                  </w:r>
                </w:p>
              </w:tc>
              <w:tc>
                <w:tcPr>
                  <w:tcW w:w="509" w:type="pct"/>
                  <w:vAlign w:val="center"/>
                </w:tcPr>
                <w:p w14:paraId="2136C71C">
                  <w:pPr>
                    <w:jc w:val="center"/>
                    <w:rPr>
                      <w:rFonts w:ascii="Times New Roman" w:hAnsi="Times New Roman"/>
                      <w:szCs w:val="21"/>
                    </w:rPr>
                  </w:pPr>
                  <w:r>
                    <w:rPr>
                      <w:rFonts w:ascii="Times New Roman" w:hAnsi="Times New Roman"/>
                      <w:szCs w:val="21"/>
                    </w:rPr>
                    <w:t xml:space="preserve">990.00 </w:t>
                  </w:r>
                </w:p>
              </w:tc>
              <w:tc>
                <w:tcPr>
                  <w:tcW w:w="549" w:type="pct"/>
                  <w:vAlign w:val="center"/>
                </w:tcPr>
                <w:p w14:paraId="4D8130DF">
                  <w:pPr>
                    <w:jc w:val="center"/>
                    <w:rPr>
                      <w:rFonts w:ascii="Times New Roman" w:hAnsi="Times New Roman"/>
                      <w:szCs w:val="21"/>
                    </w:rPr>
                  </w:pPr>
                  <w:r>
                    <w:rPr>
                      <w:rFonts w:ascii="Times New Roman" w:hAnsi="Times New Roman"/>
                      <w:szCs w:val="21"/>
                    </w:rPr>
                    <w:t>1040.00</w:t>
                  </w:r>
                </w:p>
              </w:tc>
              <w:tc>
                <w:tcPr>
                  <w:tcW w:w="394" w:type="pct"/>
                  <w:tcBorders>
                    <w:top w:val="single" w:color="auto" w:sz="4" w:space="0"/>
                    <w:left w:val="single" w:color="auto" w:sz="4" w:space="0"/>
                    <w:bottom w:val="single" w:color="auto" w:sz="4" w:space="0"/>
                    <w:right w:val="single" w:color="auto" w:sz="4" w:space="0"/>
                  </w:tcBorders>
                  <w:vAlign w:val="center"/>
                </w:tcPr>
                <w:p w14:paraId="703CC196">
                  <w:pPr>
                    <w:jc w:val="center"/>
                    <w:rPr>
                      <w:rFonts w:ascii="Times New Roman" w:hAnsi="Times New Roman"/>
                      <w:szCs w:val="21"/>
                    </w:rPr>
                  </w:pPr>
                  <w:r>
                    <w:rPr>
                      <w:rFonts w:ascii="Times New Roman" w:hAnsi="Times New Roman"/>
                      <w:szCs w:val="21"/>
                    </w:rPr>
                    <w:t xml:space="preserve">50.00 </w:t>
                  </w:r>
                </w:p>
              </w:tc>
              <w:tc>
                <w:tcPr>
                  <w:tcW w:w="570" w:type="pct"/>
                  <w:tcBorders>
                    <w:top w:val="single" w:color="auto" w:sz="4" w:space="0"/>
                    <w:left w:val="single" w:color="auto" w:sz="4" w:space="0"/>
                    <w:bottom w:val="single" w:color="auto" w:sz="4" w:space="0"/>
                    <w:right w:val="single" w:color="auto" w:sz="4" w:space="0"/>
                  </w:tcBorders>
                  <w:vAlign w:val="center"/>
                </w:tcPr>
                <w:p w14:paraId="65DB8AE1">
                  <w:pPr>
                    <w:jc w:val="center"/>
                    <w:rPr>
                      <w:rFonts w:ascii="Times New Roman" w:hAnsi="Times New Roman"/>
                      <w:szCs w:val="21"/>
                    </w:rPr>
                  </w:pPr>
                  <w:r>
                    <w:rPr>
                      <w:rFonts w:ascii="Times New Roman" w:hAnsi="Times New Roman"/>
                      <w:szCs w:val="21"/>
                    </w:rPr>
                    <w:t xml:space="preserve">1254.00 </w:t>
                  </w:r>
                </w:p>
              </w:tc>
              <w:tc>
                <w:tcPr>
                  <w:tcW w:w="569" w:type="pct"/>
                  <w:tcBorders>
                    <w:top w:val="single" w:color="auto" w:sz="4" w:space="0"/>
                    <w:left w:val="single" w:color="auto" w:sz="4" w:space="0"/>
                    <w:bottom w:val="single" w:color="auto" w:sz="4" w:space="0"/>
                    <w:right w:val="single" w:color="auto" w:sz="4" w:space="0"/>
                  </w:tcBorders>
                  <w:vAlign w:val="center"/>
                </w:tcPr>
                <w:p w14:paraId="326BCF74">
                  <w:pPr>
                    <w:jc w:val="center"/>
                    <w:rPr>
                      <w:rFonts w:ascii="Times New Roman" w:hAnsi="Times New Roman"/>
                      <w:szCs w:val="21"/>
                    </w:rPr>
                  </w:pPr>
                  <w:r>
                    <w:rPr>
                      <w:rFonts w:ascii="Times New Roman" w:hAnsi="Times New Roman"/>
                      <w:szCs w:val="21"/>
                    </w:rPr>
                    <w:t>1304.00</w:t>
                  </w:r>
                </w:p>
              </w:tc>
            </w:tr>
            <w:tr w14:paraId="3FC3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DB6AF68">
                  <w:pPr>
                    <w:pStyle w:val="2"/>
                    <w:spacing w:after="0"/>
                    <w:ind w:left="0" w:leftChars="0" w:firstLine="0" w:firstLineChars="0"/>
                    <w:jc w:val="center"/>
                    <w:rPr>
                      <w:szCs w:val="21"/>
                    </w:rPr>
                  </w:pPr>
                  <w:r>
                    <w:rPr>
                      <w:szCs w:val="21"/>
                    </w:rPr>
                    <w:t>20</w:t>
                  </w:r>
                </w:p>
              </w:tc>
              <w:tc>
                <w:tcPr>
                  <w:tcW w:w="449" w:type="pct"/>
                  <w:tcBorders>
                    <w:top w:val="single" w:color="auto" w:sz="4" w:space="0"/>
                    <w:left w:val="single" w:color="auto" w:sz="4" w:space="0"/>
                    <w:bottom w:val="single" w:color="auto" w:sz="4" w:space="0"/>
                    <w:right w:val="single" w:color="auto" w:sz="4" w:space="0"/>
                  </w:tcBorders>
                  <w:vAlign w:val="center"/>
                </w:tcPr>
                <w:p w14:paraId="3473E8FF">
                  <w:pPr>
                    <w:jc w:val="center"/>
                    <w:rPr>
                      <w:rFonts w:ascii="Times New Roman" w:hAnsi="Times New Roman"/>
                      <w:szCs w:val="21"/>
                    </w:rPr>
                  </w:pPr>
                  <w:r>
                    <w:rPr>
                      <w:rFonts w:ascii="Times New Roman" w:hAnsi="Times New Roman"/>
                      <w:szCs w:val="21"/>
                    </w:rPr>
                    <w:t xml:space="preserve">6.25 </w:t>
                  </w:r>
                </w:p>
              </w:tc>
              <w:tc>
                <w:tcPr>
                  <w:tcW w:w="509" w:type="pct"/>
                  <w:tcBorders>
                    <w:top w:val="single" w:color="auto" w:sz="4" w:space="0"/>
                    <w:left w:val="single" w:color="auto" w:sz="4" w:space="0"/>
                    <w:bottom w:val="single" w:color="auto" w:sz="4" w:space="0"/>
                    <w:right w:val="single" w:color="auto" w:sz="4" w:space="0"/>
                  </w:tcBorders>
                  <w:vAlign w:val="center"/>
                </w:tcPr>
                <w:p w14:paraId="5DBE4BA9">
                  <w:pPr>
                    <w:jc w:val="center"/>
                    <w:rPr>
                      <w:rFonts w:ascii="Times New Roman" w:hAnsi="Times New Roman"/>
                      <w:szCs w:val="21"/>
                    </w:rPr>
                  </w:pPr>
                  <w:r>
                    <w:rPr>
                      <w:rFonts w:ascii="Times New Roman" w:hAnsi="Times New Roman"/>
                      <w:szCs w:val="21"/>
                    </w:rPr>
                    <w:t xml:space="preserve">430.50 </w:t>
                  </w:r>
                </w:p>
              </w:tc>
              <w:tc>
                <w:tcPr>
                  <w:tcW w:w="549" w:type="pct"/>
                  <w:tcBorders>
                    <w:top w:val="single" w:color="auto" w:sz="4" w:space="0"/>
                    <w:left w:val="single" w:color="auto" w:sz="4" w:space="0"/>
                    <w:bottom w:val="single" w:color="auto" w:sz="4" w:space="0"/>
                    <w:right w:val="single" w:color="auto" w:sz="4" w:space="0"/>
                  </w:tcBorders>
                  <w:vAlign w:val="center"/>
                </w:tcPr>
                <w:p w14:paraId="6869881B">
                  <w:pPr>
                    <w:jc w:val="center"/>
                    <w:rPr>
                      <w:rFonts w:ascii="Times New Roman" w:hAnsi="Times New Roman"/>
                      <w:szCs w:val="21"/>
                    </w:rPr>
                  </w:pPr>
                  <w:r>
                    <w:rPr>
                      <w:rFonts w:ascii="Times New Roman" w:hAnsi="Times New Roman"/>
                      <w:szCs w:val="21"/>
                    </w:rPr>
                    <w:t xml:space="preserve">436.75 </w:t>
                  </w:r>
                </w:p>
              </w:tc>
              <w:tc>
                <w:tcPr>
                  <w:tcW w:w="449" w:type="pct"/>
                  <w:vAlign w:val="center"/>
                </w:tcPr>
                <w:p w14:paraId="33975B5C">
                  <w:pPr>
                    <w:jc w:val="center"/>
                    <w:rPr>
                      <w:rFonts w:ascii="Times New Roman" w:hAnsi="Times New Roman"/>
                      <w:szCs w:val="21"/>
                    </w:rPr>
                  </w:pPr>
                  <w:r>
                    <w:rPr>
                      <w:rFonts w:ascii="Times New Roman" w:hAnsi="Times New Roman"/>
                      <w:szCs w:val="21"/>
                    </w:rPr>
                    <w:t xml:space="preserve">12.50 </w:t>
                  </w:r>
                </w:p>
              </w:tc>
              <w:tc>
                <w:tcPr>
                  <w:tcW w:w="509" w:type="pct"/>
                  <w:vAlign w:val="center"/>
                </w:tcPr>
                <w:p w14:paraId="5098B34F">
                  <w:pPr>
                    <w:jc w:val="center"/>
                    <w:rPr>
                      <w:rFonts w:ascii="Times New Roman" w:hAnsi="Times New Roman"/>
                      <w:szCs w:val="21"/>
                    </w:rPr>
                  </w:pPr>
                  <w:r>
                    <w:rPr>
                      <w:rFonts w:ascii="Times New Roman" w:hAnsi="Times New Roman"/>
                      <w:szCs w:val="21"/>
                    </w:rPr>
                    <w:t xml:space="preserve">247.50 </w:t>
                  </w:r>
                </w:p>
              </w:tc>
              <w:tc>
                <w:tcPr>
                  <w:tcW w:w="549" w:type="pct"/>
                  <w:vAlign w:val="center"/>
                </w:tcPr>
                <w:p w14:paraId="0D23C434">
                  <w:pPr>
                    <w:jc w:val="center"/>
                    <w:rPr>
                      <w:rFonts w:ascii="Times New Roman" w:hAnsi="Times New Roman"/>
                      <w:szCs w:val="21"/>
                    </w:rPr>
                  </w:pPr>
                  <w:r>
                    <w:rPr>
                      <w:rFonts w:ascii="Times New Roman" w:hAnsi="Times New Roman"/>
                      <w:szCs w:val="21"/>
                    </w:rPr>
                    <w:t>260.00</w:t>
                  </w:r>
                </w:p>
              </w:tc>
              <w:tc>
                <w:tcPr>
                  <w:tcW w:w="394" w:type="pct"/>
                  <w:tcBorders>
                    <w:top w:val="single" w:color="auto" w:sz="4" w:space="0"/>
                    <w:left w:val="single" w:color="auto" w:sz="4" w:space="0"/>
                    <w:bottom w:val="single" w:color="auto" w:sz="4" w:space="0"/>
                    <w:right w:val="single" w:color="auto" w:sz="4" w:space="0"/>
                  </w:tcBorders>
                  <w:vAlign w:val="center"/>
                </w:tcPr>
                <w:p w14:paraId="302AC4F3">
                  <w:pPr>
                    <w:jc w:val="center"/>
                    <w:rPr>
                      <w:rFonts w:ascii="Times New Roman" w:hAnsi="Times New Roman"/>
                      <w:szCs w:val="21"/>
                    </w:rPr>
                  </w:pPr>
                  <w:r>
                    <w:rPr>
                      <w:rFonts w:ascii="Times New Roman" w:hAnsi="Times New Roman"/>
                      <w:szCs w:val="21"/>
                    </w:rPr>
                    <w:t xml:space="preserve">12.50 </w:t>
                  </w:r>
                </w:p>
              </w:tc>
              <w:tc>
                <w:tcPr>
                  <w:tcW w:w="570" w:type="pct"/>
                  <w:tcBorders>
                    <w:top w:val="single" w:color="auto" w:sz="4" w:space="0"/>
                    <w:left w:val="single" w:color="auto" w:sz="4" w:space="0"/>
                    <w:bottom w:val="single" w:color="auto" w:sz="4" w:space="0"/>
                    <w:right w:val="single" w:color="auto" w:sz="4" w:space="0"/>
                  </w:tcBorders>
                  <w:vAlign w:val="center"/>
                </w:tcPr>
                <w:p w14:paraId="73D271BF">
                  <w:pPr>
                    <w:jc w:val="center"/>
                    <w:rPr>
                      <w:rFonts w:ascii="Times New Roman" w:hAnsi="Times New Roman"/>
                      <w:szCs w:val="21"/>
                    </w:rPr>
                  </w:pPr>
                  <w:r>
                    <w:rPr>
                      <w:rFonts w:ascii="Times New Roman" w:hAnsi="Times New Roman"/>
                      <w:szCs w:val="21"/>
                    </w:rPr>
                    <w:t xml:space="preserve">313.50 </w:t>
                  </w:r>
                </w:p>
              </w:tc>
              <w:tc>
                <w:tcPr>
                  <w:tcW w:w="569" w:type="pct"/>
                  <w:tcBorders>
                    <w:top w:val="single" w:color="auto" w:sz="4" w:space="0"/>
                    <w:left w:val="single" w:color="auto" w:sz="4" w:space="0"/>
                    <w:bottom w:val="single" w:color="auto" w:sz="4" w:space="0"/>
                    <w:right w:val="single" w:color="auto" w:sz="4" w:space="0"/>
                  </w:tcBorders>
                  <w:vAlign w:val="center"/>
                </w:tcPr>
                <w:p w14:paraId="6B629390">
                  <w:pPr>
                    <w:jc w:val="center"/>
                    <w:rPr>
                      <w:rFonts w:ascii="Times New Roman" w:hAnsi="Times New Roman"/>
                      <w:szCs w:val="21"/>
                    </w:rPr>
                  </w:pPr>
                  <w:r>
                    <w:rPr>
                      <w:rFonts w:ascii="Times New Roman" w:hAnsi="Times New Roman"/>
                      <w:szCs w:val="21"/>
                    </w:rPr>
                    <w:t>326.00</w:t>
                  </w:r>
                </w:p>
              </w:tc>
            </w:tr>
            <w:tr w14:paraId="4591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78742E5">
                  <w:pPr>
                    <w:pStyle w:val="2"/>
                    <w:spacing w:after="0"/>
                    <w:ind w:left="0" w:leftChars="0" w:firstLine="0" w:firstLineChars="0"/>
                    <w:jc w:val="center"/>
                    <w:rPr>
                      <w:szCs w:val="21"/>
                    </w:rPr>
                  </w:pPr>
                  <w:r>
                    <w:rPr>
                      <w:szCs w:val="21"/>
                    </w:rPr>
                    <w:t>30</w:t>
                  </w:r>
                </w:p>
              </w:tc>
              <w:tc>
                <w:tcPr>
                  <w:tcW w:w="449" w:type="pct"/>
                  <w:tcBorders>
                    <w:top w:val="single" w:color="auto" w:sz="4" w:space="0"/>
                    <w:left w:val="single" w:color="auto" w:sz="4" w:space="0"/>
                    <w:bottom w:val="single" w:color="auto" w:sz="4" w:space="0"/>
                    <w:right w:val="single" w:color="auto" w:sz="4" w:space="0"/>
                  </w:tcBorders>
                  <w:vAlign w:val="center"/>
                </w:tcPr>
                <w:p w14:paraId="7B1E3895">
                  <w:pPr>
                    <w:jc w:val="center"/>
                    <w:rPr>
                      <w:rFonts w:ascii="Times New Roman" w:hAnsi="Times New Roman"/>
                      <w:szCs w:val="21"/>
                    </w:rPr>
                  </w:pPr>
                  <w:r>
                    <w:rPr>
                      <w:rFonts w:ascii="Times New Roman" w:hAnsi="Times New Roman"/>
                      <w:szCs w:val="21"/>
                    </w:rPr>
                    <w:t xml:space="preserve">2.78 </w:t>
                  </w:r>
                </w:p>
              </w:tc>
              <w:tc>
                <w:tcPr>
                  <w:tcW w:w="509" w:type="pct"/>
                  <w:tcBorders>
                    <w:top w:val="single" w:color="auto" w:sz="4" w:space="0"/>
                    <w:left w:val="single" w:color="auto" w:sz="4" w:space="0"/>
                    <w:bottom w:val="single" w:color="auto" w:sz="4" w:space="0"/>
                    <w:right w:val="single" w:color="auto" w:sz="4" w:space="0"/>
                  </w:tcBorders>
                  <w:vAlign w:val="center"/>
                </w:tcPr>
                <w:p w14:paraId="516DB3D3">
                  <w:pPr>
                    <w:jc w:val="center"/>
                    <w:rPr>
                      <w:rFonts w:ascii="Times New Roman" w:hAnsi="Times New Roman"/>
                      <w:szCs w:val="21"/>
                    </w:rPr>
                  </w:pPr>
                  <w:r>
                    <w:rPr>
                      <w:rFonts w:ascii="Times New Roman" w:hAnsi="Times New Roman"/>
                      <w:szCs w:val="21"/>
                    </w:rPr>
                    <w:t xml:space="preserve">191.33 </w:t>
                  </w:r>
                </w:p>
              </w:tc>
              <w:tc>
                <w:tcPr>
                  <w:tcW w:w="549" w:type="pct"/>
                  <w:tcBorders>
                    <w:top w:val="single" w:color="auto" w:sz="4" w:space="0"/>
                    <w:left w:val="single" w:color="auto" w:sz="4" w:space="0"/>
                    <w:bottom w:val="single" w:color="auto" w:sz="4" w:space="0"/>
                    <w:right w:val="single" w:color="auto" w:sz="4" w:space="0"/>
                  </w:tcBorders>
                  <w:vAlign w:val="center"/>
                </w:tcPr>
                <w:p w14:paraId="78987DB1">
                  <w:pPr>
                    <w:jc w:val="center"/>
                    <w:rPr>
                      <w:rFonts w:ascii="Times New Roman" w:hAnsi="Times New Roman"/>
                      <w:szCs w:val="21"/>
                    </w:rPr>
                  </w:pPr>
                  <w:r>
                    <w:rPr>
                      <w:rFonts w:ascii="Times New Roman" w:hAnsi="Times New Roman"/>
                      <w:szCs w:val="21"/>
                    </w:rPr>
                    <w:t xml:space="preserve">194.11 </w:t>
                  </w:r>
                </w:p>
              </w:tc>
              <w:tc>
                <w:tcPr>
                  <w:tcW w:w="449" w:type="pct"/>
                  <w:vAlign w:val="center"/>
                </w:tcPr>
                <w:p w14:paraId="0D1AD98D">
                  <w:pPr>
                    <w:jc w:val="center"/>
                    <w:rPr>
                      <w:rFonts w:ascii="Times New Roman" w:hAnsi="Times New Roman"/>
                      <w:szCs w:val="21"/>
                    </w:rPr>
                  </w:pPr>
                  <w:r>
                    <w:rPr>
                      <w:rFonts w:ascii="Times New Roman" w:hAnsi="Times New Roman"/>
                      <w:szCs w:val="21"/>
                    </w:rPr>
                    <w:t xml:space="preserve">5.56 </w:t>
                  </w:r>
                </w:p>
              </w:tc>
              <w:tc>
                <w:tcPr>
                  <w:tcW w:w="509" w:type="pct"/>
                  <w:vAlign w:val="center"/>
                </w:tcPr>
                <w:p w14:paraId="5A18BF94">
                  <w:pPr>
                    <w:jc w:val="center"/>
                    <w:rPr>
                      <w:rFonts w:ascii="Times New Roman" w:hAnsi="Times New Roman"/>
                      <w:szCs w:val="21"/>
                    </w:rPr>
                  </w:pPr>
                  <w:r>
                    <w:rPr>
                      <w:rFonts w:ascii="Times New Roman" w:hAnsi="Times New Roman"/>
                      <w:szCs w:val="21"/>
                    </w:rPr>
                    <w:t xml:space="preserve">110.00 </w:t>
                  </w:r>
                </w:p>
              </w:tc>
              <w:tc>
                <w:tcPr>
                  <w:tcW w:w="549" w:type="pct"/>
                  <w:vAlign w:val="center"/>
                </w:tcPr>
                <w:p w14:paraId="027A63F1">
                  <w:pPr>
                    <w:jc w:val="center"/>
                    <w:rPr>
                      <w:rFonts w:ascii="Times New Roman" w:hAnsi="Times New Roman"/>
                      <w:szCs w:val="21"/>
                    </w:rPr>
                  </w:pPr>
                  <w:r>
                    <w:rPr>
                      <w:rFonts w:ascii="Times New Roman" w:hAnsi="Times New Roman"/>
                      <w:szCs w:val="21"/>
                    </w:rPr>
                    <w:t>115.56</w:t>
                  </w:r>
                </w:p>
              </w:tc>
              <w:tc>
                <w:tcPr>
                  <w:tcW w:w="394" w:type="pct"/>
                  <w:tcBorders>
                    <w:top w:val="single" w:color="auto" w:sz="4" w:space="0"/>
                    <w:left w:val="single" w:color="auto" w:sz="4" w:space="0"/>
                    <w:bottom w:val="single" w:color="auto" w:sz="4" w:space="0"/>
                    <w:right w:val="single" w:color="auto" w:sz="4" w:space="0"/>
                  </w:tcBorders>
                  <w:vAlign w:val="center"/>
                </w:tcPr>
                <w:p w14:paraId="2C58B97E">
                  <w:pPr>
                    <w:jc w:val="center"/>
                    <w:rPr>
                      <w:rFonts w:ascii="Times New Roman" w:hAnsi="Times New Roman"/>
                      <w:szCs w:val="21"/>
                    </w:rPr>
                  </w:pPr>
                  <w:r>
                    <w:rPr>
                      <w:rFonts w:ascii="Times New Roman" w:hAnsi="Times New Roman"/>
                      <w:szCs w:val="21"/>
                    </w:rPr>
                    <w:t xml:space="preserve">5.56 </w:t>
                  </w:r>
                </w:p>
              </w:tc>
              <w:tc>
                <w:tcPr>
                  <w:tcW w:w="570" w:type="pct"/>
                  <w:tcBorders>
                    <w:top w:val="single" w:color="auto" w:sz="4" w:space="0"/>
                    <w:left w:val="single" w:color="auto" w:sz="4" w:space="0"/>
                    <w:bottom w:val="single" w:color="auto" w:sz="4" w:space="0"/>
                    <w:right w:val="single" w:color="auto" w:sz="4" w:space="0"/>
                  </w:tcBorders>
                  <w:vAlign w:val="center"/>
                </w:tcPr>
                <w:p w14:paraId="62D0DF4E">
                  <w:pPr>
                    <w:jc w:val="center"/>
                    <w:rPr>
                      <w:rFonts w:ascii="Times New Roman" w:hAnsi="Times New Roman"/>
                      <w:szCs w:val="21"/>
                    </w:rPr>
                  </w:pPr>
                  <w:r>
                    <w:rPr>
                      <w:rFonts w:ascii="Times New Roman" w:hAnsi="Times New Roman"/>
                      <w:szCs w:val="21"/>
                    </w:rPr>
                    <w:t xml:space="preserve">139.33 </w:t>
                  </w:r>
                </w:p>
              </w:tc>
              <w:tc>
                <w:tcPr>
                  <w:tcW w:w="569" w:type="pct"/>
                  <w:tcBorders>
                    <w:top w:val="single" w:color="auto" w:sz="4" w:space="0"/>
                    <w:left w:val="single" w:color="auto" w:sz="4" w:space="0"/>
                    <w:bottom w:val="single" w:color="auto" w:sz="4" w:space="0"/>
                    <w:right w:val="single" w:color="auto" w:sz="4" w:space="0"/>
                  </w:tcBorders>
                  <w:vAlign w:val="center"/>
                </w:tcPr>
                <w:p w14:paraId="02139D97">
                  <w:pPr>
                    <w:jc w:val="center"/>
                    <w:rPr>
                      <w:rFonts w:ascii="Times New Roman" w:hAnsi="Times New Roman"/>
                      <w:szCs w:val="21"/>
                    </w:rPr>
                  </w:pPr>
                  <w:r>
                    <w:rPr>
                      <w:rFonts w:ascii="Times New Roman" w:hAnsi="Times New Roman"/>
                      <w:szCs w:val="21"/>
                    </w:rPr>
                    <w:t>144.89</w:t>
                  </w:r>
                </w:p>
              </w:tc>
            </w:tr>
            <w:tr w14:paraId="6731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2383443">
                  <w:pPr>
                    <w:pStyle w:val="2"/>
                    <w:spacing w:after="0"/>
                    <w:ind w:left="0" w:leftChars="0" w:firstLine="0" w:firstLineChars="0"/>
                    <w:jc w:val="center"/>
                    <w:rPr>
                      <w:szCs w:val="21"/>
                    </w:rPr>
                  </w:pPr>
                  <w:r>
                    <w:rPr>
                      <w:szCs w:val="21"/>
                    </w:rPr>
                    <w:t>40</w:t>
                  </w:r>
                </w:p>
              </w:tc>
              <w:tc>
                <w:tcPr>
                  <w:tcW w:w="449" w:type="pct"/>
                  <w:tcBorders>
                    <w:top w:val="single" w:color="auto" w:sz="4" w:space="0"/>
                    <w:left w:val="single" w:color="auto" w:sz="4" w:space="0"/>
                    <w:bottom w:val="single" w:color="auto" w:sz="4" w:space="0"/>
                    <w:right w:val="single" w:color="auto" w:sz="4" w:space="0"/>
                  </w:tcBorders>
                  <w:vAlign w:val="center"/>
                </w:tcPr>
                <w:p w14:paraId="7139D8E3">
                  <w:pPr>
                    <w:jc w:val="center"/>
                    <w:rPr>
                      <w:rFonts w:ascii="Times New Roman" w:hAnsi="Times New Roman"/>
                      <w:szCs w:val="21"/>
                    </w:rPr>
                  </w:pPr>
                  <w:r>
                    <w:rPr>
                      <w:rFonts w:ascii="Times New Roman" w:hAnsi="Times New Roman"/>
                      <w:szCs w:val="21"/>
                    </w:rPr>
                    <w:t xml:space="preserve">1.56 </w:t>
                  </w:r>
                </w:p>
              </w:tc>
              <w:tc>
                <w:tcPr>
                  <w:tcW w:w="509" w:type="pct"/>
                  <w:tcBorders>
                    <w:top w:val="single" w:color="auto" w:sz="4" w:space="0"/>
                    <w:left w:val="single" w:color="auto" w:sz="4" w:space="0"/>
                    <w:bottom w:val="single" w:color="auto" w:sz="4" w:space="0"/>
                    <w:right w:val="single" w:color="auto" w:sz="4" w:space="0"/>
                  </w:tcBorders>
                  <w:vAlign w:val="center"/>
                </w:tcPr>
                <w:p w14:paraId="534261B1">
                  <w:pPr>
                    <w:jc w:val="center"/>
                    <w:rPr>
                      <w:rFonts w:ascii="Times New Roman" w:hAnsi="Times New Roman"/>
                      <w:szCs w:val="21"/>
                    </w:rPr>
                  </w:pPr>
                  <w:r>
                    <w:rPr>
                      <w:rFonts w:ascii="Times New Roman" w:hAnsi="Times New Roman"/>
                      <w:szCs w:val="21"/>
                    </w:rPr>
                    <w:t xml:space="preserve">107.63 </w:t>
                  </w:r>
                </w:p>
              </w:tc>
              <w:tc>
                <w:tcPr>
                  <w:tcW w:w="549" w:type="pct"/>
                  <w:tcBorders>
                    <w:top w:val="single" w:color="auto" w:sz="4" w:space="0"/>
                    <w:left w:val="single" w:color="auto" w:sz="4" w:space="0"/>
                    <w:bottom w:val="single" w:color="auto" w:sz="4" w:space="0"/>
                    <w:right w:val="single" w:color="auto" w:sz="4" w:space="0"/>
                  </w:tcBorders>
                  <w:vAlign w:val="center"/>
                </w:tcPr>
                <w:p w14:paraId="34AAAC6D">
                  <w:pPr>
                    <w:jc w:val="center"/>
                    <w:rPr>
                      <w:rFonts w:ascii="Times New Roman" w:hAnsi="Times New Roman"/>
                      <w:szCs w:val="21"/>
                    </w:rPr>
                  </w:pPr>
                  <w:r>
                    <w:rPr>
                      <w:rFonts w:ascii="Times New Roman" w:hAnsi="Times New Roman"/>
                      <w:szCs w:val="21"/>
                    </w:rPr>
                    <w:t xml:space="preserve">109.19 </w:t>
                  </w:r>
                </w:p>
              </w:tc>
              <w:tc>
                <w:tcPr>
                  <w:tcW w:w="449" w:type="pct"/>
                  <w:vAlign w:val="center"/>
                </w:tcPr>
                <w:p w14:paraId="12A5A55F">
                  <w:pPr>
                    <w:jc w:val="center"/>
                    <w:rPr>
                      <w:rFonts w:ascii="Times New Roman" w:hAnsi="Times New Roman"/>
                      <w:szCs w:val="21"/>
                    </w:rPr>
                  </w:pPr>
                  <w:r>
                    <w:rPr>
                      <w:rFonts w:ascii="Times New Roman" w:hAnsi="Times New Roman"/>
                      <w:szCs w:val="21"/>
                    </w:rPr>
                    <w:t xml:space="preserve">3.13 </w:t>
                  </w:r>
                </w:p>
              </w:tc>
              <w:tc>
                <w:tcPr>
                  <w:tcW w:w="509" w:type="pct"/>
                  <w:vAlign w:val="center"/>
                </w:tcPr>
                <w:p w14:paraId="77C5E3D5">
                  <w:pPr>
                    <w:jc w:val="center"/>
                    <w:rPr>
                      <w:rFonts w:ascii="Times New Roman" w:hAnsi="Times New Roman"/>
                      <w:szCs w:val="21"/>
                    </w:rPr>
                  </w:pPr>
                  <w:r>
                    <w:rPr>
                      <w:rFonts w:ascii="Times New Roman" w:hAnsi="Times New Roman"/>
                      <w:szCs w:val="21"/>
                    </w:rPr>
                    <w:t xml:space="preserve">61.88 </w:t>
                  </w:r>
                </w:p>
              </w:tc>
              <w:tc>
                <w:tcPr>
                  <w:tcW w:w="549" w:type="pct"/>
                  <w:vAlign w:val="center"/>
                </w:tcPr>
                <w:p w14:paraId="7DC256AA">
                  <w:pPr>
                    <w:jc w:val="center"/>
                    <w:rPr>
                      <w:rFonts w:ascii="Times New Roman" w:hAnsi="Times New Roman"/>
                      <w:szCs w:val="21"/>
                    </w:rPr>
                  </w:pPr>
                  <w:r>
                    <w:rPr>
                      <w:rFonts w:ascii="Times New Roman" w:hAnsi="Times New Roman"/>
                      <w:szCs w:val="21"/>
                    </w:rPr>
                    <w:t>65.01</w:t>
                  </w:r>
                </w:p>
              </w:tc>
              <w:tc>
                <w:tcPr>
                  <w:tcW w:w="394" w:type="pct"/>
                  <w:tcBorders>
                    <w:top w:val="single" w:color="auto" w:sz="4" w:space="0"/>
                    <w:left w:val="single" w:color="auto" w:sz="4" w:space="0"/>
                    <w:bottom w:val="single" w:color="auto" w:sz="4" w:space="0"/>
                    <w:right w:val="single" w:color="auto" w:sz="4" w:space="0"/>
                  </w:tcBorders>
                  <w:vAlign w:val="center"/>
                </w:tcPr>
                <w:p w14:paraId="2383B45E">
                  <w:pPr>
                    <w:jc w:val="center"/>
                    <w:rPr>
                      <w:rFonts w:ascii="Times New Roman" w:hAnsi="Times New Roman"/>
                      <w:szCs w:val="21"/>
                    </w:rPr>
                  </w:pPr>
                  <w:r>
                    <w:rPr>
                      <w:rFonts w:ascii="Times New Roman" w:hAnsi="Times New Roman"/>
                      <w:szCs w:val="21"/>
                    </w:rPr>
                    <w:t xml:space="preserve">3.13 </w:t>
                  </w:r>
                </w:p>
              </w:tc>
              <w:tc>
                <w:tcPr>
                  <w:tcW w:w="570" w:type="pct"/>
                  <w:tcBorders>
                    <w:top w:val="single" w:color="auto" w:sz="4" w:space="0"/>
                    <w:left w:val="single" w:color="auto" w:sz="4" w:space="0"/>
                    <w:bottom w:val="single" w:color="auto" w:sz="4" w:space="0"/>
                    <w:right w:val="single" w:color="auto" w:sz="4" w:space="0"/>
                  </w:tcBorders>
                  <w:vAlign w:val="center"/>
                </w:tcPr>
                <w:p w14:paraId="0EAB3053">
                  <w:pPr>
                    <w:jc w:val="center"/>
                    <w:rPr>
                      <w:rFonts w:ascii="Times New Roman" w:hAnsi="Times New Roman"/>
                      <w:szCs w:val="21"/>
                    </w:rPr>
                  </w:pPr>
                  <w:r>
                    <w:rPr>
                      <w:rFonts w:ascii="Times New Roman" w:hAnsi="Times New Roman"/>
                      <w:szCs w:val="21"/>
                    </w:rPr>
                    <w:t xml:space="preserve">78.38 </w:t>
                  </w:r>
                </w:p>
              </w:tc>
              <w:tc>
                <w:tcPr>
                  <w:tcW w:w="569" w:type="pct"/>
                  <w:tcBorders>
                    <w:top w:val="single" w:color="auto" w:sz="4" w:space="0"/>
                    <w:left w:val="single" w:color="auto" w:sz="4" w:space="0"/>
                    <w:bottom w:val="single" w:color="auto" w:sz="4" w:space="0"/>
                    <w:right w:val="single" w:color="auto" w:sz="4" w:space="0"/>
                  </w:tcBorders>
                  <w:vAlign w:val="center"/>
                </w:tcPr>
                <w:p w14:paraId="5869A024">
                  <w:pPr>
                    <w:jc w:val="center"/>
                    <w:rPr>
                      <w:rFonts w:ascii="Times New Roman" w:hAnsi="Times New Roman"/>
                      <w:szCs w:val="21"/>
                    </w:rPr>
                  </w:pPr>
                  <w:r>
                    <w:rPr>
                      <w:rFonts w:ascii="Times New Roman" w:hAnsi="Times New Roman"/>
                      <w:szCs w:val="21"/>
                    </w:rPr>
                    <w:t>81.50</w:t>
                  </w:r>
                </w:p>
              </w:tc>
            </w:tr>
            <w:tr w14:paraId="7B4A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CC56706">
                  <w:pPr>
                    <w:pStyle w:val="2"/>
                    <w:spacing w:after="0"/>
                    <w:ind w:left="0" w:leftChars="0" w:firstLine="0" w:firstLineChars="0"/>
                    <w:jc w:val="center"/>
                    <w:rPr>
                      <w:szCs w:val="21"/>
                    </w:rPr>
                  </w:pPr>
                  <w:r>
                    <w:rPr>
                      <w:szCs w:val="21"/>
                    </w:rPr>
                    <w:t>50</w:t>
                  </w:r>
                </w:p>
              </w:tc>
              <w:tc>
                <w:tcPr>
                  <w:tcW w:w="449" w:type="pct"/>
                  <w:tcBorders>
                    <w:top w:val="single" w:color="auto" w:sz="4" w:space="0"/>
                    <w:left w:val="single" w:color="auto" w:sz="4" w:space="0"/>
                    <w:bottom w:val="single" w:color="auto" w:sz="4" w:space="0"/>
                    <w:right w:val="single" w:color="auto" w:sz="4" w:space="0"/>
                  </w:tcBorders>
                  <w:vAlign w:val="center"/>
                </w:tcPr>
                <w:p w14:paraId="6C0E379B">
                  <w:pPr>
                    <w:jc w:val="center"/>
                    <w:rPr>
                      <w:rFonts w:ascii="Times New Roman" w:hAnsi="Times New Roman"/>
                      <w:szCs w:val="21"/>
                    </w:rPr>
                  </w:pPr>
                  <w:r>
                    <w:rPr>
                      <w:rFonts w:ascii="Times New Roman" w:hAnsi="Times New Roman"/>
                      <w:szCs w:val="21"/>
                    </w:rPr>
                    <w:t xml:space="preserve">1.00 </w:t>
                  </w:r>
                </w:p>
              </w:tc>
              <w:tc>
                <w:tcPr>
                  <w:tcW w:w="509" w:type="pct"/>
                  <w:tcBorders>
                    <w:top w:val="single" w:color="auto" w:sz="4" w:space="0"/>
                    <w:left w:val="single" w:color="auto" w:sz="4" w:space="0"/>
                    <w:bottom w:val="single" w:color="auto" w:sz="4" w:space="0"/>
                    <w:right w:val="single" w:color="auto" w:sz="4" w:space="0"/>
                  </w:tcBorders>
                  <w:vAlign w:val="center"/>
                </w:tcPr>
                <w:p w14:paraId="78781AD5">
                  <w:pPr>
                    <w:jc w:val="center"/>
                    <w:rPr>
                      <w:rFonts w:ascii="Times New Roman" w:hAnsi="Times New Roman"/>
                      <w:szCs w:val="21"/>
                    </w:rPr>
                  </w:pPr>
                  <w:r>
                    <w:rPr>
                      <w:rFonts w:ascii="Times New Roman" w:hAnsi="Times New Roman"/>
                      <w:szCs w:val="21"/>
                    </w:rPr>
                    <w:t xml:space="preserve">68.88 </w:t>
                  </w:r>
                </w:p>
              </w:tc>
              <w:tc>
                <w:tcPr>
                  <w:tcW w:w="549" w:type="pct"/>
                  <w:tcBorders>
                    <w:top w:val="single" w:color="auto" w:sz="4" w:space="0"/>
                    <w:left w:val="single" w:color="auto" w:sz="4" w:space="0"/>
                    <w:bottom w:val="single" w:color="auto" w:sz="4" w:space="0"/>
                    <w:right w:val="single" w:color="auto" w:sz="4" w:space="0"/>
                  </w:tcBorders>
                  <w:vAlign w:val="center"/>
                </w:tcPr>
                <w:p w14:paraId="32AA6261">
                  <w:pPr>
                    <w:jc w:val="center"/>
                    <w:rPr>
                      <w:rFonts w:ascii="Times New Roman" w:hAnsi="Times New Roman"/>
                      <w:szCs w:val="21"/>
                    </w:rPr>
                  </w:pPr>
                  <w:r>
                    <w:rPr>
                      <w:rFonts w:ascii="Times New Roman" w:hAnsi="Times New Roman"/>
                      <w:szCs w:val="21"/>
                    </w:rPr>
                    <w:t xml:space="preserve">69.88 </w:t>
                  </w:r>
                </w:p>
              </w:tc>
              <w:tc>
                <w:tcPr>
                  <w:tcW w:w="449" w:type="pct"/>
                  <w:vAlign w:val="center"/>
                </w:tcPr>
                <w:p w14:paraId="4D8CE699">
                  <w:pPr>
                    <w:jc w:val="center"/>
                    <w:rPr>
                      <w:rFonts w:ascii="Times New Roman" w:hAnsi="Times New Roman"/>
                      <w:szCs w:val="21"/>
                    </w:rPr>
                  </w:pPr>
                  <w:r>
                    <w:rPr>
                      <w:rFonts w:ascii="Times New Roman" w:hAnsi="Times New Roman"/>
                      <w:szCs w:val="21"/>
                    </w:rPr>
                    <w:t xml:space="preserve">2.00 </w:t>
                  </w:r>
                </w:p>
              </w:tc>
              <w:tc>
                <w:tcPr>
                  <w:tcW w:w="509" w:type="pct"/>
                  <w:vAlign w:val="center"/>
                </w:tcPr>
                <w:p w14:paraId="317760BD">
                  <w:pPr>
                    <w:jc w:val="center"/>
                    <w:rPr>
                      <w:rFonts w:ascii="Times New Roman" w:hAnsi="Times New Roman"/>
                      <w:szCs w:val="21"/>
                    </w:rPr>
                  </w:pPr>
                  <w:r>
                    <w:rPr>
                      <w:rFonts w:ascii="Times New Roman" w:hAnsi="Times New Roman"/>
                      <w:szCs w:val="21"/>
                    </w:rPr>
                    <w:t xml:space="preserve">39.60 </w:t>
                  </w:r>
                </w:p>
              </w:tc>
              <w:tc>
                <w:tcPr>
                  <w:tcW w:w="549" w:type="pct"/>
                  <w:vAlign w:val="center"/>
                </w:tcPr>
                <w:p w14:paraId="4BC6EE61">
                  <w:pPr>
                    <w:jc w:val="center"/>
                    <w:rPr>
                      <w:rFonts w:ascii="Times New Roman" w:hAnsi="Times New Roman"/>
                      <w:szCs w:val="21"/>
                    </w:rPr>
                  </w:pPr>
                  <w:r>
                    <w:rPr>
                      <w:rFonts w:ascii="Times New Roman" w:hAnsi="Times New Roman"/>
                      <w:szCs w:val="21"/>
                    </w:rPr>
                    <w:t>41.6</w:t>
                  </w:r>
                </w:p>
              </w:tc>
              <w:tc>
                <w:tcPr>
                  <w:tcW w:w="394" w:type="pct"/>
                  <w:tcBorders>
                    <w:top w:val="single" w:color="auto" w:sz="4" w:space="0"/>
                    <w:left w:val="single" w:color="auto" w:sz="4" w:space="0"/>
                    <w:bottom w:val="single" w:color="auto" w:sz="4" w:space="0"/>
                    <w:right w:val="single" w:color="auto" w:sz="4" w:space="0"/>
                  </w:tcBorders>
                  <w:vAlign w:val="center"/>
                </w:tcPr>
                <w:p w14:paraId="29B3D02A">
                  <w:pPr>
                    <w:jc w:val="center"/>
                    <w:rPr>
                      <w:rFonts w:ascii="Times New Roman" w:hAnsi="Times New Roman"/>
                      <w:szCs w:val="21"/>
                    </w:rPr>
                  </w:pPr>
                  <w:r>
                    <w:rPr>
                      <w:rFonts w:ascii="Times New Roman" w:hAnsi="Times New Roman"/>
                      <w:szCs w:val="21"/>
                    </w:rPr>
                    <w:t xml:space="preserve">2.00 </w:t>
                  </w:r>
                </w:p>
              </w:tc>
              <w:tc>
                <w:tcPr>
                  <w:tcW w:w="570" w:type="pct"/>
                  <w:tcBorders>
                    <w:top w:val="single" w:color="auto" w:sz="4" w:space="0"/>
                    <w:left w:val="single" w:color="auto" w:sz="4" w:space="0"/>
                    <w:bottom w:val="single" w:color="auto" w:sz="4" w:space="0"/>
                    <w:right w:val="single" w:color="auto" w:sz="4" w:space="0"/>
                  </w:tcBorders>
                  <w:vAlign w:val="center"/>
                </w:tcPr>
                <w:p w14:paraId="72459553">
                  <w:pPr>
                    <w:jc w:val="center"/>
                    <w:rPr>
                      <w:rFonts w:ascii="Times New Roman" w:hAnsi="Times New Roman"/>
                      <w:szCs w:val="21"/>
                    </w:rPr>
                  </w:pPr>
                  <w:r>
                    <w:rPr>
                      <w:rFonts w:ascii="Times New Roman" w:hAnsi="Times New Roman"/>
                      <w:szCs w:val="21"/>
                    </w:rPr>
                    <w:t xml:space="preserve">50.16 </w:t>
                  </w:r>
                </w:p>
              </w:tc>
              <w:tc>
                <w:tcPr>
                  <w:tcW w:w="569" w:type="pct"/>
                  <w:tcBorders>
                    <w:top w:val="single" w:color="auto" w:sz="4" w:space="0"/>
                    <w:left w:val="single" w:color="auto" w:sz="4" w:space="0"/>
                    <w:bottom w:val="single" w:color="auto" w:sz="4" w:space="0"/>
                    <w:right w:val="single" w:color="auto" w:sz="4" w:space="0"/>
                  </w:tcBorders>
                  <w:vAlign w:val="center"/>
                </w:tcPr>
                <w:p w14:paraId="727E8896">
                  <w:pPr>
                    <w:jc w:val="center"/>
                    <w:rPr>
                      <w:rFonts w:ascii="Times New Roman" w:hAnsi="Times New Roman"/>
                      <w:szCs w:val="21"/>
                    </w:rPr>
                  </w:pPr>
                  <w:r>
                    <w:rPr>
                      <w:rFonts w:ascii="Times New Roman" w:hAnsi="Times New Roman"/>
                      <w:szCs w:val="21"/>
                    </w:rPr>
                    <w:t>52.16</w:t>
                  </w:r>
                </w:p>
              </w:tc>
            </w:tr>
            <w:tr w14:paraId="268E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04136F0">
                  <w:pPr>
                    <w:pStyle w:val="2"/>
                    <w:spacing w:after="0"/>
                    <w:ind w:left="0" w:leftChars="0" w:firstLine="0" w:firstLineChars="0"/>
                    <w:jc w:val="center"/>
                    <w:rPr>
                      <w:szCs w:val="21"/>
                    </w:rPr>
                  </w:pPr>
                  <w:r>
                    <w:rPr>
                      <w:szCs w:val="21"/>
                    </w:rPr>
                    <w:t>60</w:t>
                  </w:r>
                </w:p>
              </w:tc>
              <w:tc>
                <w:tcPr>
                  <w:tcW w:w="449" w:type="pct"/>
                  <w:tcBorders>
                    <w:top w:val="single" w:color="auto" w:sz="4" w:space="0"/>
                    <w:left w:val="single" w:color="auto" w:sz="4" w:space="0"/>
                    <w:bottom w:val="single" w:color="auto" w:sz="4" w:space="0"/>
                    <w:right w:val="single" w:color="auto" w:sz="4" w:space="0"/>
                  </w:tcBorders>
                  <w:vAlign w:val="center"/>
                </w:tcPr>
                <w:p w14:paraId="60E53661">
                  <w:pPr>
                    <w:jc w:val="center"/>
                    <w:rPr>
                      <w:rFonts w:ascii="Times New Roman" w:hAnsi="Times New Roman"/>
                      <w:szCs w:val="21"/>
                    </w:rPr>
                  </w:pPr>
                  <w:r>
                    <w:rPr>
                      <w:rFonts w:ascii="Times New Roman" w:hAnsi="Times New Roman"/>
                      <w:szCs w:val="21"/>
                    </w:rPr>
                    <w:t xml:space="preserve">0.69 </w:t>
                  </w:r>
                </w:p>
              </w:tc>
              <w:tc>
                <w:tcPr>
                  <w:tcW w:w="509" w:type="pct"/>
                  <w:tcBorders>
                    <w:top w:val="single" w:color="auto" w:sz="4" w:space="0"/>
                    <w:left w:val="single" w:color="auto" w:sz="4" w:space="0"/>
                    <w:bottom w:val="single" w:color="auto" w:sz="4" w:space="0"/>
                    <w:right w:val="single" w:color="auto" w:sz="4" w:space="0"/>
                  </w:tcBorders>
                  <w:vAlign w:val="center"/>
                </w:tcPr>
                <w:p w14:paraId="546412FC">
                  <w:pPr>
                    <w:jc w:val="center"/>
                    <w:rPr>
                      <w:rFonts w:ascii="Times New Roman" w:hAnsi="Times New Roman"/>
                      <w:szCs w:val="21"/>
                    </w:rPr>
                  </w:pPr>
                  <w:r>
                    <w:rPr>
                      <w:rFonts w:ascii="Times New Roman" w:hAnsi="Times New Roman"/>
                      <w:szCs w:val="21"/>
                    </w:rPr>
                    <w:t xml:space="preserve">47.83 </w:t>
                  </w:r>
                </w:p>
              </w:tc>
              <w:tc>
                <w:tcPr>
                  <w:tcW w:w="549" w:type="pct"/>
                  <w:tcBorders>
                    <w:top w:val="single" w:color="auto" w:sz="4" w:space="0"/>
                    <w:left w:val="single" w:color="auto" w:sz="4" w:space="0"/>
                    <w:bottom w:val="single" w:color="auto" w:sz="4" w:space="0"/>
                    <w:right w:val="single" w:color="auto" w:sz="4" w:space="0"/>
                  </w:tcBorders>
                  <w:vAlign w:val="center"/>
                </w:tcPr>
                <w:p w14:paraId="1E393D6B">
                  <w:pPr>
                    <w:jc w:val="center"/>
                    <w:rPr>
                      <w:rFonts w:ascii="Times New Roman" w:hAnsi="Times New Roman"/>
                      <w:szCs w:val="21"/>
                    </w:rPr>
                  </w:pPr>
                  <w:r>
                    <w:rPr>
                      <w:rFonts w:ascii="Times New Roman" w:hAnsi="Times New Roman"/>
                      <w:szCs w:val="21"/>
                    </w:rPr>
                    <w:t xml:space="preserve">48.53 </w:t>
                  </w:r>
                </w:p>
              </w:tc>
              <w:tc>
                <w:tcPr>
                  <w:tcW w:w="449" w:type="pct"/>
                  <w:vAlign w:val="center"/>
                </w:tcPr>
                <w:p w14:paraId="14F5EC9E">
                  <w:pPr>
                    <w:jc w:val="center"/>
                    <w:rPr>
                      <w:rFonts w:ascii="Times New Roman" w:hAnsi="Times New Roman"/>
                      <w:szCs w:val="21"/>
                    </w:rPr>
                  </w:pPr>
                  <w:r>
                    <w:rPr>
                      <w:rFonts w:ascii="Times New Roman" w:hAnsi="Times New Roman"/>
                      <w:szCs w:val="21"/>
                    </w:rPr>
                    <w:t xml:space="preserve">1.39 </w:t>
                  </w:r>
                </w:p>
              </w:tc>
              <w:tc>
                <w:tcPr>
                  <w:tcW w:w="509" w:type="pct"/>
                  <w:vAlign w:val="center"/>
                </w:tcPr>
                <w:p w14:paraId="39832C76">
                  <w:pPr>
                    <w:jc w:val="center"/>
                    <w:rPr>
                      <w:rFonts w:ascii="Times New Roman" w:hAnsi="Times New Roman"/>
                      <w:szCs w:val="21"/>
                    </w:rPr>
                  </w:pPr>
                  <w:r>
                    <w:rPr>
                      <w:rFonts w:ascii="Times New Roman" w:hAnsi="Times New Roman"/>
                      <w:szCs w:val="21"/>
                    </w:rPr>
                    <w:t xml:space="preserve">27.50 </w:t>
                  </w:r>
                </w:p>
              </w:tc>
              <w:tc>
                <w:tcPr>
                  <w:tcW w:w="549" w:type="pct"/>
                  <w:vAlign w:val="center"/>
                </w:tcPr>
                <w:p w14:paraId="784D7425">
                  <w:pPr>
                    <w:jc w:val="center"/>
                    <w:rPr>
                      <w:rFonts w:ascii="Times New Roman" w:hAnsi="Times New Roman"/>
                      <w:szCs w:val="21"/>
                    </w:rPr>
                  </w:pPr>
                  <w:r>
                    <w:rPr>
                      <w:rFonts w:ascii="Times New Roman" w:hAnsi="Times New Roman"/>
                      <w:szCs w:val="21"/>
                    </w:rPr>
                    <w:t>28.76</w:t>
                  </w:r>
                </w:p>
              </w:tc>
              <w:tc>
                <w:tcPr>
                  <w:tcW w:w="394" w:type="pct"/>
                  <w:tcBorders>
                    <w:top w:val="single" w:color="auto" w:sz="4" w:space="0"/>
                    <w:left w:val="single" w:color="auto" w:sz="4" w:space="0"/>
                    <w:bottom w:val="single" w:color="auto" w:sz="4" w:space="0"/>
                    <w:right w:val="single" w:color="auto" w:sz="4" w:space="0"/>
                  </w:tcBorders>
                  <w:vAlign w:val="center"/>
                </w:tcPr>
                <w:p w14:paraId="4E6DA202">
                  <w:pPr>
                    <w:jc w:val="center"/>
                    <w:rPr>
                      <w:rFonts w:ascii="Times New Roman" w:hAnsi="Times New Roman"/>
                      <w:szCs w:val="21"/>
                    </w:rPr>
                  </w:pPr>
                  <w:r>
                    <w:rPr>
                      <w:rFonts w:ascii="Times New Roman" w:hAnsi="Times New Roman"/>
                      <w:szCs w:val="21"/>
                    </w:rPr>
                    <w:t xml:space="preserve">1.39 </w:t>
                  </w:r>
                </w:p>
              </w:tc>
              <w:tc>
                <w:tcPr>
                  <w:tcW w:w="570" w:type="pct"/>
                  <w:tcBorders>
                    <w:top w:val="single" w:color="auto" w:sz="4" w:space="0"/>
                    <w:left w:val="single" w:color="auto" w:sz="4" w:space="0"/>
                    <w:bottom w:val="single" w:color="auto" w:sz="4" w:space="0"/>
                    <w:right w:val="single" w:color="auto" w:sz="4" w:space="0"/>
                  </w:tcBorders>
                  <w:vAlign w:val="center"/>
                </w:tcPr>
                <w:p w14:paraId="5EECF639">
                  <w:pPr>
                    <w:jc w:val="center"/>
                    <w:rPr>
                      <w:rFonts w:ascii="Times New Roman" w:hAnsi="Times New Roman"/>
                      <w:szCs w:val="21"/>
                    </w:rPr>
                  </w:pPr>
                  <w:r>
                    <w:rPr>
                      <w:rFonts w:ascii="Times New Roman" w:hAnsi="Times New Roman"/>
                      <w:szCs w:val="21"/>
                    </w:rPr>
                    <w:t xml:space="preserve">34.83 </w:t>
                  </w:r>
                </w:p>
              </w:tc>
              <w:tc>
                <w:tcPr>
                  <w:tcW w:w="569" w:type="pct"/>
                  <w:tcBorders>
                    <w:top w:val="single" w:color="auto" w:sz="4" w:space="0"/>
                    <w:left w:val="single" w:color="auto" w:sz="4" w:space="0"/>
                    <w:bottom w:val="single" w:color="auto" w:sz="4" w:space="0"/>
                    <w:right w:val="single" w:color="auto" w:sz="4" w:space="0"/>
                  </w:tcBorders>
                  <w:vAlign w:val="center"/>
                </w:tcPr>
                <w:p w14:paraId="43AEDE32">
                  <w:pPr>
                    <w:jc w:val="center"/>
                    <w:rPr>
                      <w:rFonts w:ascii="Times New Roman" w:hAnsi="Times New Roman"/>
                      <w:szCs w:val="21"/>
                    </w:rPr>
                  </w:pPr>
                  <w:r>
                    <w:rPr>
                      <w:rFonts w:ascii="Times New Roman" w:hAnsi="Times New Roman"/>
                      <w:szCs w:val="21"/>
                    </w:rPr>
                    <w:t>36.22</w:t>
                  </w:r>
                </w:p>
              </w:tc>
            </w:tr>
            <w:tr w14:paraId="3236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59F4A73">
                  <w:pPr>
                    <w:pStyle w:val="2"/>
                    <w:spacing w:after="0"/>
                    <w:ind w:left="0" w:leftChars="0" w:firstLine="0" w:firstLineChars="0"/>
                    <w:jc w:val="center"/>
                    <w:rPr>
                      <w:szCs w:val="21"/>
                    </w:rPr>
                  </w:pPr>
                  <w:r>
                    <w:rPr>
                      <w:szCs w:val="21"/>
                    </w:rPr>
                    <w:t>70</w:t>
                  </w:r>
                </w:p>
              </w:tc>
              <w:tc>
                <w:tcPr>
                  <w:tcW w:w="449" w:type="pct"/>
                  <w:tcBorders>
                    <w:top w:val="single" w:color="auto" w:sz="4" w:space="0"/>
                    <w:left w:val="single" w:color="auto" w:sz="4" w:space="0"/>
                    <w:bottom w:val="single" w:color="auto" w:sz="4" w:space="0"/>
                    <w:right w:val="single" w:color="auto" w:sz="4" w:space="0"/>
                  </w:tcBorders>
                  <w:vAlign w:val="center"/>
                </w:tcPr>
                <w:p w14:paraId="5AF80327">
                  <w:pPr>
                    <w:jc w:val="center"/>
                    <w:rPr>
                      <w:rFonts w:ascii="Times New Roman" w:hAnsi="Times New Roman"/>
                      <w:szCs w:val="21"/>
                    </w:rPr>
                  </w:pPr>
                  <w:r>
                    <w:rPr>
                      <w:rFonts w:ascii="Times New Roman" w:hAnsi="Times New Roman"/>
                      <w:szCs w:val="21"/>
                    </w:rPr>
                    <w:t xml:space="preserve">0.51 </w:t>
                  </w:r>
                </w:p>
              </w:tc>
              <w:tc>
                <w:tcPr>
                  <w:tcW w:w="509" w:type="pct"/>
                  <w:tcBorders>
                    <w:top w:val="single" w:color="auto" w:sz="4" w:space="0"/>
                    <w:left w:val="single" w:color="auto" w:sz="4" w:space="0"/>
                    <w:bottom w:val="single" w:color="auto" w:sz="4" w:space="0"/>
                    <w:right w:val="single" w:color="auto" w:sz="4" w:space="0"/>
                  </w:tcBorders>
                  <w:vAlign w:val="center"/>
                </w:tcPr>
                <w:p w14:paraId="779DE627">
                  <w:pPr>
                    <w:jc w:val="center"/>
                    <w:rPr>
                      <w:rFonts w:ascii="Times New Roman" w:hAnsi="Times New Roman"/>
                      <w:szCs w:val="21"/>
                    </w:rPr>
                  </w:pPr>
                  <w:r>
                    <w:rPr>
                      <w:rFonts w:ascii="Times New Roman" w:hAnsi="Times New Roman"/>
                      <w:szCs w:val="21"/>
                    </w:rPr>
                    <w:t xml:space="preserve">35.14 </w:t>
                  </w:r>
                </w:p>
              </w:tc>
              <w:tc>
                <w:tcPr>
                  <w:tcW w:w="549" w:type="pct"/>
                  <w:tcBorders>
                    <w:top w:val="single" w:color="auto" w:sz="4" w:space="0"/>
                    <w:left w:val="single" w:color="auto" w:sz="4" w:space="0"/>
                    <w:bottom w:val="single" w:color="auto" w:sz="4" w:space="0"/>
                    <w:right w:val="single" w:color="auto" w:sz="4" w:space="0"/>
                  </w:tcBorders>
                  <w:vAlign w:val="center"/>
                </w:tcPr>
                <w:p w14:paraId="7F935116">
                  <w:pPr>
                    <w:jc w:val="center"/>
                    <w:rPr>
                      <w:rFonts w:ascii="Times New Roman" w:hAnsi="Times New Roman"/>
                      <w:szCs w:val="21"/>
                    </w:rPr>
                  </w:pPr>
                  <w:r>
                    <w:rPr>
                      <w:rFonts w:ascii="Times New Roman" w:hAnsi="Times New Roman"/>
                      <w:szCs w:val="21"/>
                    </w:rPr>
                    <w:t xml:space="preserve">35.65 </w:t>
                  </w:r>
                </w:p>
              </w:tc>
              <w:tc>
                <w:tcPr>
                  <w:tcW w:w="449" w:type="pct"/>
                  <w:vAlign w:val="center"/>
                </w:tcPr>
                <w:p w14:paraId="519AC0FC">
                  <w:pPr>
                    <w:jc w:val="center"/>
                    <w:rPr>
                      <w:rFonts w:ascii="Times New Roman" w:hAnsi="Times New Roman"/>
                      <w:szCs w:val="21"/>
                    </w:rPr>
                  </w:pPr>
                  <w:r>
                    <w:rPr>
                      <w:rFonts w:ascii="Times New Roman" w:hAnsi="Times New Roman"/>
                      <w:szCs w:val="21"/>
                    </w:rPr>
                    <w:t xml:space="preserve">1.02 </w:t>
                  </w:r>
                </w:p>
              </w:tc>
              <w:tc>
                <w:tcPr>
                  <w:tcW w:w="509" w:type="pct"/>
                  <w:vAlign w:val="center"/>
                </w:tcPr>
                <w:p w14:paraId="38EA7776">
                  <w:pPr>
                    <w:jc w:val="center"/>
                    <w:rPr>
                      <w:rFonts w:ascii="Times New Roman" w:hAnsi="Times New Roman"/>
                      <w:szCs w:val="21"/>
                    </w:rPr>
                  </w:pPr>
                  <w:r>
                    <w:rPr>
                      <w:rFonts w:ascii="Times New Roman" w:hAnsi="Times New Roman"/>
                      <w:szCs w:val="21"/>
                    </w:rPr>
                    <w:t xml:space="preserve">20.20 </w:t>
                  </w:r>
                </w:p>
              </w:tc>
              <w:tc>
                <w:tcPr>
                  <w:tcW w:w="549" w:type="pct"/>
                  <w:vAlign w:val="center"/>
                </w:tcPr>
                <w:p w14:paraId="15F5C3A2">
                  <w:pPr>
                    <w:jc w:val="center"/>
                    <w:rPr>
                      <w:rFonts w:ascii="Times New Roman" w:hAnsi="Times New Roman"/>
                      <w:szCs w:val="21"/>
                    </w:rPr>
                  </w:pPr>
                  <w:r>
                    <w:rPr>
                      <w:rFonts w:ascii="Times New Roman" w:hAnsi="Times New Roman"/>
                      <w:szCs w:val="21"/>
                    </w:rPr>
                    <w:t>21 22</w:t>
                  </w:r>
                </w:p>
              </w:tc>
              <w:tc>
                <w:tcPr>
                  <w:tcW w:w="394" w:type="pct"/>
                  <w:tcBorders>
                    <w:top w:val="single" w:color="auto" w:sz="4" w:space="0"/>
                    <w:left w:val="single" w:color="auto" w:sz="4" w:space="0"/>
                    <w:bottom w:val="single" w:color="auto" w:sz="4" w:space="0"/>
                    <w:right w:val="single" w:color="auto" w:sz="4" w:space="0"/>
                  </w:tcBorders>
                  <w:vAlign w:val="center"/>
                </w:tcPr>
                <w:p w14:paraId="105EE88F">
                  <w:pPr>
                    <w:jc w:val="center"/>
                    <w:rPr>
                      <w:rFonts w:ascii="Times New Roman" w:hAnsi="Times New Roman"/>
                      <w:szCs w:val="21"/>
                    </w:rPr>
                  </w:pPr>
                  <w:r>
                    <w:rPr>
                      <w:rFonts w:ascii="Times New Roman" w:hAnsi="Times New Roman"/>
                      <w:szCs w:val="21"/>
                    </w:rPr>
                    <w:t xml:space="preserve">1.02 </w:t>
                  </w:r>
                </w:p>
              </w:tc>
              <w:tc>
                <w:tcPr>
                  <w:tcW w:w="570" w:type="pct"/>
                  <w:tcBorders>
                    <w:top w:val="single" w:color="auto" w:sz="4" w:space="0"/>
                    <w:left w:val="single" w:color="auto" w:sz="4" w:space="0"/>
                    <w:bottom w:val="single" w:color="auto" w:sz="4" w:space="0"/>
                    <w:right w:val="single" w:color="auto" w:sz="4" w:space="0"/>
                  </w:tcBorders>
                  <w:vAlign w:val="center"/>
                </w:tcPr>
                <w:p w14:paraId="240C6D19">
                  <w:pPr>
                    <w:jc w:val="center"/>
                    <w:rPr>
                      <w:rFonts w:ascii="Times New Roman" w:hAnsi="Times New Roman"/>
                      <w:szCs w:val="21"/>
                    </w:rPr>
                  </w:pPr>
                  <w:r>
                    <w:rPr>
                      <w:rFonts w:ascii="Times New Roman" w:hAnsi="Times New Roman"/>
                      <w:szCs w:val="21"/>
                    </w:rPr>
                    <w:t xml:space="preserve">25.59 </w:t>
                  </w:r>
                </w:p>
              </w:tc>
              <w:tc>
                <w:tcPr>
                  <w:tcW w:w="569" w:type="pct"/>
                  <w:tcBorders>
                    <w:top w:val="single" w:color="auto" w:sz="4" w:space="0"/>
                    <w:left w:val="single" w:color="auto" w:sz="4" w:space="0"/>
                    <w:bottom w:val="single" w:color="auto" w:sz="4" w:space="0"/>
                    <w:right w:val="single" w:color="auto" w:sz="4" w:space="0"/>
                  </w:tcBorders>
                  <w:vAlign w:val="center"/>
                </w:tcPr>
                <w:p w14:paraId="0BC225F0">
                  <w:pPr>
                    <w:jc w:val="center"/>
                    <w:rPr>
                      <w:rFonts w:ascii="Times New Roman" w:hAnsi="Times New Roman"/>
                      <w:szCs w:val="21"/>
                    </w:rPr>
                  </w:pPr>
                  <w:r>
                    <w:rPr>
                      <w:rFonts w:ascii="Times New Roman" w:hAnsi="Times New Roman"/>
                      <w:szCs w:val="21"/>
                    </w:rPr>
                    <w:t>26.61</w:t>
                  </w:r>
                </w:p>
              </w:tc>
            </w:tr>
            <w:tr w14:paraId="11A6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F3ACCAA">
                  <w:pPr>
                    <w:pStyle w:val="2"/>
                    <w:spacing w:after="0"/>
                    <w:ind w:left="0" w:leftChars="0" w:firstLine="0" w:firstLineChars="0"/>
                    <w:jc w:val="center"/>
                    <w:rPr>
                      <w:szCs w:val="21"/>
                    </w:rPr>
                  </w:pPr>
                  <w:r>
                    <w:rPr>
                      <w:szCs w:val="21"/>
                    </w:rPr>
                    <w:t>80</w:t>
                  </w:r>
                </w:p>
              </w:tc>
              <w:tc>
                <w:tcPr>
                  <w:tcW w:w="449" w:type="pct"/>
                  <w:tcBorders>
                    <w:top w:val="single" w:color="auto" w:sz="4" w:space="0"/>
                    <w:left w:val="single" w:color="auto" w:sz="4" w:space="0"/>
                    <w:bottom w:val="single" w:color="auto" w:sz="4" w:space="0"/>
                    <w:right w:val="single" w:color="auto" w:sz="4" w:space="0"/>
                  </w:tcBorders>
                  <w:vAlign w:val="center"/>
                </w:tcPr>
                <w:p w14:paraId="6DCA74C4">
                  <w:pPr>
                    <w:jc w:val="center"/>
                    <w:rPr>
                      <w:rFonts w:ascii="Times New Roman" w:hAnsi="Times New Roman"/>
                      <w:szCs w:val="21"/>
                    </w:rPr>
                  </w:pPr>
                  <w:r>
                    <w:rPr>
                      <w:rFonts w:ascii="Times New Roman" w:hAnsi="Times New Roman"/>
                      <w:szCs w:val="21"/>
                    </w:rPr>
                    <w:t xml:space="preserve">0.39 </w:t>
                  </w:r>
                </w:p>
              </w:tc>
              <w:tc>
                <w:tcPr>
                  <w:tcW w:w="509" w:type="pct"/>
                  <w:tcBorders>
                    <w:top w:val="single" w:color="auto" w:sz="4" w:space="0"/>
                    <w:left w:val="single" w:color="auto" w:sz="4" w:space="0"/>
                    <w:bottom w:val="single" w:color="auto" w:sz="4" w:space="0"/>
                    <w:right w:val="single" w:color="auto" w:sz="4" w:space="0"/>
                  </w:tcBorders>
                  <w:vAlign w:val="center"/>
                </w:tcPr>
                <w:p w14:paraId="0AEE6955">
                  <w:pPr>
                    <w:jc w:val="center"/>
                    <w:rPr>
                      <w:rFonts w:ascii="Times New Roman" w:hAnsi="Times New Roman"/>
                      <w:szCs w:val="21"/>
                    </w:rPr>
                  </w:pPr>
                  <w:r>
                    <w:rPr>
                      <w:rFonts w:ascii="Times New Roman" w:hAnsi="Times New Roman"/>
                      <w:szCs w:val="21"/>
                    </w:rPr>
                    <w:t xml:space="preserve">26.91 </w:t>
                  </w:r>
                </w:p>
              </w:tc>
              <w:tc>
                <w:tcPr>
                  <w:tcW w:w="549" w:type="pct"/>
                  <w:tcBorders>
                    <w:top w:val="single" w:color="auto" w:sz="4" w:space="0"/>
                    <w:left w:val="single" w:color="auto" w:sz="4" w:space="0"/>
                    <w:bottom w:val="single" w:color="auto" w:sz="4" w:space="0"/>
                    <w:right w:val="single" w:color="auto" w:sz="4" w:space="0"/>
                  </w:tcBorders>
                  <w:vAlign w:val="center"/>
                </w:tcPr>
                <w:p w14:paraId="774BAB88">
                  <w:pPr>
                    <w:jc w:val="center"/>
                    <w:rPr>
                      <w:rFonts w:ascii="Times New Roman" w:hAnsi="Times New Roman"/>
                      <w:szCs w:val="21"/>
                    </w:rPr>
                  </w:pPr>
                  <w:r>
                    <w:rPr>
                      <w:rFonts w:ascii="Times New Roman" w:hAnsi="Times New Roman"/>
                      <w:szCs w:val="21"/>
                    </w:rPr>
                    <w:t xml:space="preserve">27.30 </w:t>
                  </w:r>
                </w:p>
              </w:tc>
              <w:tc>
                <w:tcPr>
                  <w:tcW w:w="449" w:type="pct"/>
                  <w:vAlign w:val="center"/>
                </w:tcPr>
                <w:p w14:paraId="2D006F74">
                  <w:pPr>
                    <w:jc w:val="center"/>
                    <w:rPr>
                      <w:rFonts w:ascii="Times New Roman" w:hAnsi="Times New Roman"/>
                      <w:szCs w:val="21"/>
                    </w:rPr>
                  </w:pPr>
                  <w:r>
                    <w:rPr>
                      <w:rFonts w:ascii="Times New Roman" w:hAnsi="Times New Roman"/>
                      <w:szCs w:val="21"/>
                    </w:rPr>
                    <w:t xml:space="preserve">0.78 </w:t>
                  </w:r>
                </w:p>
              </w:tc>
              <w:tc>
                <w:tcPr>
                  <w:tcW w:w="509" w:type="pct"/>
                  <w:vAlign w:val="center"/>
                </w:tcPr>
                <w:p w14:paraId="04C0701D">
                  <w:pPr>
                    <w:jc w:val="center"/>
                    <w:rPr>
                      <w:rFonts w:ascii="Times New Roman" w:hAnsi="Times New Roman"/>
                      <w:szCs w:val="21"/>
                    </w:rPr>
                  </w:pPr>
                  <w:r>
                    <w:rPr>
                      <w:rFonts w:ascii="Times New Roman" w:hAnsi="Times New Roman"/>
                      <w:szCs w:val="21"/>
                    </w:rPr>
                    <w:t xml:space="preserve">15.47 </w:t>
                  </w:r>
                </w:p>
              </w:tc>
              <w:tc>
                <w:tcPr>
                  <w:tcW w:w="549" w:type="pct"/>
                  <w:vAlign w:val="center"/>
                </w:tcPr>
                <w:p w14:paraId="6599BA23">
                  <w:pPr>
                    <w:jc w:val="center"/>
                    <w:rPr>
                      <w:rFonts w:ascii="Times New Roman" w:hAnsi="Times New Roman"/>
                      <w:szCs w:val="21"/>
                    </w:rPr>
                  </w:pPr>
                  <w:r>
                    <w:rPr>
                      <w:rFonts w:ascii="Times New Roman" w:hAnsi="Times New Roman"/>
                      <w:szCs w:val="21"/>
                    </w:rPr>
                    <w:t>16.25</w:t>
                  </w:r>
                </w:p>
              </w:tc>
              <w:tc>
                <w:tcPr>
                  <w:tcW w:w="394" w:type="pct"/>
                  <w:tcBorders>
                    <w:top w:val="single" w:color="auto" w:sz="4" w:space="0"/>
                    <w:left w:val="single" w:color="auto" w:sz="4" w:space="0"/>
                    <w:bottom w:val="single" w:color="auto" w:sz="4" w:space="0"/>
                    <w:right w:val="single" w:color="auto" w:sz="4" w:space="0"/>
                  </w:tcBorders>
                  <w:vAlign w:val="center"/>
                </w:tcPr>
                <w:p w14:paraId="5586B3FE">
                  <w:pPr>
                    <w:jc w:val="center"/>
                    <w:rPr>
                      <w:rFonts w:ascii="Times New Roman" w:hAnsi="Times New Roman"/>
                      <w:szCs w:val="21"/>
                    </w:rPr>
                  </w:pPr>
                  <w:r>
                    <w:rPr>
                      <w:rFonts w:ascii="Times New Roman" w:hAnsi="Times New Roman"/>
                      <w:szCs w:val="21"/>
                    </w:rPr>
                    <w:t xml:space="preserve">0.78 </w:t>
                  </w:r>
                </w:p>
              </w:tc>
              <w:tc>
                <w:tcPr>
                  <w:tcW w:w="570" w:type="pct"/>
                  <w:tcBorders>
                    <w:top w:val="single" w:color="auto" w:sz="4" w:space="0"/>
                    <w:left w:val="single" w:color="auto" w:sz="4" w:space="0"/>
                    <w:bottom w:val="single" w:color="auto" w:sz="4" w:space="0"/>
                    <w:right w:val="single" w:color="auto" w:sz="4" w:space="0"/>
                  </w:tcBorders>
                  <w:vAlign w:val="center"/>
                </w:tcPr>
                <w:p w14:paraId="2BB40AF7">
                  <w:pPr>
                    <w:jc w:val="center"/>
                    <w:rPr>
                      <w:rFonts w:ascii="Times New Roman" w:hAnsi="Times New Roman"/>
                      <w:szCs w:val="21"/>
                    </w:rPr>
                  </w:pPr>
                  <w:r>
                    <w:rPr>
                      <w:rFonts w:ascii="Times New Roman" w:hAnsi="Times New Roman"/>
                      <w:szCs w:val="21"/>
                    </w:rPr>
                    <w:t xml:space="preserve">19.59 </w:t>
                  </w:r>
                </w:p>
              </w:tc>
              <w:tc>
                <w:tcPr>
                  <w:tcW w:w="569" w:type="pct"/>
                  <w:tcBorders>
                    <w:top w:val="single" w:color="auto" w:sz="4" w:space="0"/>
                    <w:left w:val="single" w:color="auto" w:sz="4" w:space="0"/>
                    <w:bottom w:val="single" w:color="auto" w:sz="4" w:space="0"/>
                    <w:right w:val="single" w:color="auto" w:sz="4" w:space="0"/>
                  </w:tcBorders>
                  <w:vAlign w:val="center"/>
                </w:tcPr>
                <w:p w14:paraId="35156A97">
                  <w:pPr>
                    <w:jc w:val="center"/>
                    <w:rPr>
                      <w:rFonts w:ascii="Times New Roman" w:hAnsi="Times New Roman"/>
                      <w:szCs w:val="21"/>
                    </w:rPr>
                  </w:pPr>
                  <w:r>
                    <w:rPr>
                      <w:rFonts w:ascii="Times New Roman" w:hAnsi="Times New Roman"/>
                      <w:szCs w:val="21"/>
                    </w:rPr>
                    <w:t>20.38</w:t>
                  </w:r>
                </w:p>
              </w:tc>
            </w:tr>
            <w:tr w14:paraId="3551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DCEAF1F">
                  <w:pPr>
                    <w:pStyle w:val="2"/>
                    <w:spacing w:after="0"/>
                    <w:ind w:left="0" w:leftChars="0" w:firstLine="0" w:firstLineChars="0"/>
                    <w:jc w:val="center"/>
                    <w:rPr>
                      <w:szCs w:val="21"/>
                    </w:rPr>
                  </w:pPr>
                  <w:r>
                    <w:rPr>
                      <w:szCs w:val="21"/>
                    </w:rPr>
                    <w:t>84</w:t>
                  </w:r>
                </w:p>
              </w:tc>
              <w:tc>
                <w:tcPr>
                  <w:tcW w:w="449" w:type="pct"/>
                  <w:tcBorders>
                    <w:top w:val="single" w:color="auto" w:sz="4" w:space="0"/>
                    <w:left w:val="single" w:color="auto" w:sz="4" w:space="0"/>
                    <w:bottom w:val="single" w:color="auto" w:sz="4" w:space="0"/>
                    <w:right w:val="single" w:color="auto" w:sz="4" w:space="0"/>
                  </w:tcBorders>
                  <w:vAlign w:val="center"/>
                </w:tcPr>
                <w:p w14:paraId="0D2110AE">
                  <w:pPr>
                    <w:jc w:val="center"/>
                    <w:rPr>
                      <w:rFonts w:ascii="Times New Roman" w:hAnsi="Times New Roman"/>
                      <w:szCs w:val="21"/>
                    </w:rPr>
                  </w:pPr>
                  <w:r>
                    <w:rPr>
                      <w:rFonts w:ascii="Times New Roman" w:hAnsi="Times New Roman"/>
                      <w:szCs w:val="21"/>
                    </w:rPr>
                    <w:t xml:space="preserve">0.35 </w:t>
                  </w:r>
                </w:p>
              </w:tc>
              <w:tc>
                <w:tcPr>
                  <w:tcW w:w="509" w:type="pct"/>
                  <w:tcBorders>
                    <w:top w:val="single" w:color="auto" w:sz="4" w:space="0"/>
                    <w:left w:val="single" w:color="auto" w:sz="4" w:space="0"/>
                    <w:bottom w:val="single" w:color="auto" w:sz="4" w:space="0"/>
                    <w:right w:val="single" w:color="auto" w:sz="4" w:space="0"/>
                  </w:tcBorders>
                  <w:vAlign w:val="center"/>
                </w:tcPr>
                <w:p w14:paraId="4889A393">
                  <w:pPr>
                    <w:jc w:val="center"/>
                    <w:rPr>
                      <w:rFonts w:ascii="Times New Roman" w:hAnsi="Times New Roman"/>
                      <w:szCs w:val="21"/>
                    </w:rPr>
                  </w:pPr>
                  <w:r>
                    <w:rPr>
                      <w:rFonts w:ascii="Times New Roman" w:hAnsi="Times New Roman"/>
                      <w:szCs w:val="21"/>
                    </w:rPr>
                    <w:t xml:space="preserve">24.40 </w:t>
                  </w:r>
                </w:p>
              </w:tc>
              <w:tc>
                <w:tcPr>
                  <w:tcW w:w="549" w:type="pct"/>
                  <w:tcBorders>
                    <w:top w:val="single" w:color="auto" w:sz="4" w:space="0"/>
                    <w:left w:val="single" w:color="auto" w:sz="4" w:space="0"/>
                    <w:bottom w:val="single" w:color="auto" w:sz="4" w:space="0"/>
                    <w:right w:val="single" w:color="auto" w:sz="4" w:space="0"/>
                  </w:tcBorders>
                  <w:vAlign w:val="center"/>
                </w:tcPr>
                <w:p w14:paraId="6355195D">
                  <w:pPr>
                    <w:jc w:val="center"/>
                    <w:rPr>
                      <w:rFonts w:ascii="Times New Roman" w:hAnsi="Times New Roman"/>
                      <w:szCs w:val="21"/>
                    </w:rPr>
                  </w:pPr>
                  <w:r>
                    <w:rPr>
                      <w:rFonts w:ascii="Times New Roman" w:hAnsi="Times New Roman"/>
                      <w:szCs w:val="21"/>
                    </w:rPr>
                    <w:t xml:space="preserve">24.76 </w:t>
                  </w:r>
                </w:p>
              </w:tc>
              <w:tc>
                <w:tcPr>
                  <w:tcW w:w="449" w:type="pct"/>
                  <w:vAlign w:val="center"/>
                </w:tcPr>
                <w:p w14:paraId="52BAF241">
                  <w:pPr>
                    <w:jc w:val="center"/>
                    <w:rPr>
                      <w:rFonts w:ascii="Times New Roman" w:hAnsi="Times New Roman"/>
                      <w:szCs w:val="21"/>
                    </w:rPr>
                  </w:pPr>
                  <w:r>
                    <w:rPr>
                      <w:rFonts w:ascii="Times New Roman" w:hAnsi="Times New Roman"/>
                      <w:szCs w:val="21"/>
                    </w:rPr>
                    <w:t xml:space="preserve">0.71 </w:t>
                  </w:r>
                </w:p>
              </w:tc>
              <w:tc>
                <w:tcPr>
                  <w:tcW w:w="509" w:type="pct"/>
                  <w:vAlign w:val="center"/>
                </w:tcPr>
                <w:p w14:paraId="68EC8FE9">
                  <w:pPr>
                    <w:jc w:val="center"/>
                    <w:rPr>
                      <w:rFonts w:ascii="Times New Roman" w:hAnsi="Times New Roman"/>
                      <w:szCs w:val="21"/>
                    </w:rPr>
                  </w:pPr>
                  <w:r>
                    <w:rPr>
                      <w:rFonts w:ascii="Times New Roman" w:hAnsi="Times New Roman"/>
                      <w:szCs w:val="21"/>
                    </w:rPr>
                    <w:t xml:space="preserve">14.03 </w:t>
                  </w:r>
                </w:p>
              </w:tc>
              <w:tc>
                <w:tcPr>
                  <w:tcW w:w="549" w:type="pct"/>
                  <w:vAlign w:val="center"/>
                </w:tcPr>
                <w:p w14:paraId="5659D7DA">
                  <w:pPr>
                    <w:jc w:val="center"/>
                    <w:rPr>
                      <w:rFonts w:ascii="Times New Roman" w:hAnsi="Times New Roman"/>
                      <w:szCs w:val="21"/>
                    </w:rPr>
                  </w:pPr>
                  <w:r>
                    <w:rPr>
                      <w:rFonts w:ascii="Times New Roman" w:hAnsi="Times New Roman"/>
                      <w:szCs w:val="21"/>
                    </w:rPr>
                    <w:t>14.74(控制区)</w:t>
                  </w:r>
                </w:p>
              </w:tc>
              <w:tc>
                <w:tcPr>
                  <w:tcW w:w="394" w:type="pct"/>
                  <w:tcBorders>
                    <w:top w:val="single" w:color="auto" w:sz="4" w:space="0"/>
                    <w:left w:val="single" w:color="auto" w:sz="4" w:space="0"/>
                    <w:bottom w:val="single" w:color="auto" w:sz="4" w:space="0"/>
                    <w:right w:val="single" w:color="auto" w:sz="4" w:space="0"/>
                  </w:tcBorders>
                  <w:vAlign w:val="center"/>
                </w:tcPr>
                <w:p w14:paraId="4FBAA9D9">
                  <w:pPr>
                    <w:jc w:val="center"/>
                    <w:rPr>
                      <w:rFonts w:ascii="Times New Roman" w:hAnsi="Times New Roman"/>
                      <w:szCs w:val="21"/>
                    </w:rPr>
                  </w:pPr>
                  <w:r>
                    <w:rPr>
                      <w:rFonts w:ascii="Times New Roman" w:hAnsi="Times New Roman"/>
                      <w:szCs w:val="21"/>
                    </w:rPr>
                    <w:t xml:space="preserve">0.71 </w:t>
                  </w:r>
                </w:p>
              </w:tc>
              <w:tc>
                <w:tcPr>
                  <w:tcW w:w="570" w:type="pct"/>
                  <w:tcBorders>
                    <w:top w:val="single" w:color="auto" w:sz="4" w:space="0"/>
                    <w:left w:val="single" w:color="auto" w:sz="4" w:space="0"/>
                    <w:bottom w:val="single" w:color="auto" w:sz="4" w:space="0"/>
                    <w:right w:val="single" w:color="auto" w:sz="4" w:space="0"/>
                  </w:tcBorders>
                  <w:vAlign w:val="center"/>
                </w:tcPr>
                <w:p w14:paraId="4712DA00">
                  <w:pPr>
                    <w:jc w:val="center"/>
                    <w:rPr>
                      <w:rFonts w:ascii="Times New Roman" w:hAnsi="Times New Roman"/>
                      <w:szCs w:val="21"/>
                    </w:rPr>
                  </w:pPr>
                  <w:r>
                    <w:rPr>
                      <w:rFonts w:ascii="Times New Roman" w:hAnsi="Times New Roman"/>
                      <w:szCs w:val="21"/>
                    </w:rPr>
                    <w:t xml:space="preserve">17.77 </w:t>
                  </w:r>
                </w:p>
              </w:tc>
              <w:tc>
                <w:tcPr>
                  <w:tcW w:w="569" w:type="pct"/>
                  <w:tcBorders>
                    <w:top w:val="single" w:color="auto" w:sz="4" w:space="0"/>
                    <w:left w:val="single" w:color="auto" w:sz="4" w:space="0"/>
                    <w:bottom w:val="single" w:color="auto" w:sz="4" w:space="0"/>
                    <w:right w:val="single" w:color="auto" w:sz="4" w:space="0"/>
                  </w:tcBorders>
                  <w:vAlign w:val="center"/>
                </w:tcPr>
                <w:p w14:paraId="3942089E">
                  <w:pPr>
                    <w:jc w:val="center"/>
                    <w:rPr>
                      <w:rFonts w:ascii="Times New Roman" w:hAnsi="Times New Roman"/>
                      <w:szCs w:val="21"/>
                    </w:rPr>
                  </w:pPr>
                  <w:r>
                    <w:rPr>
                      <w:rFonts w:ascii="Times New Roman" w:hAnsi="Times New Roman"/>
                      <w:szCs w:val="21"/>
                    </w:rPr>
                    <w:t>18.48</w:t>
                  </w:r>
                </w:p>
              </w:tc>
            </w:tr>
            <w:tr w14:paraId="7494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002CA63">
                  <w:pPr>
                    <w:pStyle w:val="2"/>
                    <w:spacing w:after="0"/>
                    <w:ind w:left="0" w:leftChars="0" w:firstLine="0" w:firstLineChars="0"/>
                    <w:jc w:val="center"/>
                    <w:rPr>
                      <w:szCs w:val="21"/>
                    </w:rPr>
                  </w:pPr>
                  <w:r>
                    <w:rPr>
                      <w:szCs w:val="21"/>
                    </w:rPr>
                    <w:t>90</w:t>
                  </w:r>
                </w:p>
              </w:tc>
              <w:tc>
                <w:tcPr>
                  <w:tcW w:w="449" w:type="pct"/>
                  <w:tcBorders>
                    <w:top w:val="single" w:color="auto" w:sz="4" w:space="0"/>
                    <w:left w:val="single" w:color="auto" w:sz="4" w:space="0"/>
                    <w:bottom w:val="single" w:color="auto" w:sz="4" w:space="0"/>
                    <w:right w:val="single" w:color="auto" w:sz="4" w:space="0"/>
                  </w:tcBorders>
                  <w:vAlign w:val="center"/>
                </w:tcPr>
                <w:p w14:paraId="561AF614">
                  <w:pPr>
                    <w:jc w:val="center"/>
                    <w:rPr>
                      <w:rFonts w:ascii="Times New Roman" w:hAnsi="Times New Roman"/>
                      <w:szCs w:val="21"/>
                    </w:rPr>
                  </w:pPr>
                  <w:r>
                    <w:rPr>
                      <w:rFonts w:ascii="Times New Roman" w:hAnsi="Times New Roman"/>
                      <w:szCs w:val="21"/>
                    </w:rPr>
                    <w:t xml:space="preserve">0.31 </w:t>
                  </w:r>
                </w:p>
              </w:tc>
              <w:tc>
                <w:tcPr>
                  <w:tcW w:w="509" w:type="pct"/>
                  <w:tcBorders>
                    <w:top w:val="single" w:color="auto" w:sz="4" w:space="0"/>
                    <w:left w:val="single" w:color="auto" w:sz="4" w:space="0"/>
                    <w:bottom w:val="single" w:color="auto" w:sz="4" w:space="0"/>
                    <w:right w:val="single" w:color="auto" w:sz="4" w:space="0"/>
                  </w:tcBorders>
                  <w:vAlign w:val="center"/>
                </w:tcPr>
                <w:p w14:paraId="635F4D5B">
                  <w:pPr>
                    <w:jc w:val="center"/>
                    <w:rPr>
                      <w:rFonts w:ascii="Times New Roman" w:hAnsi="Times New Roman"/>
                      <w:szCs w:val="21"/>
                    </w:rPr>
                  </w:pPr>
                  <w:r>
                    <w:rPr>
                      <w:rFonts w:ascii="Times New Roman" w:hAnsi="Times New Roman"/>
                      <w:szCs w:val="21"/>
                    </w:rPr>
                    <w:t xml:space="preserve">21.26 </w:t>
                  </w:r>
                </w:p>
              </w:tc>
              <w:tc>
                <w:tcPr>
                  <w:tcW w:w="549" w:type="pct"/>
                  <w:tcBorders>
                    <w:top w:val="single" w:color="auto" w:sz="4" w:space="0"/>
                    <w:left w:val="single" w:color="auto" w:sz="4" w:space="0"/>
                    <w:bottom w:val="single" w:color="auto" w:sz="4" w:space="0"/>
                    <w:right w:val="single" w:color="auto" w:sz="4" w:space="0"/>
                  </w:tcBorders>
                  <w:vAlign w:val="center"/>
                </w:tcPr>
                <w:p w14:paraId="5A279212">
                  <w:pPr>
                    <w:jc w:val="center"/>
                    <w:rPr>
                      <w:rFonts w:ascii="Times New Roman" w:hAnsi="Times New Roman"/>
                      <w:szCs w:val="21"/>
                    </w:rPr>
                  </w:pPr>
                  <w:r>
                    <w:rPr>
                      <w:rFonts w:ascii="Times New Roman" w:hAnsi="Times New Roman"/>
                      <w:szCs w:val="21"/>
                    </w:rPr>
                    <w:t xml:space="preserve">21.57 </w:t>
                  </w:r>
                </w:p>
              </w:tc>
              <w:tc>
                <w:tcPr>
                  <w:tcW w:w="449" w:type="pct"/>
                  <w:vAlign w:val="center"/>
                </w:tcPr>
                <w:p w14:paraId="3B1B999A">
                  <w:pPr>
                    <w:jc w:val="center"/>
                    <w:rPr>
                      <w:rFonts w:ascii="Times New Roman" w:hAnsi="Times New Roman"/>
                      <w:szCs w:val="21"/>
                    </w:rPr>
                  </w:pPr>
                  <w:r>
                    <w:rPr>
                      <w:rFonts w:ascii="Times New Roman" w:hAnsi="Times New Roman"/>
                      <w:szCs w:val="21"/>
                    </w:rPr>
                    <w:t xml:space="preserve">0.62 </w:t>
                  </w:r>
                </w:p>
              </w:tc>
              <w:tc>
                <w:tcPr>
                  <w:tcW w:w="509" w:type="pct"/>
                  <w:vAlign w:val="center"/>
                </w:tcPr>
                <w:p w14:paraId="2CE0735A">
                  <w:pPr>
                    <w:jc w:val="center"/>
                    <w:rPr>
                      <w:rFonts w:ascii="Times New Roman" w:hAnsi="Times New Roman"/>
                      <w:szCs w:val="21"/>
                    </w:rPr>
                  </w:pPr>
                  <w:r>
                    <w:rPr>
                      <w:rFonts w:ascii="Times New Roman" w:hAnsi="Times New Roman"/>
                      <w:szCs w:val="21"/>
                    </w:rPr>
                    <w:t xml:space="preserve">12.22 </w:t>
                  </w:r>
                </w:p>
              </w:tc>
              <w:tc>
                <w:tcPr>
                  <w:tcW w:w="549" w:type="pct"/>
                  <w:vAlign w:val="center"/>
                </w:tcPr>
                <w:p w14:paraId="39B60555">
                  <w:pPr>
                    <w:jc w:val="center"/>
                    <w:rPr>
                      <w:rFonts w:ascii="Times New Roman" w:hAnsi="Times New Roman"/>
                      <w:szCs w:val="21"/>
                    </w:rPr>
                  </w:pPr>
                  <w:r>
                    <w:rPr>
                      <w:rFonts w:ascii="Times New Roman" w:hAnsi="Times New Roman"/>
                      <w:szCs w:val="21"/>
                    </w:rPr>
                    <w:t>12.84</w:t>
                  </w:r>
                </w:p>
              </w:tc>
              <w:tc>
                <w:tcPr>
                  <w:tcW w:w="394" w:type="pct"/>
                  <w:tcBorders>
                    <w:top w:val="single" w:color="auto" w:sz="4" w:space="0"/>
                    <w:left w:val="single" w:color="auto" w:sz="4" w:space="0"/>
                    <w:bottom w:val="single" w:color="auto" w:sz="4" w:space="0"/>
                    <w:right w:val="single" w:color="auto" w:sz="4" w:space="0"/>
                  </w:tcBorders>
                  <w:vAlign w:val="center"/>
                </w:tcPr>
                <w:p w14:paraId="16F76C37">
                  <w:pPr>
                    <w:jc w:val="center"/>
                    <w:rPr>
                      <w:rFonts w:ascii="Times New Roman" w:hAnsi="Times New Roman"/>
                      <w:szCs w:val="21"/>
                    </w:rPr>
                  </w:pPr>
                  <w:r>
                    <w:rPr>
                      <w:rFonts w:ascii="Times New Roman" w:hAnsi="Times New Roman"/>
                      <w:szCs w:val="21"/>
                    </w:rPr>
                    <w:t xml:space="preserve">0.62 </w:t>
                  </w:r>
                </w:p>
              </w:tc>
              <w:tc>
                <w:tcPr>
                  <w:tcW w:w="570" w:type="pct"/>
                  <w:tcBorders>
                    <w:top w:val="single" w:color="auto" w:sz="4" w:space="0"/>
                    <w:left w:val="single" w:color="auto" w:sz="4" w:space="0"/>
                    <w:bottom w:val="single" w:color="auto" w:sz="4" w:space="0"/>
                    <w:right w:val="single" w:color="auto" w:sz="4" w:space="0"/>
                  </w:tcBorders>
                  <w:vAlign w:val="center"/>
                </w:tcPr>
                <w:p w14:paraId="2CFF47C2">
                  <w:pPr>
                    <w:jc w:val="center"/>
                    <w:rPr>
                      <w:rFonts w:ascii="Times New Roman" w:hAnsi="Times New Roman"/>
                      <w:szCs w:val="21"/>
                    </w:rPr>
                  </w:pPr>
                  <w:r>
                    <w:rPr>
                      <w:rFonts w:ascii="Times New Roman" w:hAnsi="Times New Roman"/>
                      <w:szCs w:val="21"/>
                    </w:rPr>
                    <w:t xml:space="preserve">15.48 </w:t>
                  </w:r>
                </w:p>
              </w:tc>
              <w:tc>
                <w:tcPr>
                  <w:tcW w:w="569" w:type="pct"/>
                  <w:tcBorders>
                    <w:top w:val="single" w:color="auto" w:sz="4" w:space="0"/>
                    <w:left w:val="single" w:color="auto" w:sz="4" w:space="0"/>
                    <w:bottom w:val="single" w:color="auto" w:sz="4" w:space="0"/>
                    <w:right w:val="single" w:color="auto" w:sz="4" w:space="0"/>
                  </w:tcBorders>
                  <w:vAlign w:val="center"/>
                </w:tcPr>
                <w:p w14:paraId="5870A5C8">
                  <w:pPr>
                    <w:jc w:val="center"/>
                    <w:rPr>
                      <w:rFonts w:ascii="Times New Roman" w:hAnsi="Times New Roman"/>
                      <w:szCs w:val="21"/>
                    </w:rPr>
                  </w:pPr>
                  <w:r>
                    <w:rPr>
                      <w:rFonts w:ascii="Times New Roman" w:hAnsi="Times New Roman"/>
                      <w:szCs w:val="21"/>
                    </w:rPr>
                    <w:t>16.10</w:t>
                  </w:r>
                </w:p>
              </w:tc>
            </w:tr>
            <w:tr w14:paraId="03DA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BBD7E0F">
                  <w:pPr>
                    <w:pStyle w:val="2"/>
                    <w:spacing w:after="0"/>
                    <w:ind w:left="0" w:leftChars="0" w:firstLine="0" w:firstLineChars="0"/>
                    <w:jc w:val="center"/>
                    <w:rPr>
                      <w:szCs w:val="21"/>
                    </w:rPr>
                  </w:pPr>
                  <w:r>
                    <w:rPr>
                      <w:szCs w:val="21"/>
                    </w:rPr>
                    <w:t>94</w:t>
                  </w:r>
                </w:p>
              </w:tc>
              <w:tc>
                <w:tcPr>
                  <w:tcW w:w="449" w:type="pct"/>
                  <w:tcBorders>
                    <w:top w:val="single" w:color="auto" w:sz="4" w:space="0"/>
                    <w:left w:val="single" w:color="auto" w:sz="4" w:space="0"/>
                    <w:bottom w:val="single" w:color="auto" w:sz="4" w:space="0"/>
                    <w:right w:val="single" w:color="auto" w:sz="4" w:space="0"/>
                  </w:tcBorders>
                  <w:vAlign w:val="center"/>
                </w:tcPr>
                <w:p w14:paraId="7F99C8CE">
                  <w:pPr>
                    <w:jc w:val="center"/>
                    <w:rPr>
                      <w:rFonts w:ascii="Times New Roman" w:hAnsi="Times New Roman"/>
                      <w:szCs w:val="21"/>
                    </w:rPr>
                  </w:pPr>
                  <w:r>
                    <w:rPr>
                      <w:rFonts w:ascii="Times New Roman" w:hAnsi="Times New Roman"/>
                      <w:szCs w:val="21"/>
                    </w:rPr>
                    <w:t xml:space="preserve">0.28 </w:t>
                  </w:r>
                </w:p>
              </w:tc>
              <w:tc>
                <w:tcPr>
                  <w:tcW w:w="509" w:type="pct"/>
                  <w:tcBorders>
                    <w:top w:val="single" w:color="auto" w:sz="4" w:space="0"/>
                    <w:left w:val="single" w:color="auto" w:sz="4" w:space="0"/>
                    <w:bottom w:val="single" w:color="auto" w:sz="4" w:space="0"/>
                    <w:right w:val="single" w:color="auto" w:sz="4" w:space="0"/>
                  </w:tcBorders>
                  <w:vAlign w:val="center"/>
                </w:tcPr>
                <w:p w14:paraId="49B9925A">
                  <w:pPr>
                    <w:jc w:val="center"/>
                    <w:rPr>
                      <w:rFonts w:ascii="Times New Roman" w:hAnsi="Times New Roman"/>
                      <w:szCs w:val="21"/>
                    </w:rPr>
                  </w:pPr>
                  <w:r>
                    <w:rPr>
                      <w:rFonts w:ascii="Times New Roman" w:hAnsi="Times New Roman"/>
                      <w:szCs w:val="21"/>
                    </w:rPr>
                    <w:t xml:space="preserve">19.49 </w:t>
                  </w:r>
                </w:p>
              </w:tc>
              <w:tc>
                <w:tcPr>
                  <w:tcW w:w="549" w:type="pct"/>
                  <w:tcBorders>
                    <w:top w:val="single" w:color="auto" w:sz="4" w:space="0"/>
                    <w:left w:val="single" w:color="auto" w:sz="4" w:space="0"/>
                    <w:bottom w:val="single" w:color="auto" w:sz="4" w:space="0"/>
                    <w:right w:val="single" w:color="auto" w:sz="4" w:space="0"/>
                  </w:tcBorders>
                  <w:vAlign w:val="center"/>
                </w:tcPr>
                <w:p w14:paraId="6F3068EC">
                  <w:pPr>
                    <w:jc w:val="center"/>
                    <w:rPr>
                      <w:rFonts w:ascii="Times New Roman" w:hAnsi="Times New Roman"/>
                      <w:szCs w:val="21"/>
                    </w:rPr>
                  </w:pPr>
                  <w:r>
                    <w:rPr>
                      <w:rFonts w:ascii="Times New Roman" w:hAnsi="Times New Roman"/>
                      <w:szCs w:val="21"/>
                    </w:rPr>
                    <w:t xml:space="preserve">19.77 </w:t>
                  </w:r>
                </w:p>
              </w:tc>
              <w:tc>
                <w:tcPr>
                  <w:tcW w:w="449" w:type="pct"/>
                  <w:vAlign w:val="center"/>
                </w:tcPr>
                <w:p w14:paraId="2F362AF5">
                  <w:pPr>
                    <w:jc w:val="center"/>
                    <w:rPr>
                      <w:rFonts w:ascii="Times New Roman" w:hAnsi="Times New Roman"/>
                      <w:szCs w:val="21"/>
                    </w:rPr>
                  </w:pPr>
                  <w:r>
                    <w:rPr>
                      <w:rFonts w:ascii="Times New Roman" w:hAnsi="Times New Roman"/>
                      <w:szCs w:val="21"/>
                    </w:rPr>
                    <w:t xml:space="preserve">0.57 </w:t>
                  </w:r>
                </w:p>
              </w:tc>
              <w:tc>
                <w:tcPr>
                  <w:tcW w:w="509" w:type="pct"/>
                  <w:vAlign w:val="center"/>
                </w:tcPr>
                <w:p w14:paraId="4C1AD158">
                  <w:pPr>
                    <w:jc w:val="center"/>
                    <w:rPr>
                      <w:rFonts w:ascii="Times New Roman" w:hAnsi="Times New Roman"/>
                      <w:szCs w:val="21"/>
                    </w:rPr>
                  </w:pPr>
                  <w:r>
                    <w:rPr>
                      <w:rFonts w:ascii="Times New Roman" w:hAnsi="Times New Roman"/>
                      <w:szCs w:val="21"/>
                    </w:rPr>
                    <w:t xml:space="preserve">11.20 </w:t>
                  </w:r>
                </w:p>
              </w:tc>
              <w:tc>
                <w:tcPr>
                  <w:tcW w:w="549" w:type="pct"/>
                  <w:vAlign w:val="center"/>
                </w:tcPr>
                <w:p w14:paraId="3BDDFCBA">
                  <w:pPr>
                    <w:jc w:val="center"/>
                    <w:rPr>
                      <w:rFonts w:ascii="Times New Roman" w:hAnsi="Times New Roman"/>
                      <w:szCs w:val="21"/>
                    </w:rPr>
                  </w:pPr>
                  <w:r>
                    <w:rPr>
                      <w:rFonts w:ascii="Times New Roman" w:hAnsi="Times New Roman"/>
                      <w:szCs w:val="21"/>
                    </w:rPr>
                    <w:t>1177</w:t>
                  </w:r>
                </w:p>
              </w:tc>
              <w:tc>
                <w:tcPr>
                  <w:tcW w:w="394" w:type="pct"/>
                  <w:tcBorders>
                    <w:top w:val="single" w:color="auto" w:sz="4" w:space="0"/>
                    <w:left w:val="single" w:color="auto" w:sz="4" w:space="0"/>
                    <w:bottom w:val="single" w:color="auto" w:sz="4" w:space="0"/>
                    <w:right w:val="single" w:color="auto" w:sz="4" w:space="0"/>
                  </w:tcBorders>
                  <w:vAlign w:val="center"/>
                </w:tcPr>
                <w:p w14:paraId="4E354AA7">
                  <w:pPr>
                    <w:jc w:val="center"/>
                    <w:rPr>
                      <w:rFonts w:ascii="Times New Roman" w:hAnsi="Times New Roman"/>
                      <w:szCs w:val="21"/>
                    </w:rPr>
                  </w:pPr>
                  <w:r>
                    <w:rPr>
                      <w:rFonts w:ascii="Times New Roman" w:hAnsi="Times New Roman"/>
                      <w:szCs w:val="21"/>
                    </w:rPr>
                    <w:t xml:space="preserve">0.57 </w:t>
                  </w:r>
                </w:p>
              </w:tc>
              <w:tc>
                <w:tcPr>
                  <w:tcW w:w="570" w:type="pct"/>
                  <w:tcBorders>
                    <w:top w:val="single" w:color="auto" w:sz="4" w:space="0"/>
                    <w:left w:val="single" w:color="auto" w:sz="4" w:space="0"/>
                    <w:bottom w:val="single" w:color="auto" w:sz="4" w:space="0"/>
                    <w:right w:val="single" w:color="auto" w:sz="4" w:space="0"/>
                  </w:tcBorders>
                  <w:vAlign w:val="center"/>
                </w:tcPr>
                <w:p w14:paraId="6D7DD5C3">
                  <w:pPr>
                    <w:jc w:val="center"/>
                    <w:rPr>
                      <w:rFonts w:ascii="Times New Roman" w:hAnsi="Times New Roman"/>
                      <w:szCs w:val="21"/>
                    </w:rPr>
                  </w:pPr>
                  <w:r>
                    <w:rPr>
                      <w:rFonts w:ascii="Times New Roman" w:hAnsi="Times New Roman"/>
                      <w:szCs w:val="21"/>
                    </w:rPr>
                    <w:t xml:space="preserve">14.19 </w:t>
                  </w:r>
                </w:p>
              </w:tc>
              <w:tc>
                <w:tcPr>
                  <w:tcW w:w="569" w:type="pct"/>
                  <w:tcBorders>
                    <w:top w:val="single" w:color="auto" w:sz="4" w:space="0"/>
                    <w:left w:val="single" w:color="auto" w:sz="4" w:space="0"/>
                    <w:bottom w:val="single" w:color="auto" w:sz="4" w:space="0"/>
                    <w:right w:val="single" w:color="auto" w:sz="4" w:space="0"/>
                  </w:tcBorders>
                  <w:vAlign w:val="center"/>
                </w:tcPr>
                <w:p w14:paraId="0F7E85AA">
                  <w:pPr>
                    <w:jc w:val="center"/>
                    <w:rPr>
                      <w:rFonts w:ascii="Times New Roman" w:hAnsi="Times New Roman"/>
                      <w:szCs w:val="21"/>
                    </w:rPr>
                  </w:pPr>
                  <w:r>
                    <w:rPr>
                      <w:rFonts w:ascii="Times New Roman" w:hAnsi="Times New Roman"/>
                      <w:szCs w:val="21"/>
                    </w:rPr>
                    <w:t>14.76(控制区)</w:t>
                  </w:r>
                </w:p>
              </w:tc>
            </w:tr>
            <w:tr w14:paraId="4366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25CFC1E">
                  <w:pPr>
                    <w:pStyle w:val="2"/>
                    <w:spacing w:after="0"/>
                    <w:ind w:left="0" w:leftChars="0" w:firstLine="0" w:firstLineChars="0"/>
                    <w:jc w:val="center"/>
                    <w:rPr>
                      <w:szCs w:val="21"/>
                    </w:rPr>
                  </w:pPr>
                  <w:r>
                    <w:rPr>
                      <w:szCs w:val="21"/>
                    </w:rPr>
                    <w:t>100</w:t>
                  </w:r>
                </w:p>
              </w:tc>
              <w:tc>
                <w:tcPr>
                  <w:tcW w:w="449" w:type="pct"/>
                  <w:tcBorders>
                    <w:top w:val="single" w:color="auto" w:sz="4" w:space="0"/>
                    <w:left w:val="single" w:color="auto" w:sz="4" w:space="0"/>
                    <w:bottom w:val="single" w:color="auto" w:sz="4" w:space="0"/>
                    <w:right w:val="single" w:color="auto" w:sz="4" w:space="0"/>
                  </w:tcBorders>
                  <w:vAlign w:val="center"/>
                </w:tcPr>
                <w:p w14:paraId="7441088D">
                  <w:pPr>
                    <w:jc w:val="center"/>
                    <w:rPr>
                      <w:rFonts w:ascii="Times New Roman" w:hAnsi="Times New Roman"/>
                      <w:szCs w:val="21"/>
                    </w:rPr>
                  </w:pPr>
                  <w:r>
                    <w:rPr>
                      <w:rFonts w:ascii="Times New Roman" w:hAnsi="Times New Roman"/>
                      <w:szCs w:val="21"/>
                    </w:rPr>
                    <w:t xml:space="preserve">0.25 </w:t>
                  </w:r>
                </w:p>
              </w:tc>
              <w:tc>
                <w:tcPr>
                  <w:tcW w:w="509" w:type="pct"/>
                  <w:tcBorders>
                    <w:top w:val="single" w:color="auto" w:sz="4" w:space="0"/>
                    <w:left w:val="single" w:color="auto" w:sz="4" w:space="0"/>
                    <w:bottom w:val="single" w:color="auto" w:sz="4" w:space="0"/>
                    <w:right w:val="single" w:color="auto" w:sz="4" w:space="0"/>
                  </w:tcBorders>
                  <w:vAlign w:val="center"/>
                </w:tcPr>
                <w:p w14:paraId="7DF1FA96">
                  <w:pPr>
                    <w:jc w:val="center"/>
                    <w:rPr>
                      <w:rFonts w:ascii="Times New Roman" w:hAnsi="Times New Roman"/>
                      <w:szCs w:val="21"/>
                    </w:rPr>
                  </w:pPr>
                  <w:r>
                    <w:rPr>
                      <w:rFonts w:ascii="Times New Roman" w:hAnsi="Times New Roman"/>
                      <w:szCs w:val="21"/>
                    </w:rPr>
                    <w:t xml:space="preserve">17.22 </w:t>
                  </w:r>
                </w:p>
              </w:tc>
              <w:tc>
                <w:tcPr>
                  <w:tcW w:w="549" w:type="pct"/>
                  <w:tcBorders>
                    <w:top w:val="single" w:color="auto" w:sz="4" w:space="0"/>
                    <w:left w:val="single" w:color="auto" w:sz="4" w:space="0"/>
                    <w:bottom w:val="single" w:color="auto" w:sz="4" w:space="0"/>
                    <w:right w:val="single" w:color="auto" w:sz="4" w:space="0"/>
                  </w:tcBorders>
                  <w:vAlign w:val="center"/>
                </w:tcPr>
                <w:p w14:paraId="472745F3">
                  <w:pPr>
                    <w:jc w:val="center"/>
                    <w:rPr>
                      <w:rFonts w:ascii="Times New Roman" w:hAnsi="Times New Roman"/>
                      <w:szCs w:val="21"/>
                    </w:rPr>
                  </w:pPr>
                  <w:r>
                    <w:rPr>
                      <w:rFonts w:ascii="Times New Roman" w:hAnsi="Times New Roman"/>
                      <w:szCs w:val="21"/>
                    </w:rPr>
                    <w:t xml:space="preserve">17.47 </w:t>
                  </w:r>
                </w:p>
              </w:tc>
              <w:tc>
                <w:tcPr>
                  <w:tcW w:w="449" w:type="pct"/>
                  <w:vAlign w:val="center"/>
                </w:tcPr>
                <w:p w14:paraId="48B3660D">
                  <w:pPr>
                    <w:jc w:val="center"/>
                    <w:rPr>
                      <w:rFonts w:ascii="Times New Roman" w:hAnsi="Times New Roman"/>
                      <w:szCs w:val="21"/>
                    </w:rPr>
                  </w:pPr>
                  <w:r>
                    <w:rPr>
                      <w:rFonts w:ascii="Times New Roman" w:hAnsi="Times New Roman"/>
                      <w:szCs w:val="21"/>
                    </w:rPr>
                    <w:t xml:space="preserve">0.50 </w:t>
                  </w:r>
                </w:p>
              </w:tc>
              <w:tc>
                <w:tcPr>
                  <w:tcW w:w="509" w:type="pct"/>
                  <w:vAlign w:val="center"/>
                </w:tcPr>
                <w:p w14:paraId="255ED458">
                  <w:pPr>
                    <w:jc w:val="center"/>
                    <w:rPr>
                      <w:rFonts w:ascii="Times New Roman" w:hAnsi="Times New Roman"/>
                      <w:szCs w:val="21"/>
                    </w:rPr>
                  </w:pPr>
                  <w:r>
                    <w:rPr>
                      <w:rFonts w:ascii="Times New Roman" w:hAnsi="Times New Roman"/>
                      <w:szCs w:val="21"/>
                    </w:rPr>
                    <w:t xml:space="preserve">9.90 </w:t>
                  </w:r>
                </w:p>
              </w:tc>
              <w:tc>
                <w:tcPr>
                  <w:tcW w:w="549" w:type="pct"/>
                  <w:vAlign w:val="center"/>
                </w:tcPr>
                <w:p w14:paraId="420502B8">
                  <w:pPr>
                    <w:jc w:val="center"/>
                    <w:rPr>
                      <w:rFonts w:ascii="Times New Roman" w:hAnsi="Times New Roman"/>
                      <w:szCs w:val="21"/>
                    </w:rPr>
                  </w:pPr>
                  <w:r>
                    <w:rPr>
                      <w:rFonts w:ascii="Times New Roman" w:hAnsi="Times New Roman"/>
                      <w:szCs w:val="21"/>
                    </w:rPr>
                    <w:t>10.40</w:t>
                  </w:r>
                </w:p>
              </w:tc>
              <w:tc>
                <w:tcPr>
                  <w:tcW w:w="394" w:type="pct"/>
                  <w:tcBorders>
                    <w:top w:val="single" w:color="auto" w:sz="4" w:space="0"/>
                    <w:left w:val="single" w:color="auto" w:sz="4" w:space="0"/>
                    <w:bottom w:val="single" w:color="auto" w:sz="4" w:space="0"/>
                    <w:right w:val="single" w:color="auto" w:sz="4" w:space="0"/>
                  </w:tcBorders>
                  <w:vAlign w:val="center"/>
                </w:tcPr>
                <w:p w14:paraId="55462303">
                  <w:pPr>
                    <w:jc w:val="center"/>
                    <w:rPr>
                      <w:rFonts w:ascii="Times New Roman" w:hAnsi="Times New Roman"/>
                      <w:szCs w:val="21"/>
                    </w:rPr>
                  </w:pPr>
                  <w:r>
                    <w:rPr>
                      <w:rFonts w:ascii="Times New Roman" w:hAnsi="Times New Roman"/>
                      <w:szCs w:val="21"/>
                    </w:rPr>
                    <w:t xml:space="preserve">0.50 </w:t>
                  </w:r>
                </w:p>
              </w:tc>
              <w:tc>
                <w:tcPr>
                  <w:tcW w:w="570" w:type="pct"/>
                  <w:tcBorders>
                    <w:top w:val="single" w:color="auto" w:sz="4" w:space="0"/>
                    <w:left w:val="single" w:color="auto" w:sz="4" w:space="0"/>
                    <w:bottom w:val="single" w:color="auto" w:sz="4" w:space="0"/>
                    <w:right w:val="single" w:color="auto" w:sz="4" w:space="0"/>
                  </w:tcBorders>
                  <w:vAlign w:val="center"/>
                </w:tcPr>
                <w:p w14:paraId="7EB9FF94">
                  <w:pPr>
                    <w:jc w:val="center"/>
                    <w:rPr>
                      <w:rFonts w:ascii="Times New Roman" w:hAnsi="Times New Roman"/>
                      <w:szCs w:val="21"/>
                    </w:rPr>
                  </w:pPr>
                  <w:r>
                    <w:rPr>
                      <w:rFonts w:ascii="Times New Roman" w:hAnsi="Times New Roman"/>
                      <w:szCs w:val="21"/>
                    </w:rPr>
                    <w:t xml:space="preserve">12.54 </w:t>
                  </w:r>
                </w:p>
              </w:tc>
              <w:tc>
                <w:tcPr>
                  <w:tcW w:w="569" w:type="pct"/>
                  <w:tcBorders>
                    <w:top w:val="single" w:color="auto" w:sz="4" w:space="0"/>
                    <w:left w:val="single" w:color="auto" w:sz="4" w:space="0"/>
                    <w:bottom w:val="single" w:color="auto" w:sz="4" w:space="0"/>
                    <w:right w:val="single" w:color="auto" w:sz="4" w:space="0"/>
                  </w:tcBorders>
                  <w:vAlign w:val="center"/>
                </w:tcPr>
                <w:p w14:paraId="408EDAA2">
                  <w:pPr>
                    <w:jc w:val="center"/>
                    <w:rPr>
                      <w:rFonts w:ascii="Times New Roman" w:hAnsi="Times New Roman"/>
                      <w:szCs w:val="21"/>
                    </w:rPr>
                  </w:pPr>
                  <w:r>
                    <w:rPr>
                      <w:rFonts w:ascii="Times New Roman" w:hAnsi="Times New Roman"/>
                      <w:szCs w:val="21"/>
                    </w:rPr>
                    <w:t>13.04</w:t>
                  </w:r>
                </w:p>
              </w:tc>
            </w:tr>
            <w:tr w14:paraId="4802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8C1137D">
                  <w:pPr>
                    <w:pStyle w:val="2"/>
                    <w:spacing w:after="0"/>
                    <w:ind w:left="0" w:leftChars="0" w:firstLine="0" w:firstLineChars="0"/>
                    <w:jc w:val="center"/>
                    <w:rPr>
                      <w:szCs w:val="21"/>
                    </w:rPr>
                  </w:pPr>
                  <w:r>
                    <w:rPr>
                      <w:szCs w:val="21"/>
                    </w:rPr>
                    <w:t>108</w:t>
                  </w:r>
                </w:p>
              </w:tc>
              <w:tc>
                <w:tcPr>
                  <w:tcW w:w="449" w:type="pct"/>
                  <w:tcBorders>
                    <w:top w:val="single" w:color="auto" w:sz="4" w:space="0"/>
                    <w:left w:val="single" w:color="auto" w:sz="4" w:space="0"/>
                    <w:bottom w:val="single" w:color="auto" w:sz="4" w:space="0"/>
                    <w:right w:val="single" w:color="auto" w:sz="4" w:space="0"/>
                  </w:tcBorders>
                  <w:vAlign w:val="center"/>
                </w:tcPr>
                <w:p w14:paraId="32157A9A">
                  <w:pPr>
                    <w:jc w:val="center"/>
                    <w:rPr>
                      <w:rFonts w:ascii="Times New Roman" w:hAnsi="Times New Roman"/>
                      <w:szCs w:val="21"/>
                    </w:rPr>
                  </w:pPr>
                  <w:r>
                    <w:rPr>
                      <w:rFonts w:ascii="Times New Roman" w:hAnsi="Times New Roman"/>
                      <w:szCs w:val="21"/>
                    </w:rPr>
                    <w:t xml:space="preserve">0.21 </w:t>
                  </w:r>
                </w:p>
              </w:tc>
              <w:tc>
                <w:tcPr>
                  <w:tcW w:w="509" w:type="pct"/>
                  <w:tcBorders>
                    <w:top w:val="single" w:color="auto" w:sz="4" w:space="0"/>
                    <w:left w:val="single" w:color="auto" w:sz="4" w:space="0"/>
                    <w:bottom w:val="single" w:color="auto" w:sz="4" w:space="0"/>
                    <w:right w:val="single" w:color="auto" w:sz="4" w:space="0"/>
                  </w:tcBorders>
                  <w:vAlign w:val="center"/>
                </w:tcPr>
                <w:p w14:paraId="7D0D37C3">
                  <w:pPr>
                    <w:jc w:val="center"/>
                    <w:rPr>
                      <w:rFonts w:ascii="Times New Roman" w:hAnsi="Times New Roman"/>
                      <w:szCs w:val="21"/>
                    </w:rPr>
                  </w:pPr>
                  <w:r>
                    <w:rPr>
                      <w:rFonts w:ascii="Times New Roman" w:hAnsi="Times New Roman"/>
                      <w:szCs w:val="21"/>
                    </w:rPr>
                    <w:t xml:space="preserve">14.76 </w:t>
                  </w:r>
                </w:p>
              </w:tc>
              <w:tc>
                <w:tcPr>
                  <w:tcW w:w="549" w:type="pct"/>
                  <w:tcBorders>
                    <w:top w:val="single" w:color="auto" w:sz="4" w:space="0"/>
                    <w:left w:val="single" w:color="auto" w:sz="4" w:space="0"/>
                    <w:bottom w:val="single" w:color="auto" w:sz="4" w:space="0"/>
                    <w:right w:val="single" w:color="auto" w:sz="4" w:space="0"/>
                  </w:tcBorders>
                  <w:vAlign w:val="center"/>
                </w:tcPr>
                <w:p w14:paraId="7F214187">
                  <w:pPr>
                    <w:jc w:val="center"/>
                    <w:rPr>
                      <w:rFonts w:ascii="Times New Roman" w:hAnsi="Times New Roman"/>
                      <w:szCs w:val="21"/>
                    </w:rPr>
                  </w:pPr>
                  <w:r>
                    <w:rPr>
                      <w:rFonts w:ascii="Times New Roman" w:hAnsi="Times New Roman"/>
                      <w:szCs w:val="21"/>
                    </w:rPr>
                    <w:t xml:space="preserve">14.98(控制区) </w:t>
                  </w:r>
                </w:p>
              </w:tc>
              <w:tc>
                <w:tcPr>
                  <w:tcW w:w="449" w:type="pct"/>
                  <w:vAlign w:val="center"/>
                </w:tcPr>
                <w:p w14:paraId="39DBC477">
                  <w:pPr>
                    <w:jc w:val="center"/>
                    <w:rPr>
                      <w:rFonts w:ascii="Times New Roman" w:hAnsi="Times New Roman"/>
                      <w:szCs w:val="21"/>
                    </w:rPr>
                  </w:pPr>
                  <w:r>
                    <w:rPr>
                      <w:rFonts w:ascii="Times New Roman" w:hAnsi="Times New Roman"/>
                      <w:szCs w:val="21"/>
                    </w:rPr>
                    <w:t xml:space="preserve">0.43 </w:t>
                  </w:r>
                </w:p>
              </w:tc>
              <w:tc>
                <w:tcPr>
                  <w:tcW w:w="509" w:type="pct"/>
                  <w:vAlign w:val="center"/>
                </w:tcPr>
                <w:p w14:paraId="3F0CDCC7">
                  <w:pPr>
                    <w:jc w:val="center"/>
                    <w:rPr>
                      <w:rFonts w:ascii="Times New Roman" w:hAnsi="Times New Roman"/>
                      <w:szCs w:val="21"/>
                    </w:rPr>
                  </w:pPr>
                  <w:r>
                    <w:rPr>
                      <w:rFonts w:ascii="Times New Roman" w:hAnsi="Times New Roman"/>
                      <w:szCs w:val="21"/>
                    </w:rPr>
                    <w:t xml:space="preserve">8.49 </w:t>
                  </w:r>
                </w:p>
              </w:tc>
              <w:tc>
                <w:tcPr>
                  <w:tcW w:w="549" w:type="pct"/>
                  <w:vAlign w:val="center"/>
                </w:tcPr>
                <w:p w14:paraId="6B7E8612">
                  <w:pPr>
                    <w:jc w:val="center"/>
                    <w:rPr>
                      <w:rFonts w:ascii="Times New Roman" w:hAnsi="Times New Roman"/>
                      <w:szCs w:val="21"/>
                    </w:rPr>
                  </w:pPr>
                  <w:r>
                    <w:rPr>
                      <w:rFonts w:ascii="Times New Roman" w:hAnsi="Times New Roman"/>
                      <w:szCs w:val="21"/>
                    </w:rPr>
                    <w:t>8.92</w:t>
                  </w:r>
                </w:p>
              </w:tc>
              <w:tc>
                <w:tcPr>
                  <w:tcW w:w="394" w:type="pct"/>
                  <w:tcBorders>
                    <w:top w:val="single" w:color="auto" w:sz="4" w:space="0"/>
                    <w:left w:val="single" w:color="auto" w:sz="4" w:space="0"/>
                    <w:bottom w:val="single" w:color="auto" w:sz="4" w:space="0"/>
                    <w:right w:val="single" w:color="auto" w:sz="4" w:space="0"/>
                  </w:tcBorders>
                  <w:vAlign w:val="center"/>
                </w:tcPr>
                <w:p w14:paraId="6FEA6130">
                  <w:pPr>
                    <w:jc w:val="center"/>
                    <w:rPr>
                      <w:rFonts w:ascii="Times New Roman" w:hAnsi="Times New Roman"/>
                      <w:szCs w:val="21"/>
                    </w:rPr>
                  </w:pPr>
                  <w:r>
                    <w:rPr>
                      <w:rFonts w:ascii="Times New Roman" w:hAnsi="Times New Roman"/>
                      <w:szCs w:val="21"/>
                    </w:rPr>
                    <w:t xml:space="preserve">0.43 </w:t>
                  </w:r>
                </w:p>
              </w:tc>
              <w:tc>
                <w:tcPr>
                  <w:tcW w:w="570" w:type="pct"/>
                  <w:tcBorders>
                    <w:top w:val="single" w:color="auto" w:sz="4" w:space="0"/>
                    <w:left w:val="single" w:color="auto" w:sz="4" w:space="0"/>
                    <w:bottom w:val="single" w:color="auto" w:sz="4" w:space="0"/>
                    <w:right w:val="single" w:color="auto" w:sz="4" w:space="0"/>
                  </w:tcBorders>
                  <w:vAlign w:val="center"/>
                </w:tcPr>
                <w:p w14:paraId="0D9F69FF">
                  <w:pPr>
                    <w:jc w:val="center"/>
                    <w:rPr>
                      <w:rFonts w:ascii="Times New Roman" w:hAnsi="Times New Roman"/>
                      <w:szCs w:val="21"/>
                    </w:rPr>
                  </w:pPr>
                  <w:r>
                    <w:rPr>
                      <w:rFonts w:ascii="Times New Roman" w:hAnsi="Times New Roman"/>
                      <w:szCs w:val="21"/>
                    </w:rPr>
                    <w:t xml:space="preserve">10.75 </w:t>
                  </w:r>
                </w:p>
              </w:tc>
              <w:tc>
                <w:tcPr>
                  <w:tcW w:w="569" w:type="pct"/>
                  <w:tcBorders>
                    <w:top w:val="single" w:color="auto" w:sz="4" w:space="0"/>
                    <w:left w:val="single" w:color="auto" w:sz="4" w:space="0"/>
                    <w:bottom w:val="single" w:color="auto" w:sz="4" w:space="0"/>
                    <w:right w:val="single" w:color="auto" w:sz="4" w:space="0"/>
                  </w:tcBorders>
                  <w:vAlign w:val="center"/>
                </w:tcPr>
                <w:p w14:paraId="37B22358">
                  <w:pPr>
                    <w:jc w:val="center"/>
                    <w:rPr>
                      <w:rFonts w:ascii="Times New Roman" w:hAnsi="Times New Roman"/>
                      <w:szCs w:val="21"/>
                    </w:rPr>
                  </w:pPr>
                  <w:r>
                    <w:rPr>
                      <w:rFonts w:ascii="Times New Roman" w:hAnsi="Times New Roman"/>
                      <w:szCs w:val="21"/>
                    </w:rPr>
                    <w:t>11.18</w:t>
                  </w:r>
                </w:p>
              </w:tc>
            </w:tr>
            <w:tr w14:paraId="6AC4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B18220">
                  <w:pPr>
                    <w:pStyle w:val="2"/>
                    <w:spacing w:after="0"/>
                    <w:ind w:left="0" w:leftChars="0" w:firstLine="0" w:firstLineChars="0"/>
                    <w:jc w:val="center"/>
                    <w:rPr>
                      <w:szCs w:val="21"/>
                    </w:rPr>
                  </w:pPr>
                  <w:r>
                    <w:rPr>
                      <w:szCs w:val="21"/>
                    </w:rPr>
                    <w:t>150</w:t>
                  </w:r>
                </w:p>
              </w:tc>
              <w:tc>
                <w:tcPr>
                  <w:tcW w:w="449" w:type="pct"/>
                  <w:tcBorders>
                    <w:top w:val="single" w:color="auto" w:sz="4" w:space="0"/>
                    <w:left w:val="single" w:color="auto" w:sz="4" w:space="0"/>
                    <w:bottom w:val="single" w:color="auto" w:sz="4" w:space="0"/>
                    <w:right w:val="single" w:color="auto" w:sz="4" w:space="0"/>
                  </w:tcBorders>
                  <w:vAlign w:val="center"/>
                </w:tcPr>
                <w:p w14:paraId="53D9C5EA">
                  <w:pPr>
                    <w:jc w:val="center"/>
                    <w:rPr>
                      <w:rFonts w:ascii="Times New Roman" w:hAnsi="Times New Roman"/>
                      <w:szCs w:val="21"/>
                    </w:rPr>
                  </w:pPr>
                  <w:r>
                    <w:rPr>
                      <w:rFonts w:ascii="Times New Roman" w:hAnsi="Times New Roman"/>
                      <w:szCs w:val="21"/>
                    </w:rPr>
                    <w:t xml:space="preserve">0.11 </w:t>
                  </w:r>
                </w:p>
              </w:tc>
              <w:tc>
                <w:tcPr>
                  <w:tcW w:w="509" w:type="pct"/>
                  <w:tcBorders>
                    <w:top w:val="single" w:color="auto" w:sz="4" w:space="0"/>
                    <w:left w:val="single" w:color="auto" w:sz="4" w:space="0"/>
                    <w:bottom w:val="single" w:color="auto" w:sz="4" w:space="0"/>
                    <w:right w:val="single" w:color="auto" w:sz="4" w:space="0"/>
                  </w:tcBorders>
                  <w:vAlign w:val="center"/>
                </w:tcPr>
                <w:p w14:paraId="648A7600">
                  <w:pPr>
                    <w:jc w:val="center"/>
                    <w:rPr>
                      <w:rFonts w:ascii="Times New Roman" w:hAnsi="Times New Roman"/>
                      <w:szCs w:val="21"/>
                    </w:rPr>
                  </w:pPr>
                  <w:r>
                    <w:rPr>
                      <w:rFonts w:ascii="Times New Roman" w:hAnsi="Times New Roman"/>
                      <w:szCs w:val="21"/>
                    </w:rPr>
                    <w:t xml:space="preserve">7.65 </w:t>
                  </w:r>
                </w:p>
              </w:tc>
              <w:tc>
                <w:tcPr>
                  <w:tcW w:w="549" w:type="pct"/>
                  <w:tcBorders>
                    <w:top w:val="single" w:color="auto" w:sz="4" w:space="0"/>
                    <w:left w:val="single" w:color="auto" w:sz="4" w:space="0"/>
                    <w:bottom w:val="single" w:color="auto" w:sz="4" w:space="0"/>
                    <w:right w:val="single" w:color="auto" w:sz="4" w:space="0"/>
                  </w:tcBorders>
                  <w:vAlign w:val="center"/>
                </w:tcPr>
                <w:p w14:paraId="2EDDCF98">
                  <w:pPr>
                    <w:jc w:val="center"/>
                    <w:rPr>
                      <w:rFonts w:ascii="Times New Roman" w:hAnsi="Times New Roman"/>
                      <w:szCs w:val="21"/>
                    </w:rPr>
                  </w:pPr>
                  <w:r>
                    <w:rPr>
                      <w:rFonts w:ascii="Times New Roman" w:hAnsi="Times New Roman"/>
                      <w:szCs w:val="21"/>
                    </w:rPr>
                    <w:t xml:space="preserve">7.76 </w:t>
                  </w:r>
                </w:p>
              </w:tc>
              <w:tc>
                <w:tcPr>
                  <w:tcW w:w="449" w:type="pct"/>
                  <w:vAlign w:val="center"/>
                </w:tcPr>
                <w:p w14:paraId="0E71BBC9">
                  <w:pPr>
                    <w:jc w:val="center"/>
                    <w:rPr>
                      <w:rFonts w:ascii="Times New Roman" w:hAnsi="Times New Roman"/>
                      <w:szCs w:val="21"/>
                    </w:rPr>
                  </w:pPr>
                  <w:r>
                    <w:rPr>
                      <w:rFonts w:ascii="Times New Roman" w:hAnsi="Times New Roman"/>
                      <w:szCs w:val="21"/>
                    </w:rPr>
                    <w:t xml:space="preserve">0.22 </w:t>
                  </w:r>
                </w:p>
              </w:tc>
              <w:tc>
                <w:tcPr>
                  <w:tcW w:w="509" w:type="pct"/>
                  <w:vAlign w:val="center"/>
                </w:tcPr>
                <w:p w14:paraId="3C3DBF06">
                  <w:pPr>
                    <w:jc w:val="center"/>
                    <w:rPr>
                      <w:rFonts w:ascii="Times New Roman" w:hAnsi="Times New Roman"/>
                      <w:szCs w:val="21"/>
                    </w:rPr>
                  </w:pPr>
                  <w:r>
                    <w:rPr>
                      <w:rFonts w:ascii="Times New Roman" w:hAnsi="Times New Roman"/>
                      <w:szCs w:val="21"/>
                    </w:rPr>
                    <w:t xml:space="preserve">4.40 </w:t>
                  </w:r>
                </w:p>
              </w:tc>
              <w:tc>
                <w:tcPr>
                  <w:tcW w:w="549" w:type="pct"/>
                  <w:vAlign w:val="center"/>
                </w:tcPr>
                <w:p w14:paraId="27D61B14">
                  <w:pPr>
                    <w:jc w:val="center"/>
                    <w:rPr>
                      <w:rFonts w:ascii="Times New Roman" w:hAnsi="Times New Roman"/>
                      <w:szCs w:val="21"/>
                    </w:rPr>
                  </w:pPr>
                  <w:r>
                    <w:rPr>
                      <w:rFonts w:ascii="Times New Roman" w:hAnsi="Times New Roman"/>
                      <w:szCs w:val="21"/>
                    </w:rPr>
                    <w:t>4.61</w:t>
                  </w:r>
                </w:p>
              </w:tc>
              <w:tc>
                <w:tcPr>
                  <w:tcW w:w="394" w:type="pct"/>
                  <w:tcBorders>
                    <w:top w:val="single" w:color="auto" w:sz="4" w:space="0"/>
                    <w:left w:val="single" w:color="auto" w:sz="4" w:space="0"/>
                    <w:bottom w:val="single" w:color="auto" w:sz="4" w:space="0"/>
                    <w:right w:val="single" w:color="auto" w:sz="4" w:space="0"/>
                  </w:tcBorders>
                  <w:vAlign w:val="center"/>
                </w:tcPr>
                <w:p w14:paraId="5BD99632">
                  <w:pPr>
                    <w:jc w:val="center"/>
                    <w:rPr>
                      <w:rFonts w:ascii="Times New Roman" w:hAnsi="Times New Roman"/>
                      <w:szCs w:val="21"/>
                    </w:rPr>
                  </w:pPr>
                  <w:r>
                    <w:rPr>
                      <w:rFonts w:ascii="Times New Roman" w:hAnsi="Times New Roman"/>
                      <w:szCs w:val="21"/>
                    </w:rPr>
                    <w:t xml:space="preserve">0.22 </w:t>
                  </w:r>
                </w:p>
              </w:tc>
              <w:tc>
                <w:tcPr>
                  <w:tcW w:w="570" w:type="pct"/>
                  <w:tcBorders>
                    <w:top w:val="single" w:color="auto" w:sz="4" w:space="0"/>
                    <w:left w:val="single" w:color="auto" w:sz="4" w:space="0"/>
                    <w:bottom w:val="single" w:color="auto" w:sz="4" w:space="0"/>
                    <w:right w:val="single" w:color="auto" w:sz="4" w:space="0"/>
                  </w:tcBorders>
                  <w:vAlign w:val="center"/>
                </w:tcPr>
                <w:p w14:paraId="4563E464">
                  <w:pPr>
                    <w:jc w:val="center"/>
                    <w:rPr>
                      <w:rFonts w:ascii="Times New Roman" w:hAnsi="Times New Roman"/>
                      <w:szCs w:val="21"/>
                    </w:rPr>
                  </w:pPr>
                  <w:r>
                    <w:rPr>
                      <w:rFonts w:ascii="Times New Roman" w:hAnsi="Times New Roman"/>
                      <w:szCs w:val="21"/>
                    </w:rPr>
                    <w:t xml:space="preserve">5.57 </w:t>
                  </w:r>
                </w:p>
              </w:tc>
              <w:tc>
                <w:tcPr>
                  <w:tcW w:w="569" w:type="pct"/>
                  <w:tcBorders>
                    <w:top w:val="single" w:color="auto" w:sz="4" w:space="0"/>
                    <w:left w:val="single" w:color="auto" w:sz="4" w:space="0"/>
                    <w:bottom w:val="single" w:color="auto" w:sz="4" w:space="0"/>
                    <w:right w:val="single" w:color="auto" w:sz="4" w:space="0"/>
                  </w:tcBorders>
                  <w:vAlign w:val="center"/>
                </w:tcPr>
                <w:p w14:paraId="243D9D35">
                  <w:pPr>
                    <w:jc w:val="center"/>
                    <w:rPr>
                      <w:rFonts w:ascii="Times New Roman" w:hAnsi="Times New Roman"/>
                      <w:szCs w:val="21"/>
                    </w:rPr>
                  </w:pPr>
                  <w:r>
                    <w:rPr>
                      <w:rFonts w:ascii="Times New Roman" w:hAnsi="Times New Roman"/>
                      <w:szCs w:val="21"/>
                    </w:rPr>
                    <w:t>5.80</w:t>
                  </w:r>
                </w:p>
              </w:tc>
            </w:tr>
            <w:tr w14:paraId="7E07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860588E">
                  <w:pPr>
                    <w:pStyle w:val="2"/>
                    <w:spacing w:after="0"/>
                    <w:ind w:left="0" w:leftChars="0" w:firstLine="0" w:firstLineChars="0"/>
                    <w:jc w:val="center"/>
                    <w:rPr>
                      <w:szCs w:val="21"/>
                    </w:rPr>
                  </w:pPr>
                  <w:r>
                    <w:rPr>
                      <w:szCs w:val="21"/>
                    </w:rPr>
                    <w:t>200</w:t>
                  </w:r>
                </w:p>
              </w:tc>
              <w:tc>
                <w:tcPr>
                  <w:tcW w:w="449" w:type="pct"/>
                  <w:tcBorders>
                    <w:top w:val="single" w:color="auto" w:sz="4" w:space="0"/>
                    <w:left w:val="single" w:color="auto" w:sz="4" w:space="0"/>
                    <w:bottom w:val="single" w:color="auto" w:sz="4" w:space="0"/>
                    <w:right w:val="single" w:color="auto" w:sz="4" w:space="0"/>
                  </w:tcBorders>
                  <w:vAlign w:val="center"/>
                </w:tcPr>
                <w:p w14:paraId="4331F35D">
                  <w:pPr>
                    <w:jc w:val="center"/>
                    <w:rPr>
                      <w:rFonts w:ascii="Times New Roman" w:hAnsi="Times New Roman"/>
                      <w:szCs w:val="21"/>
                    </w:rPr>
                  </w:pPr>
                  <w:r>
                    <w:rPr>
                      <w:rFonts w:ascii="Times New Roman" w:hAnsi="Times New Roman"/>
                      <w:szCs w:val="21"/>
                    </w:rPr>
                    <w:t xml:space="preserve">0.06 </w:t>
                  </w:r>
                </w:p>
              </w:tc>
              <w:tc>
                <w:tcPr>
                  <w:tcW w:w="509" w:type="pct"/>
                  <w:tcBorders>
                    <w:top w:val="single" w:color="auto" w:sz="4" w:space="0"/>
                    <w:left w:val="single" w:color="auto" w:sz="4" w:space="0"/>
                    <w:bottom w:val="single" w:color="auto" w:sz="4" w:space="0"/>
                    <w:right w:val="single" w:color="auto" w:sz="4" w:space="0"/>
                  </w:tcBorders>
                  <w:vAlign w:val="center"/>
                </w:tcPr>
                <w:p w14:paraId="6E51FDF7">
                  <w:pPr>
                    <w:jc w:val="center"/>
                    <w:rPr>
                      <w:rFonts w:ascii="Times New Roman" w:hAnsi="Times New Roman"/>
                      <w:szCs w:val="21"/>
                    </w:rPr>
                  </w:pPr>
                  <w:r>
                    <w:rPr>
                      <w:rFonts w:ascii="Times New Roman" w:hAnsi="Times New Roman"/>
                      <w:szCs w:val="21"/>
                    </w:rPr>
                    <w:t xml:space="preserve">4.31 </w:t>
                  </w:r>
                </w:p>
              </w:tc>
              <w:tc>
                <w:tcPr>
                  <w:tcW w:w="549" w:type="pct"/>
                  <w:tcBorders>
                    <w:top w:val="single" w:color="auto" w:sz="4" w:space="0"/>
                    <w:left w:val="single" w:color="auto" w:sz="4" w:space="0"/>
                    <w:bottom w:val="single" w:color="auto" w:sz="4" w:space="0"/>
                    <w:right w:val="single" w:color="auto" w:sz="4" w:space="0"/>
                  </w:tcBorders>
                  <w:vAlign w:val="center"/>
                </w:tcPr>
                <w:p w14:paraId="5A88DBFF">
                  <w:pPr>
                    <w:jc w:val="center"/>
                    <w:rPr>
                      <w:rFonts w:ascii="Times New Roman" w:hAnsi="Times New Roman"/>
                      <w:szCs w:val="21"/>
                    </w:rPr>
                  </w:pPr>
                  <w:r>
                    <w:rPr>
                      <w:rFonts w:ascii="Times New Roman" w:hAnsi="Times New Roman"/>
                      <w:szCs w:val="21"/>
                    </w:rPr>
                    <w:t xml:space="preserve">4.37 </w:t>
                  </w:r>
                </w:p>
              </w:tc>
              <w:tc>
                <w:tcPr>
                  <w:tcW w:w="449" w:type="pct"/>
                  <w:vAlign w:val="center"/>
                </w:tcPr>
                <w:p w14:paraId="4F6CBBCC">
                  <w:pPr>
                    <w:jc w:val="center"/>
                    <w:rPr>
                      <w:rFonts w:ascii="Times New Roman" w:hAnsi="Times New Roman"/>
                      <w:szCs w:val="21"/>
                    </w:rPr>
                  </w:pPr>
                  <w:r>
                    <w:rPr>
                      <w:rFonts w:ascii="Times New Roman" w:hAnsi="Times New Roman"/>
                      <w:szCs w:val="21"/>
                    </w:rPr>
                    <w:t xml:space="preserve">0.13 </w:t>
                  </w:r>
                </w:p>
              </w:tc>
              <w:tc>
                <w:tcPr>
                  <w:tcW w:w="509" w:type="pct"/>
                  <w:vAlign w:val="center"/>
                </w:tcPr>
                <w:p w14:paraId="196D6C1C">
                  <w:pPr>
                    <w:jc w:val="center"/>
                    <w:rPr>
                      <w:rFonts w:ascii="Times New Roman" w:hAnsi="Times New Roman"/>
                      <w:szCs w:val="21"/>
                    </w:rPr>
                  </w:pPr>
                  <w:r>
                    <w:rPr>
                      <w:rFonts w:ascii="Times New Roman" w:hAnsi="Times New Roman"/>
                      <w:szCs w:val="21"/>
                    </w:rPr>
                    <w:t xml:space="preserve">2.48 </w:t>
                  </w:r>
                </w:p>
              </w:tc>
              <w:tc>
                <w:tcPr>
                  <w:tcW w:w="549" w:type="pct"/>
                  <w:vAlign w:val="center"/>
                </w:tcPr>
                <w:p w14:paraId="15D93056">
                  <w:pPr>
                    <w:jc w:val="center"/>
                    <w:rPr>
                      <w:rFonts w:ascii="Times New Roman" w:hAnsi="Times New Roman"/>
                      <w:szCs w:val="21"/>
                    </w:rPr>
                  </w:pPr>
                  <w:r>
                    <w:rPr>
                      <w:rFonts w:ascii="Times New Roman" w:hAnsi="Times New Roman"/>
                      <w:szCs w:val="21"/>
                    </w:rPr>
                    <w:t>2.61</w:t>
                  </w:r>
                </w:p>
              </w:tc>
              <w:tc>
                <w:tcPr>
                  <w:tcW w:w="394" w:type="pct"/>
                  <w:tcBorders>
                    <w:top w:val="single" w:color="auto" w:sz="4" w:space="0"/>
                    <w:left w:val="single" w:color="auto" w:sz="4" w:space="0"/>
                    <w:bottom w:val="single" w:color="auto" w:sz="4" w:space="0"/>
                    <w:right w:val="single" w:color="auto" w:sz="4" w:space="0"/>
                  </w:tcBorders>
                  <w:vAlign w:val="center"/>
                </w:tcPr>
                <w:p w14:paraId="482015A1">
                  <w:pPr>
                    <w:jc w:val="center"/>
                    <w:rPr>
                      <w:rFonts w:ascii="Times New Roman" w:hAnsi="Times New Roman"/>
                      <w:szCs w:val="21"/>
                    </w:rPr>
                  </w:pPr>
                  <w:r>
                    <w:rPr>
                      <w:rFonts w:ascii="Times New Roman" w:hAnsi="Times New Roman"/>
                      <w:szCs w:val="21"/>
                    </w:rPr>
                    <w:t xml:space="preserve">0.13 </w:t>
                  </w:r>
                </w:p>
              </w:tc>
              <w:tc>
                <w:tcPr>
                  <w:tcW w:w="570" w:type="pct"/>
                  <w:tcBorders>
                    <w:top w:val="single" w:color="auto" w:sz="4" w:space="0"/>
                    <w:left w:val="single" w:color="auto" w:sz="4" w:space="0"/>
                    <w:bottom w:val="single" w:color="auto" w:sz="4" w:space="0"/>
                    <w:right w:val="single" w:color="auto" w:sz="4" w:space="0"/>
                  </w:tcBorders>
                  <w:vAlign w:val="center"/>
                </w:tcPr>
                <w:p w14:paraId="11EA98C8">
                  <w:pPr>
                    <w:jc w:val="center"/>
                    <w:rPr>
                      <w:rFonts w:ascii="Times New Roman" w:hAnsi="Times New Roman"/>
                      <w:szCs w:val="21"/>
                    </w:rPr>
                  </w:pPr>
                  <w:r>
                    <w:rPr>
                      <w:rFonts w:ascii="Times New Roman" w:hAnsi="Times New Roman"/>
                      <w:szCs w:val="21"/>
                    </w:rPr>
                    <w:t xml:space="preserve">3.14 </w:t>
                  </w:r>
                </w:p>
              </w:tc>
              <w:tc>
                <w:tcPr>
                  <w:tcW w:w="569" w:type="pct"/>
                  <w:tcBorders>
                    <w:top w:val="single" w:color="auto" w:sz="4" w:space="0"/>
                    <w:left w:val="single" w:color="auto" w:sz="4" w:space="0"/>
                    <w:bottom w:val="single" w:color="auto" w:sz="4" w:space="0"/>
                    <w:right w:val="single" w:color="auto" w:sz="4" w:space="0"/>
                  </w:tcBorders>
                  <w:vAlign w:val="center"/>
                </w:tcPr>
                <w:p w14:paraId="6FF3FB95">
                  <w:pPr>
                    <w:jc w:val="center"/>
                    <w:rPr>
                      <w:rFonts w:ascii="Times New Roman" w:hAnsi="Times New Roman"/>
                      <w:szCs w:val="21"/>
                    </w:rPr>
                  </w:pPr>
                  <w:r>
                    <w:rPr>
                      <w:rFonts w:ascii="Times New Roman" w:hAnsi="Times New Roman"/>
                      <w:szCs w:val="21"/>
                    </w:rPr>
                    <w:t>3.26</w:t>
                  </w:r>
                </w:p>
              </w:tc>
            </w:tr>
            <w:tr w14:paraId="1689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F353D6B">
                  <w:pPr>
                    <w:pStyle w:val="2"/>
                    <w:spacing w:after="0"/>
                    <w:ind w:left="0" w:leftChars="0" w:firstLine="0" w:firstLineChars="0"/>
                    <w:jc w:val="center"/>
                    <w:rPr>
                      <w:szCs w:val="21"/>
                    </w:rPr>
                  </w:pPr>
                  <w:r>
                    <w:rPr>
                      <w:szCs w:val="21"/>
                    </w:rPr>
                    <w:t>204</w:t>
                  </w:r>
                </w:p>
              </w:tc>
              <w:tc>
                <w:tcPr>
                  <w:tcW w:w="449" w:type="pct"/>
                  <w:tcBorders>
                    <w:top w:val="single" w:color="auto" w:sz="4" w:space="0"/>
                    <w:left w:val="single" w:color="auto" w:sz="4" w:space="0"/>
                    <w:bottom w:val="single" w:color="auto" w:sz="4" w:space="0"/>
                    <w:right w:val="single" w:color="auto" w:sz="4" w:space="0"/>
                  </w:tcBorders>
                  <w:vAlign w:val="center"/>
                </w:tcPr>
                <w:p w14:paraId="38822FAD">
                  <w:pPr>
                    <w:jc w:val="center"/>
                    <w:rPr>
                      <w:rFonts w:ascii="Times New Roman" w:hAnsi="Times New Roman"/>
                      <w:szCs w:val="21"/>
                    </w:rPr>
                  </w:pPr>
                  <w:r>
                    <w:rPr>
                      <w:rFonts w:ascii="Times New Roman" w:hAnsi="Times New Roman"/>
                      <w:szCs w:val="21"/>
                    </w:rPr>
                    <w:t xml:space="preserve">0.06 </w:t>
                  </w:r>
                </w:p>
              </w:tc>
              <w:tc>
                <w:tcPr>
                  <w:tcW w:w="509" w:type="pct"/>
                  <w:tcBorders>
                    <w:top w:val="single" w:color="auto" w:sz="4" w:space="0"/>
                    <w:left w:val="single" w:color="auto" w:sz="4" w:space="0"/>
                    <w:bottom w:val="single" w:color="auto" w:sz="4" w:space="0"/>
                    <w:right w:val="single" w:color="auto" w:sz="4" w:space="0"/>
                  </w:tcBorders>
                  <w:vAlign w:val="center"/>
                </w:tcPr>
                <w:p w14:paraId="756BD8C9">
                  <w:pPr>
                    <w:jc w:val="center"/>
                    <w:rPr>
                      <w:rFonts w:ascii="Times New Roman" w:hAnsi="Times New Roman"/>
                      <w:szCs w:val="21"/>
                    </w:rPr>
                  </w:pPr>
                  <w:r>
                    <w:rPr>
                      <w:rFonts w:ascii="Times New Roman" w:hAnsi="Times New Roman"/>
                      <w:szCs w:val="21"/>
                    </w:rPr>
                    <w:t xml:space="preserve">4.14 </w:t>
                  </w:r>
                </w:p>
              </w:tc>
              <w:tc>
                <w:tcPr>
                  <w:tcW w:w="549" w:type="pct"/>
                  <w:tcBorders>
                    <w:top w:val="single" w:color="auto" w:sz="4" w:space="0"/>
                    <w:left w:val="single" w:color="auto" w:sz="4" w:space="0"/>
                    <w:bottom w:val="single" w:color="auto" w:sz="4" w:space="0"/>
                    <w:right w:val="single" w:color="auto" w:sz="4" w:space="0"/>
                  </w:tcBorders>
                  <w:vAlign w:val="center"/>
                </w:tcPr>
                <w:p w14:paraId="45688829">
                  <w:pPr>
                    <w:jc w:val="center"/>
                    <w:rPr>
                      <w:rFonts w:ascii="Times New Roman" w:hAnsi="Times New Roman"/>
                      <w:szCs w:val="21"/>
                    </w:rPr>
                  </w:pPr>
                  <w:r>
                    <w:rPr>
                      <w:rFonts w:ascii="Times New Roman" w:hAnsi="Times New Roman"/>
                      <w:szCs w:val="21"/>
                    </w:rPr>
                    <w:t xml:space="preserve">4.20 </w:t>
                  </w:r>
                </w:p>
              </w:tc>
              <w:tc>
                <w:tcPr>
                  <w:tcW w:w="449" w:type="pct"/>
                  <w:vAlign w:val="center"/>
                </w:tcPr>
                <w:p w14:paraId="563C7186">
                  <w:pPr>
                    <w:jc w:val="center"/>
                    <w:rPr>
                      <w:rFonts w:ascii="Times New Roman" w:hAnsi="Times New Roman"/>
                      <w:szCs w:val="21"/>
                    </w:rPr>
                  </w:pPr>
                  <w:r>
                    <w:rPr>
                      <w:rFonts w:ascii="Times New Roman" w:hAnsi="Times New Roman"/>
                      <w:szCs w:val="21"/>
                    </w:rPr>
                    <w:t xml:space="preserve">0.12 </w:t>
                  </w:r>
                </w:p>
              </w:tc>
              <w:tc>
                <w:tcPr>
                  <w:tcW w:w="509" w:type="pct"/>
                  <w:vAlign w:val="center"/>
                </w:tcPr>
                <w:p w14:paraId="67DBF958">
                  <w:pPr>
                    <w:jc w:val="center"/>
                    <w:rPr>
                      <w:rFonts w:ascii="Times New Roman" w:hAnsi="Times New Roman"/>
                      <w:szCs w:val="21"/>
                    </w:rPr>
                  </w:pPr>
                  <w:r>
                    <w:rPr>
                      <w:rFonts w:ascii="Times New Roman" w:hAnsi="Times New Roman"/>
                      <w:szCs w:val="21"/>
                    </w:rPr>
                    <w:t xml:space="preserve">2.38 </w:t>
                  </w:r>
                </w:p>
              </w:tc>
              <w:tc>
                <w:tcPr>
                  <w:tcW w:w="549" w:type="pct"/>
                  <w:vAlign w:val="center"/>
                </w:tcPr>
                <w:p w14:paraId="7CF992BC">
                  <w:pPr>
                    <w:jc w:val="center"/>
                    <w:rPr>
                      <w:rFonts w:ascii="Times New Roman" w:hAnsi="Times New Roman"/>
                      <w:szCs w:val="21"/>
                    </w:rPr>
                  </w:pPr>
                  <w:r>
                    <w:rPr>
                      <w:rFonts w:ascii="Times New Roman" w:hAnsi="Times New Roman"/>
                      <w:szCs w:val="21"/>
                    </w:rPr>
                    <w:t>2.50(监督区)</w:t>
                  </w:r>
                </w:p>
              </w:tc>
              <w:tc>
                <w:tcPr>
                  <w:tcW w:w="394" w:type="pct"/>
                  <w:tcBorders>
                    <w:top w:val="single" w:color="auto" w:sz="4" w:space="0"/>
                    <w:left w:val="single" w:color="auto" w:sz="4" w:space="0"/>
                    <w:bottom w:val="single" w:color="auto" w:sz="4" w:space="0"/>
                    <w:right w:val="single" w:color="auto" w:sz="4" w:space="0"/>
                  </w:tcBorders>
                  <w:vAlign w:val="center"/>
                </w:tcPr>
                <w:p w14:paraId="0D7F3A79">
                  <w:pPr>
                    <w:jc w:val="center"/>
                    <w:rPr>
                      <w:rFonts w:ascii="Times New Roman" w:hAnsi="Times New Roman"/>
                      <w:szCs w:val="21"/>
                    </w:rPr>
                  </w:pPr>
                  <w:r>
                    <w:rPr>
                      <w:rFonts w:ascii="Times New Roman" w:hAnsi="Times New Roman"/>
                      <w:szCs w:val="21"/>
                    </w:rPr>
                    <w:t xml:space="preserve">0.12 </w:t>
                  </w:r>
                </w:p>
              </w:tc>
              <w:tc>
                <w:tcPr>
                  <w:tcW w:w="570" w:type="pct"/>
                  <w:tcBorders>
                    <w:top w:val="single" w:color="auto" w:sz="4" w:space="0"/>
                    <w:left w:val="single" w:color="auto" w:sz="4" w:space="0"/>
                    <w:bottom w:val="single" w:color="auto" w:sz="4" w:space="0"/>
                    <w:right w:val="single" w:color="auto" w:sz="4" w:space="0"/>
                  </w:tcBorders>
                  <w:vAlign w:val="center"/>
                </w:tcPr>
                <w:p w14:paraId="64F2F751">
                  <w:pPr>
                    <w:jc w:val="center"/>
                    <w:rPr>
                      <w:rFonts w:ascii="Times New Roman" w:hAnsi="Times New Roman"/>
                      <w:szCs w:val="21"/>
                    </w:rPr>
                  </w:pPr>
                  <w:r>
                    <w:rPr>
                      <w:rFonts w:ascii="Times New Roman" w:hAnsi="Times New Roman"/>
                      <w:szCs w:val="21"/>
                    </w:rPr>
                    <w:t xml:space="preserve">3.01 </w:t>
                  </w:r>
                </w:p>
              </w:tc>
              <w:tc>
                <w:tcPr>
                  <w:tcW w:w="569" w:type="pct"/>
                  <w:tcBorders>
                    <w:top w:val="single" w:color="auto" w:sz="4" w:space="0"/>
                    <w:left w:val="single" w:color="auto" w:sz="4" w:space="0"/>
                    <w:bottom w:val="single" w:color="auto" w:sz="4" w:space="0"/>
                    <w:right w:val="single" w:color="auto" w:sz="4" w:space="0"/>
                  </w:tcBorders>
                  <w:vAlign w:val="center"/>
                </w:tcPr>
                <w:p w14:paraId="5806C394">
                  <w:pPr>
                    <w:jc w:val="center"/>
                    <w:rPr>
                      <w:rFonts w:ascii="Times New Roman" w:hAnsi="Times New Roman"/>
                      <w:szCs w:val="21"/>
                    </w:rPr>
                  </w:pPr>
                  <w:r>
                    <w:rPr>
                      <w:rFonts w:ascii="Times New Roman" w:hAnsi="Times New Roman"/>
                      <w:szCs w:val="21"/>
                    </w:rPr>
                    <w:t>3.13</w:t>
                  </w:r>
                </w:p>
              </w:tc>
            </w:tr>
            <w:tr w14:paraId="496B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369E3C1">
                  <w:pPr>
                    <w:pStyle w:val="2"/>
                    <w:spacing w:after="0"/>
                    <w:ind w:left="0" w:leftChars="0" w:firstLine="0" w:firstLineChars="0"/>
                    <w:jc w:val="center"/>
                    <w:rPr>
                      <w:szCs w:val="21"/>
                    </w:rPr>
                  </w:pPr>
                  <w:r>
                    <w:rPr>
                      <w:szCs w:val="21"/>
                    </w:rPr>
                    <w:t>229</w:t>
                  </w:r>
                </w:p>
              </w:tc>
              <w:tc>
                <w:tcPr>
                  <w:tcW w:w="449" w:type="pct"/>
                  <w:tcBorders>
                    <w:top w:val="single" w:color="auto" w:sz="4" w:space="0"/>
                    <w:left w:val="single" w:color="auto" w:sz="4" w:space="0"/>
                    <w:bottom w:val="single" w:color="auto" w:sz="4" w:space="0"/>
                    <w:right w:val="single" w:color="auto" w:sz="4" w:space="0"/>
                  </w:tcBorders>
                  <w:vAlign w:val="center"/>
                </w:tcPr>
                <w:p w14:paraId="5053438C">
                  <w:pPr>
                    <w:jc w:val="center"/>
                    <w:rPr>
                      <w:rFonts w:ascii="Times New Roman" w:hAnsi="Times New Roman"/>
                      <w:szCs w:val="21"/>
                    </w:rPr>
                  </w:pPr>
                  <w:r>
                    <w:rPr>
                      <w:rFonts w:ascii="Times New Roman" w:hAnsi="Times New Roman"/>
                      <w:szCs w:val="21"/>
                    </w:rPr>
                    <w:t xml:space="preserve">0.05 </w:t>
                  </w:r>
                </w:p>
              </w:tc>
              <w:tc>
                <w:tcPr>
                  <w:tcW w:w="509" w:type="pct"/>
                  <w:tcBorders>
                    <w:top w:val="single" w:color="auto" w:sz="4" w:space="0"/>
                    <w:left w:val="single" w:color="auto" w:sz="4" w:space="0"/>
                    <w:bottom w:val="single" w:color="auto" w:sz="4" w:space="0"/>
                    <w:right w:val="single" w:color="auto" w:sz="4" w:space="0"/>
                  </w:tcBorders>
                  <w:vAlign w:val="center"/>
                </w:tcPr>
                <w:p w14:paraId="255322EF">
                  <w:pPr>
                    <w:jc w:val="center"/>
                    <w:rPr>
                      <w:rFonts w:ascii="Times New Roman" w:hAnsi="Times New Roman"/>
                      <w:szCs w:val="21"/>
                    </w:rPr>
                  </w:pPr>
                  <w:r>
                    <w:rPr>
                      <w:rFonts w:ascii="Times New Roman" w:hAnsi="Times New Roman"/>
                      <w:szCs w:val="21"/>
                    </w:rPr>
                    <w:t xml:space="preserve">3.28 </w:t>
                  </w:r>
                </w:p>
              </w:tc>
              <w:tc>
                <w:tcPr>
                  <w:tcW w:w="549" w:type="pct"/>
                  <w:tcBorders>
                    <w:top w:val="single" w:color="auto" w:sz="4" w:space="0"/>
                    <w:left w:val="single" w:color="auto" w:sz="4" w:space="0"/>
                    <w:bottom w:val="single" w:color="auto" w:sz="4" w:space="0"/>
                    <w:right w:val="single" w:color="auto" w:sz="4" w:space="0"/>
                  </w:tcBorders>
                  <w:vAlign w:val="center"/>
                </w:tcPr>
                <w:p w14:paraId="016FF2D6">
                  <w:pPr>
                    <w:jc w:val="center"/>
                    <w:rPr>
                      <w:rFonts w:ascii="Times New Roman" w:hAnsi="Times New Roman"/>
                      <w:szCs w:val="21"/>
                    </w:rPr>
                  </w:pPr>
                  <w:r>
                    <w:rPr>
                      <w:rFonts w:ascii="Times New Roman" w:hAnsi="Times New Roman"/>
                      <w:szCs w:val="21"/>
                    </w:rPr>
                    <w:t xml:space="preserve">3.33 </w:t>
                  </w:r>
                </w:p>
              </w:tc>
              <w:tc>
                <w:tcPr>
                  <w:tcW w:w="449" w:type="pct"/>
                  <w:vAlign w:val="center"/>
                </w:tcPr>
                <w:p w14:paraId="3EC39E36">
                  <w:pPr>
                    <w:jc w:val="center"/>
                    <w:rPr>
                      <w:rFonts w:ascii="Times New Roman" w:hAnsi="Times New Roman"/>
                      <w:szCs w:val="21"/>
                    </w:rPr>
                  </w:pPr>
                  <w:r>
                    <w:rPr>
                      <w:rFonts w:ascii="Times New Roman" w:hAnsi="Times New Roman"/>
                      <w:szCs w:val="21"/>
                    </w:rPr>
                    <w:t xml:space="preserve">0.10 </w:t>
                  </w:r>
                </w:p>
              </w:tc>
              <w:tc>
                <w:tcPr>
                  <w:tcW w:w="509" w:type="pct"/>
                  <w:vAlign w:val="center"/>
                </w:tcPr>
                <w:p w14:paraId="7199465F">
                  <w:pPr>
                    <w:jc w:val="center"/>
                    <w:rPr>
                      <w:rFonts w:ascii="Times New Roman" w:hAnsi="Times New Roman"/>
                      <w:szCs w:val="21"/>
                    </w:rPr>
                  </w:pPr>
                  <w:r>
                    <w:rPr>
                      <w:rFonts w:ascii="Times New Roman" w:hAnsi="Times New Roman"/>
                      <w:szCs w:val="21"/>
                    </w:rPr>
                    <w:t xml:space="preserve">1.89 </w:t>
                  </w:r>
                </w:p>
              </w:tc>
              <w:tc>
                <w:tcPr>
                  <w:tcW w:w="549" w:type="pct"/>
                  <w:vAlign w:val="center"/>
                </w:tcPr>
                <w:p w14:paraId="202D9E21">
                  <w:pPr>
                    <w:jc w:val="center"/>
                    <w:rPr>
                      <w:rFonts w:ascii="Times New Roman" w:hAnsi="Times New Roman"/>
                      <w:szCs w:val="21"/>
                    </w:rPr>
                  </w:pPr>
                  <w:r>
                    <w:rPr>
                      <w:rFonts w:ascii="Times New Roman" w:hAnsi="Times New Roman"/>
                      <w:szCs w:val="21"/>
                    </w:rPr>
                    <w:t>1.29</w:t>
                  </w:r>
                </w:p>
              </w:tc>
              <w:tc>
                <w:tcPr>
                  <w:tcW w:w="394" w:type="pct"/>
                  <w:tcBorders>
                    <w:top w:val="single" w:color="auto" w:sz="4" w:space="0"/>
                    <w:left w:val="single" w:color="auto" w:sz="4" w:space="0"/>
                    <w:bottom w:val="single" w:color="auto" w:sz="4" w:space="0"/>
                    <w:right w:val="single" w:color="auto" w:sz="4" w:space="0"/>
                  </w:tcBorders>
                  <w:vAlign w:val="center"/>
                </w:tcPr>
                <w:p w14:paraId="111815F5">
                  <w:pPr>
                    <w:jc w:val="center"/>
                    <w:rPr>
                      <w:rFonts w:ascii="Times New Roman" w:hAnsi="Times New Roman"/>
                      <w:szCs w:val="21"/>
                    </w:rPr>
                  </w:pPr>
                  <w:r>
                    <w:rPr>
                      <w:rFonts w:ascii="Times New Roman" w:hAnsi="Times New Roman"/>
                      <w:szCs w:val="21"/>
                    </w:rPr>
                    <w:t xml:space="preserve">0.10 </w:t>
                  </w:r>
                </w:p>
              </w:tc>
              <w:tc>
                <w:tcPr>
                  <w:tcW w:w="570" w:type="pct"/>
                  <w:tcBorders>
                    <w:top w:val="single" w:color="auto" w:sz="4" w:space="0"/>
                    <w:left w:val="single" w:color="auto" w:sz="4" w:space="0"/>
                    <w:bottom w:val="single" w:color="auto" w:sz="4" w:space="0"/>
                    <w:right w:val="single" w:color="auto" w:sz="4" w:space="0"/>
                  </w:tcBorders>
                  <w:vAlign w:val="center"/>
                </w:tcPr>
                <w:p w14:paraId="640F13CB">
                  <w:pPr>
                    <w:jc w:val="center"/>
                    <w:rPr>
                      <w:rFonts w:ascii="Times New Roman" w:hAnsi="Times New Roman"/>
                      <w:szCs w:val="21"/>
                    </w:rPr>
                  </w:pPr>
                  <w:r>
                    <w:rPr>
                      <w:rFonts w:ascii="Times New Roman" w:hAnsi="Times New Roman"/>
                      <w:szCs w:val="21"/>
                    </w:rPr>
                    <w:t xml:space="preserve">2.39 </w:t>
                  </w:r>
                </w:p>
              </w:tc>
              <w:tc>
                <w:tcPr>
                  <w:tcW w:w="569" w:type="pct"/>
                  <w:tcBorders>
                    <w:top w:val="single" w:color="auto" w:sz="4" w:space="0"/>
                    <w:left w:val="single" w:color="auto" w:sz="4" w:space="0"/>
                    <w:bottom w:val="single" w:color="auto" w:sz="4" w:space="0"/>
                    <w:right w:val="single" w:color="auto" w:sz="4" w:space="0"/>
                  </w:tcBorders>
                  <w:vAlign w:val="center"/>
                </w:tcPr>
                <w:p w14:paraId="31775100">
                  <w:pPr>
                    <w:jc w:val="center"/>
                    <w:rPr>
                      <w:rFonts w:ascii="Times New Roman" w:hAnsi="Times New Roman"/>
                      <w:szCs w:val="21"/>
                    </w:rPr>
                  </w:pPr>
                  <w:r>
                    <w:rPr>
                      <w:rFonts w:ascii="Times New Roman" w:hAnsi="Times New Roman"/>
                      <w:szCs w:val="21"/>
                    </w:rPr>
                    <w:t>2.49(监督区)</w:t>
                  </w:r>
                </w:p>
              </w:tc>
            </w:tr>
            <w:tr w14:paraId="7998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3E85383">
                  <w:pPr>
                    <w:pStyle w:val="2"/>
                    <w:spacing w:after="0"/>
                    <w:ind w:left="0" w:leftChars="0" w:firstLine="0" w:firstLineChars="0"/>
                    <w:jc w:val="center"/>
                    <w:rPr>
                      <w:szCs w:val="21"/>
                    </w:rPr>
                  </w:pPr>
                  <w:r>
                    <w:rPr>
                      <w:szCs w:val="21"/>
                    </w:rPr>
                    <w:t>250</w:t>
                  </w:r>
                </w:p>
              </w:tc>
              <w:tc>
                <w:tcPr>
                  <w:tcW w:w="449" w:type="pct"/>
                  <w:tcBorders>
                    <w:top w:val="single" w:color="auto" w:sz="4" w:space="0"/>
                    <w:left w:val="single" w:color="auto" w:sz="4" w:space="0"/>
                    <w:bottom w:val="single" w:color="auto" w:sz="4" w:space="0"/>
                    <w:right w:val="single" w:color="auto" w:sz="4" w:space="0"/>
                  </w:tcBorders>
                  <w:vAlign w:val="center"/>
                </w:tcPr>
                <w:p w14:paraId="72D88D12">
                  <w:pPr>
                    <w:jc w:val="center"/>
                    <w:rPr>
                      <w:rFonts w:ascii="Times New Roman" w:hAnsi="Times New Roman"/>
                      <w:szCs w:val="21"/>
                    </w:rPr>
                  </w:pPr>
                  <w:r>
                    <w:rPr>
                      <w:rFonts w:ascii="Times New Roman" w:hAnsi="Times New Roman"/>
                      <w:szCs w:val="21"/>
                    </w:rPr>
                    <w:t xml:space="preserve">0.04 </w:t>
                  </w:r>
                </w:p>
              </w:tc>
              <w:tc>
                <w:tcPr>
                  <w:tcW w:w="509" w:type="pct"/>
                  <w:tcBorders>
                    <w:top w:val="single" w:color="auto" w:sz="4" w:space="0"/>
                    <w:left w:val="single" w:color="auto" w:sz="4" w:space="0"/>
                    <w:bottom w:val="single" w:color="auto" w:sz="4" w:space="0"/>
                    <w:right w:val="single" w:color="auto" w:sz="4" w:space="0"/>
                  </w:tcBorders>
                  <w:vAlign w:val="center"/>
                </w:tcPr>
                <w:p w14:paraId="78A8EC7D">
                  <w:pPr>
                    <w:jc w:val="center"/>
                    <w:rPr>
                      <w:rFonts w:ascii="Times New Roman" w:hAnsi="Times New Roman"/>
                      <w:szCs w:val="21"/>
                    </w:rPr>
                  </w:pPr>
                  <w:r>
                    <w:rPr>
                      <w:rFonts w:ascii="Times New Roman" w:hAnsi="Times New Roman"/>
                      <w:szCs w:val="21"/>
                    </w:rPr>
                    <w:t xml:space="preserve">2.76 </w:t>
                  </w:r>
                </w:p>
              </w:tc>
              <w:tc>
                <w:tcPr>
                  <w:tcW w:w="549" w:type="pct"/>
                  <w:tcBorders>
                    <w:top w:val="single" w:color="auto" w:sz="4" w:space="0"/>
                    <w:left w:val="single" w:color="auto" w:sz="4" w:space="0"/>
                    <w:bottom w:val="single" w:color="auto" w:sz="4" w:space="0"/>
                    <w:right w:val="single" w:color="auto" w:sz="4" w:space="0"/>
                  </w:tcBorders>
                  <w:vAlign w:val="center"/>
                </w:tcPr>
                <w:p w14:paraId="0385687B">
                  <w:pPr>
                    <w:jc w:val="center"/>
                    <w:rPr>
                      <w:rFonts w:ascii="Times New Roman" w:hAnsi="Times New Roman"/>
                      <w:szCs w:val="21"/>
                    </w:rPr>
                  </w:pPr>
                  <w:r>
                    <w:rPr>
                      <w:rFonts w:ascii="Times New Roman" w:hAnsi="Times New Roman"/>
                      <w:szCs w:val="21"/>
                    </w:rPr>
                    <w:t xml:space="preserve">2.80 </w:t>
                  </w:r>
                </w:p>
              </w:tc>
              <w:tc>
                <w:tcPr>
                  <w:tcW w:w="449" w:type="pct"/>
                  <w:vAlign w:val="center"/>
                </w:tcPr>
                <w:p w14:paraId="3005EDE8">
                  <w:pPr>
                    <w:jc w:val="center"/>
                    <w:rPr>
                      <w:rFonts w:ascii="Times New Roman" w:hAnsi="Times New Roman"/>
                      <w:szCs w:val="21"/>
                    </w:rPr>
                  </w:pPr>
                  <w:r>
                    <w:rPr>
                      <w:rFonts w:ascii="Times New Roman" w:hAnsi="Times New Roman"/>
                      <w:szCs w:val="21"/>
                    </w:rPr>
                    <w:t xml:space="preserve">0.08 </w:t>
                  </w:r>
                </w:p>
              </w:tc>
              <w:tc>
                <w:tcPr>
                  <w:tcW w:w="509" w:type="pct"/>
                  <w:vAlign w:val="center"/>
                </w:tcPr>
                <w:p w14:paraId="6E84B219">
                  <w:pPr>
                    <w:jc w:val="center"/>
                    <w:rPr>
                      <w:rFonts w:ascii="Times New Roman" w:hAnsi="Times New Roman"/>
                      <w:szCs w:val="21"/>
                    </w:rPr>
                  </w:pPr>
                  <w:r>
                    <w:rPr>
                      <w:rFonts w:ascii="Times New Roman" w:hAnsi="Times New Roman"/>
                      <w:szCs w:val="21"/>
                    </w:rPr>
                    <w:t xml:space="preserve">1.58 </w:t>
                  </w:r>
                </w:p>
              </w:tc>
              <w:tc>
                <w:tcPr>
                  <w:tcW w:w="549" w:type="pct"/>
                  <w:vAlign w:val="center"/>
                </w:tcPr>
                <w:p w14:paraId="73B15A98">
                  <w:pPr>
                    <w:jc w:val="center"/>
                    <w:rPr>
                      <w:rFonts w:ascii="Times New Roman" w:hAnsi="Times New Roman"/>
                      <w:szCs w:val="21"/>
                    </w:rPr>
                  </w:pPr>
                  <w:r>
                    <w:rPr>
                      <w:rFonts w:ascii="Times New Roman" w:hAnsi="Times New Roman"/>
                      <w:szCs w:val="21"/>
                    </w:rPr>
                    <w:t>1.66</w:t>
                  </w:r>
                </w:p>
              </w:tc>
              <w:tc>
                <w:tcPr>
                  <w:tcW w:w="394" w:type="pct"/>
                  <w:tcBorders>
                    <w:top w:val="single" w:color="auto" w:sz="4" w:space="0"/>
                    <w:left w:val="single" w:color="auto" w:sz="4" w:space="0"/>
                    <w:bottom w:val="single" w:color="auto" w:sz="4" w:space="0"/>
                    <w:right w:val="single" w:color="auto" w:sz="4" w:space="0"/>
                  </w:tcBorders>
                  <w:vAlign w:val="center"/>
                </w:tcPr>
                <w:p w14:paraId="75ED809C">
                  <w:pPr>
                    <w:jc w:val="center"/>
                    <w:rPr>
                      <w:rFonts w:ascii="Times New Roman" w:hAnsi="Times New Roman"/>
                      <w:szCs w:val="21"/>
                    </w:rPr>
                  </w:pPr>
                  <w:r>
                    <w:rPr>
                      <w:rFonts w:ascii="Times New Roman" w:hAnsi="Times New Roman"/>
                      <w:szCs w:val="21"/>
                    </w:rPr>
                    <w:t xml:space="preserve">0.08 </w:t>
                  </w:r>
                </w:p>
              </w:tc>
              <w:tc>
                <w:tcPr>
                  <w:tcW w:w="570" w:type="pct"/>
                  <w:tcBorders>
                    <w:top w:val="single" w:color="auto" w:sz="4" w:space="0"/>
                    <w:left w:val="single" w:color="auto" w:sz="4" w:space="0"/>
                    <w:bottom w:val="single" w:color="auto" w:sz="4" w:space="0"/>
                    <w:right w:val="single" w:color="auto" w:sz="4" w:space="0"/>
                  </w:tcBorders>
                  <w:vAlign w:val="center"/>
                </w:tcPr>
                <w:p w14:paraId="336BE991">
                  <w:pPr>
                    <w:jc w:val="center"/>
                    <w:rPr>
                      <w:rFonts w:ascii="Times New Roman" w:hAnsi="Times New Roman"/>
                      <w:szCs w:val="21"/>
                    </w:rPr>
                  </w:pPr>
                  <w:r>
                    <w:rPr>
                      <w:rFonts w:ascii="Times New Roman" w:hAnsi="Times New Roman"/>
                      <w:szCs w:val="21"/>
                    </w:rPr>
                    <w:t xml:space="preserve">2.01 </w:t>
                  </w:r>
                </w:p>
              </w:tc>
              <w:tc>
                <w:tcPr>
                  <w:tcW w:w="569" w:type="pct"/>
                  <w:tcBorders>
                    <w:top w:val="single" w:color="auto" w:sz="4" w:space="0"/>
                    <w:left w:val="single" w:color="auto" w:sz="4" w:space="0"/>
                    <w:bottom w:val="single" w:color="auto" w:sz="4" w:space="0"/>
                    <w:right w:val="single" w:color="auto" w:sz="4" w:space="0"/>
                  </w:tcBorders>
                  <w:vAlign w:val="center"/>
                </w:tcPr>
                <w:p w14:paraId="4DEC341F">
                  <w:pPr>
                    <w:jc w:val="center"/>
                    <w:rPr>
                      <w:rFonts w:ascii="Times New Roman" w:hAnsi="Times New Roman"/>
                      <w:szCs w:val="21"/>
                    </w:rPr>
                  </w:pPr>
                  <w:r>
                    <w:rPr>
                      <w:rFonts w:ascii="Times New Roman" w:hAnsi="Times New Roman"/>
                      <w:szCs w:val="21"/>
                    </w:rPr>
                    <w:t>2.09</w:t>
                  </w:r>
                </w:p>
              </w:tc>
            </w:tr>
            <w:tr w14:paraId="36A4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4726163">
                  <w:pPr>
                    <w:pStyle w:val="2"/>
                    <w:spacing w:after="0"/>
                    <w:ind w:left="0" w:leftChars="0" w:firstLine="0" w:firstLineChars="0"/>
                    <w:jc w:val="center"/>
                    <w:rPr>
                      <w:szCs w:val="21"/>
                    </w:rPr>
                  </w:pPr>
                  <w:r>
                    <w:rPr>
                      <w:szCs w:val="21"/>
                    </w:rPr>
                    <w:t>265</w:t>
                  </w:r>
                </w:p>
              </w:tc>
              <w:tc>
                <w:tcPr>
                  <w:tcW w:w="449" w:type="pct"/>
                  <w:tcBorders>
                    <w:top w:val="single" w:color="auto" w:sz="4" w:space="0"/>
                    <w:left w:val="single" w:color="auto" w:sz="4" w:space="0"/>
                    <w:bottom w:val="single" w:color="auto" w:sz="4" w:space="0"/>
                    <w:right w:val="single" w:color="auto" w:sz="4" w:space="0"/>
                  </w:tcBorders>
                  <w:vAlign w:val="center"/>
                </w:tcPr>
                <w:p w14:paraId="130EECA8">
                  <w:pPr>
                    <w:jc w:val="center"/>
                    <w:rPr>
                      <w:rFonts w:ascii="Times New Roman" w:hAnsi="Times New Roman"/>
                      <w:szCs w:val="21"/>
                    </w:rPr>
                  </w:pPr>
                  <w:r>
                    <w:rPr>
                      <w:rFonts w:ascii="Times New Roman" w:hAnsi="Times New Roman"/>
                      <w:szCs w:val="21"/>
                    </w:rPr>
                    <w:t xml:space="preserve">0.04 </w:t>
                  </w:r>
                </w:p>
              </w:tc>
              <w:tc>
                <w:tcPr>
                  <w:tcW w:w="509" w:type="pct"/>
                  <w:tcBorders>
                    <w:top w:val="single" w:color="auto" w:sz="4" w:space="0"/>
                    <w:left w:val="single" w:color="auto" w:sz="4" w:space="0"/>
                    <w:bottom w:val="single" w:color="auto" w:sz="4" w:space="0"/>
                    <w:right w:val="single" w:color="auto" w:sz="4" w:space="0"/>
                  </w:tcBorders>
                  <w:vAlign w:val="center"/>
                </w:tcPr>
                <w:p w14:paraId="3E99ACC4">
                  <w:pPr>
                    <w:jc w:val="center"/>
                    <w:rPr>
                      <w:rFonts w:ascii="Times New Roman" w:hAnsi="Times New Roman"/>
                      <w:szCs w:val="21"/>
                    </w:rPr>
                  </w:pPr>
                  <w:r>
                    <w:rPr>
                      <w:rFonts w:ascii="Times New Roman" w:hAnsi="Times New Roman"/>
                      <w:szCs w:val="21"/>
                    </w:rPr>
                    <w:t xml:space="preserve">2.45 </w:t>
                  </w:r>
                </w:p>
              </w:tc>
              <w:tc>
                <w:tcPr>
                  <w:tcW w:w="549" w:type="pct"/>
                  <w:tcBorders>
                    <w:top w:val="single" w:color="auto" w:sz="4" w:space="0"/>
                    <w:left w:val="single" w:color="auto" w:sz="4" w:space="0"/>
                    <w:bottom w:val="single" w:color="auto" w:sz="4" w:space="0"/>
                    <w:right w:val="single" w:color="auto" w:sz="4" w:space="0"/>
                  </w:tcBorders>
                  <w:vAlign w:val="center"/>
                </w:tcPr>
                <w:p w14:paraId="2885BCD6">
                  <w:pPr>
                    <w:jc w:val="center"/>
                    <w:rPr>
                      <w:rFonts w:ascii="Times New Roman" w:hAnsi="Times New Roman"/>
                      <w:szCs w:val="21"/>
                    </w:rPr>
                  </w:pPr>
                  <w:r>
                    <w:rPr>
                      <w:rFonts w:ascii="Times New Roman" w:hAnsi="Times New Roman"/>
                      <w:szCs w:val="21"/>
                    </w:rPr>
                    <w:t>2.49(监督区)</w:t>
                  </w:r>
                </w:p>
              </w:tc>
              <w:tc>
                <w:tcPr>
                  <w:tcW w:w="449" w:type="pct"/>
                  <w:vAlign w:val="center"/>
                </w:tcPr>
                <w:p w14:paraId="2DAA2B38">
                  <w:pPr>
                    <w:jc w:val="center"/>
                    <w:rPr>
                      <w:rFonts w:ascii="Times New Roman" w:hAnsi="Times New Roman"/>
                      <w:szCs w:val="21"/>
                    </w:rPr>
                  </w:pPr>
                  <w:r>
                    <w:rPr>
                      <w:rFonts w:ascii="Times New Roman" w:hAnsi="Times New Roman"/>
                      <w:szCs w:val="21"/>
                    </w:rPr>
                    <w:t xml:space="preserve">0.07 </w:t>
                  </w:r>
                </w:p>
              </w:tc>
              <w:tc>
                <w:tcPr>
                  <w:tcW w:w="509" w:type="pct"/>
                  <w:vAlign w:val="center"/>
                </w:tcPr>
                <w:p w14:paraId="7448D623">
                  <w:pPr>
                    <w:jc w:val="center"/>
                    <w:rPr>
                      <w:rFonts w:ascii="Times New Roman" w:hAnsi="Times New Roman"/>
                      <w:szCs w:val="21"/>
                    </w:rPr>
                  </w:pPr>
                  <w:r>
                    <w:rPr>
                      <w:rFonts w:ascii="Times New Roman" w:hAnsi="Times New Roman"/>
                      <w:szCs w:val="21"/>
                    </w:rPr>
                    <w:t xml:space="preserve">1.41 </w:t>
                  </w:r>
                </w:p>
              </w:tc>
              <w:tc>
                <w:tcPr>
                  <w:tcW w:w="549" w:type="pct"/>
                  <w:vAlign w:val="center"/>
                </w:tcPr>
                <w:p w14:paraId="294BF1E8">
                  <w:pPr>
                    <w:jc w:val="center"/>
                    <w:rPr>
                      <w:rFonts w:ascii="Times New Roman" w:hAnsi="Times New Roman"/>
                      <w:szCs w:val="21"/>
                    </w:rPr>
                  </w:pPr>
                  <w:r>
                    <w:rPr>
                      <w:rFonts w:ascii="Times New Roman" w:hAnsi="Times New Roman"/>
                      <w:szCs w:val="21"/>
                    </w:rPr>
                    <w:t>1.48</w:t>
                  </w:r>
                </w:p>
              </w:tc>
              <w:tc>
                <w:tcPr>
                  <w:tcW w:w="394" w:type="pct"/>
                  <w:tcBorders>
                    <w:top w:val="single" w:color="auto" w:sz="4" w:space="0"/>
                    <w:left w:val="single" w:color="auto" w:sz="4" w:space="0"/>
                    <w:bottom w:val="single" w:color="auto" w:sz="4" w:space="0"/>
                    <w:right w:val="single" w:color="auto" w:sz="4" w:space="0"/>
                  </w:tcBorders>
                  <w:vAlign w:val="center"/>
                </w:tcPr>
                <w:p w14:paraId="618C080D">
                  <w:pPr>
                    <w:jc w:val="center"/>
                    <w:rPr>
                      <w:rFonts w:ascii="Times New Roman" w:hAnsi="Times New Roman"/>
                      <w:szCs w:val="21"/>
                    </w:rPr>
                  </w:pPr>
                  <w:r>
                    <w:rPr>
                      <w:rFonts w:ascii="Times New Roman" w:hAnsi="Times New Roman"/>
                      <w:szCs w:val="21"/>
                    </w:rPr>
                    <w:t xml:space="preserve">0.07 </w:t>
                  </w:r>
                </w:p>
              </w:tc>
              <w:tc>
                <w:tcPr>
                  <w:tcW w:w="570" w:type="pct"/>
                  <w:tcBorders>
                    <w:top w:val="single" w:color="auto" w:sz="4" w:space="0"/>
                    <w:left w:val="single" w:color="auto" w:sz="4" w:space="0"/>
                    <w:bottom w:val="single" w:color="auto" w:sz="4" w:space="0"/>
                    <w:right w:val="single" w:color="auto" w:sz="4" w:space="0"/>
                  </w:tcBorders>
                  <w:vAlign w:val="center"/>
                </w:tcPr>
                <w:p w14:paraId="541DD275">
                  <w:pPr>
                    <w:jc w:val="center"/>
                    <w:rPr>
                      <w:rFonts w:ascii="Times New Roman" w:hAnsi="Times New Roman"/>
                      <w:szCs w:val="21"/>
                    </w:rPr>
                  </w:pPr>
                  <w:r>
                    <w:rPr>
                      <w:rFonts w:ascii="Times New Roman" w:hAnsi="Times New Roman"/>
                      <w:szCs w:val="21"/>
                    </w:rPr>
                    <w:t xml:space="preserve">1.79 </w:t>
                  </w:r>
                </w:p>
              </w:tc>
              <w:tc>
                <w:tcPr>
                  <w:tcW w:w="569" w:type="pct"/>
                  <w:tcBorders>
                    <w:top w:val="single" w:color="auto" w:sz="4" w:space="0"/>
                    <w:left w:val="single" w:color="auto" w:sz="4" w:space="0"/>
                    <w:bottom w:val="single" w:color="auto" w:sz="4" w:space="0"/>
                    <w:right w:val="single" w:color="auto" w:sz="4" w:space="0"/>
                  </w:tcBorders>
                  <w:vAlign w:val="center"/>
                </w:tcPr>
                <w:p w14:paraId="171FB663">
                  <w:pPr>
                    <w:jc w:val="center"/>
                    <w:rPr>
                      <w:rFonts w:ascii="Times New Roman" w:hAnsi="Times New Roman"/>
                      <w:szCs w:val="21"/>
                    </w:rPr>
                  </w:pPr>
                  <w:r>
                    <w:rPr>
                      <w:rFonts w:ascii="Times New Roman" w:hAnsi="Times New Roman"/>
                      <w:szCs w:val="21"/>
                    </w:rPr>
                    <w:t>1.86</w:t>
                  </w:r>
                </w:p>
              </w:tc>
            </w:tr>
            <w:tr w14:paraId="55C8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6734350">
                  <w:pPr>
                    <w:pStyle w:val="2"/>
                    <w:spacing w:after="0"/>
                    <w:ind w:left="0" w:leftChars="0" w:firstLine="0" w:firstLineChars="0"/>
                    <w:jc w:val="center"/>
                    <w:rPr>
                      <w:szCs w:val="21"/>
                    </w:rPr>
                  </w:pPr>
                  <w:r>
                    <w:rPr>
                      <w:szCs w:val="21"/>
                    </w:rPr>
                    <w:t>300</w:t>
                  </w:r>
                </w:p>
              </w:tc>
              <w:tc>
                <w:tcPr>
                  <w:tcW w:w="449" w:type="pct"/>
                  <w:tcBorders>
                    <w:top w:val="single" w:color="auto" w:sz="4" w:space="0"/>
                    <w:left w:val="single" w:color="auto" w:sz="4" w:space="0"/>
                    <w:bottom w:val="single" w:color="auto" w:sz="4" w:space="0"/>
                    <w:right w:val="single" w:color="auto" w:sz="4" w:space="0"/>
                  </w:tcBorders>
                  <w:vAlign w:val="center"/>
                </w:tcPr>
                <w:p w14:paraId="6EEA547D">
                  <w:pPr>
                    <w:jc w:val="center"/>
                    <w:rPr>
                      <w:rFonts w:ascii="Times New Roman" w:hAnsi="Times New Roman"/>
                      <w:szCs w:val="21"/>
                    </w:rPr>
                  </w:pPr>
                  <w:r>
                    <w:rPr>
                      <w:rFonts w:ascii="Times New Roman" w:hAnsi="Times New Roman"/>
                      <w:szCs w:val="21"/>
                    </w:rPr>
                    <w:t xml:space="preserve">0.03 </w:t>
                  </w:r>
                </w:p>
              </w:tc>
              <w:tc>
                <w:tcPr>
                  <w:tcW w:w="509" w:type="pct"/>
                  <w:tcBorders>
                    <w:top w:val="single" w:color="auto" w:sz="4" w:space="0"/>
                    <w:left w:val="single" w:color="auto" w:sz="4" w:space="0"/>
                    <w:bottom w:val="single" w:color="auto" w:sz="4" w:space="0"/>
                    <w:right w:val="single" w:color="auto" w:sz="4" w:space="0"/>
                  </w:tcBorders>
                  <w:vAlign w:val="center"/>
                </w:tcPr>
                <w:p w14:paraId="2EB825FD">
                  <w:pPr>
                    <w:jc w:val="center"/>
                    <w:rPr>
                      <w:rFonts w:ascii="Times New Roman" w:hAnsi="Times New Roman"/>
                      <w:szCs w:val="21"/>
                    </w:rPr>
                  </w:pPr>
                  <w:r>
                    <w:rPr>
                      <w:rFonts w:ascii="Times New Roman" w:hAnsi="Times New Roman"/>
                      <w:szCs w:val="21"/>
                    </w:rPr>
                    <w:t xml:space="preserve">1.91 </w:t>
                  </w:r>
                </w:p>
              </w:tc>
              <w:tc>
                <w:tcPr>
                  <w:tcW w:w="549" w:type="pct"/>
                  <w:tcBorders>
                    <w:top w:val="single" w:color="auto" w:sz="4" w:space="0"/>
                    <w:left w:val="single" w:color="auto" w:sz="4" w:space="0"/>
                    <w:bottom w:val="single" w:color="auto" w:sz="4" w:space="0"/>
                    <w:right w:val="single" w:color="auto" w:sz="4" w:space="0"/>
                  </w:tcBorders>
                  <w:vAlign w:val="center"/>
                </w:tcPr>
                <w:p w14:paraId="69962802">
                  <w:pPr>
                    <w:jc w:val="center"/>
                    <w:rPr>
                      <w:rFonts w:ascii="Times New Roman" w:hAnsi="Times New Roman"/>
                      <w:szCs w:val="21"/>
                    </w:rPr>
                  </w:pPr>
                  <w:r>
                    <w:rPr>
                      <w:rFonts w:ascii="Times New Roman" w:hAnsi="Times New Roman"/>
                      <w:szCs w:val="21"/>
                    </w:rPr>
                    <w:t xml:space="preserve">1.94 </w:t>
                  </w:r>
                </w:p>
              </w:tc>
              <w:tc>
                <w:tcPr>
                  <w:tcW w:w="449" w:type="pct"/>
                  <w:vAlign w:val="center"/>
                </w:tcPr>
                <w:p w14:paraId="4089D168">
                  <w:pPr>
                    <w:jc w:val="center"/>
                    <w:rPr>
                      <w:rFonts w:ascii="Times New Roman" w:hAnsi="Times New Roman"/>
                      <w:szCs w:val="21"/>
                    </w:rPr>
                  </w:pPr>
                  <w:r>
                    <w:rPr>
                      <w:rFonts w:ascii="Times New Roman" w:hAnsi="Times New Roman"/>
                      <w:szCs w:val="21"/>
                    </w:rPr>
                    <w:t xml:space="preserve">0.06 </w:t>
                  </w:r>
                </w:p>
              </w:tc>
              <w:tc>
                <w:tcPr>
                  <w:tcW w:w="509" w:type="pct"/>
                  <w:vAlign w:val="center"/>
                </w:tcPr>
                <w:p w14:paraId="02336637">
                  <w:pPr>
                    <w:jc w:val="center"/>
                    <w:rPr>
                      <w:rFonts w:ascii="Times New Roman" w:hAnsi="Times New Roman"/>
                      <w:szCs w:val="21"/>
                    </w:rPr>
                  </w:pPr>
                  <w:r>
                    <w:rPr>
                      <w:rFonts w:ascii="Times New Roman" w:hAnsi="Times New Roman"/>
                      <w:szCs w:val="21"/>
                    </w:rPr>
                    <w:t xml:space="preserve">1.10 </w:t>
                  </w:r>
                </w:p>
              </w:tc>
              <w:tc>
                <w:tcPr>
                  <w:tcW w:w="549" w:type="pct"/>
                  <w:vAlign w:val="center"/>
                </w:tcPr>
                <w:p w14:paraId="08E500E2">
                  <w:pPr>
                    <w:jc w:val="center"/>
                    <w:rPr>
                      <w:rFonts w:ascii="Times New Roman" w:hAnsi="Times New Roman"/>
                      <w:szCs w:val="21"/>
                    </w:rPr>
                  </w:pPr>
                  <w:r>
                    <w:rPr>
                      <w:rFonts w:ascii="Times New Roman" w:hAnsi="Times New Roman"/>
                      <w:szCs w:val="21"/>
                    </w:rPr>
                    <w:t>1.16</w:t>
                  </w:r>
                </w:p>
              </w:tc>
              <w:tc>
                <w:tcPr>
                  <w:tcW w:w="394" w:type="pct"/>
                  <w:tcBorders>
                    <w:top w:val="single" w:color="auto" w:sz="4" w:space="0"/>
                    <w:left w:val="single" w:color="auto" w:sz="4" w:space="0"/>
                    <w:bottom w:val="single" w:color="auto" w:sz="4" w:space="0"/>
                    <w:right w:val="single" w:color="auto" w:sz="4" w:space="0"/>
                  </w:tcBorders>
                  <w:vAlign w:val="center"/>
                </w:tcPr>
                <w:p w14:paraId="545F9AB8">
                  <w:pPr>
                    <w:jc w:val="center"/>
                    <w:rPr>
                      <w:rFonts w:ascii="Times New Roman" w:hAnsi="Times New Roman"/>
                      <w:szCs w:val="21"/>
                    </w:rPr>
                  </w:pPr>
                  <w:r>
                    <w:rPr>
                      <w:rFonts w:ascii="Times New Roman" w:hAnsi="Times New Roman"/>
                      <w:szCs w:val="21"/>
                    </w:rPr>
                    <w:t xml:space="preserve">0.06 </w:t>
                  </w:r>
                </w:p>
              </w:tc>
              <w:tc>
                <w:tcPr>
                  <w:tcW w:w="570" w:type="pct"/>
                  <w:tcBorders>
                    <w:top w:val="single" w:color="auto" w:sz="4" w:space="0"/>
                    <w:left w:val="single" w:color="auto" w:sz="4" w:space="0"/>
                    <w:bottom w:val="single" w:color="auto" w:sz="4" w:space="0"/>
                    <w:right w:val="single" w:color="auto" w:sz="4" w:space="0"/>
                  </w:tcBorders>
                  <w:vAlign w:val="center"/>
                </w:tcPr>
                <w:p w14:paraId="72BF73A7">
                  <w:pPr>
                    <w:jc w:val="center"/>
                    <w:rPr>
                      <w:rFonts w:ascii="Times New Roman" w:hAnsi="Times New Roman"/>
                      <w:szCs w:val="21"/>
                    </w:rPr>
                  </w:pPr>
                  <w:r>
                    <w:rPr>
                      <w:rFonts w:ascii="Times New Roman" w:hAnsi="Times New Roman"/>
                      <w:szCs w:val="21"/>
                    </w:rPr>
                    <w:t xml:space="preserve">1.39 </w:t>
                  </w:r>
                </w:p>
              </w:tc>
              <w:tc>
                <w:tcPr>
                  <w:tcW w:w="569" w:type="pct"/>
                  <w:tcBorders>
                    <w:top w:val="single" w:color="auto" w:sz="4" w:space="0"/>
                    <w:left w:val="single" w:color="auto" w:sz="4" w:space="0"/>
                    <w:bottom w:val="single" w:color="auto" w:sz="4" w:space="0"/>
                    <w:right w:val="single" w:color="auto" w:sz="4" w:space="0"/>
                  </w:tcBorders>
                  <w:vAlign w:val="center"/>
                </w:tcPr>
                <w:p w14:paraId="35C4B106">
                  <w:pPr>
                    <w:jc w:val="center"/>
                    <w:rPr>
                      <w:rFonts w:ascii="Times New Roman" w:hAnsi="Times New Roman"/>
                      <w:szCs w:val="21"/>
                    </w:rPr>
                  </w:pPr>
                  <w:r>
                    <w:rPr>
                      <w:rFonts w:ascii="Times New Roman" w:hAnsi="Times New Roman"/>
                      <w:szCs w:val="21"/>
                    </w:rPr>
                    <w:t>1.45</w:t>
                  </w:r>
                </w:p>
              </w:tc>
            </w:tr>
          </w:tbl>
          <w:p w14:paraId="75D953CC">
            <w:pPr>
              <w:rPr>
                <w:rFonts w:ascii="Times New Roman" w:hAnsi="Times New Roman"/>
                <w:b/>
                <w:bCs/>
              </w:rPr>
            </w:pPr>
          </w:p>
          <w:p w14:paraId="2D70AEAC">
            <w:pPr>
              <w:jc w:val="center"/>
              <w:rPr>
                <w:rFonts w:ascii="Times New Roman" w:hAnsi="Times New Roman"/>
              </w:rPr>
            </w:pPr>
            <w:r>
              <w:rPr>
                <w:rFonts w:ascii="Times New Roman" w:hAnsi="Times New Roman"/>
                <w:b/>
                <w:bCs/>
              </w:rPr>
              <w:t>表</w:t>
            </w:r>
            <w:r>
              <w:rPr>
                <w:rFonts w:ascii="Times New Roman" w:hAnsi="Times New Roman"/>
              </w:rPr>
              <w:t xml:space="preserve">11-5 </w:t>
            </w:r>
            <w:r>
              <w:rPr>
                <w:rFonts w:ascii="Times New Roman" w:hAnsi="Times New Roman"/>
                <w:b/>
                <w:bCs/>
              </w:rPr>
              <w:t>不同距离非主射方向空气吸收剂量计算表（有</w:t>
            </w:r>
            <w:r>
              <w:rPr>
                <w:rFonts w:ascii="Times New Roman" w:hAnsi="Times New Roman"/>
              </w:rPr>
              <w:t>5mmPb</w:t>
            </w:r>
            <w:r>
              <w:rPr>
                <w:rFonts w:ascii="Times New Roman" w:hAnsi="Times New Roman"/>
                <w:b/>
                <w:bCs/>
              </w:rPr>
              <w:t>铅屏风）（</w:t>
            </w:r>
            <w:r>
              <w:rPr>
                <w:rFonts w:ascii="Times New Roman" w:hAnsi="Times New Roman"/>
              </w:rPr>
              <w:t>μSv/h</w:t>
            </w:r>
            <w:r>
              <w:rPr>
                <w:rFonts w:ascii="Times New Roman" w:hAnsi="Times New Roman"/>
                <w:b/>
                <w:bCs/>
              </w:rPr>
              <w:t>）</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31"/>
              <w:gridCol w:w="689"/>
              <w:gridCol w:w="961"/>
              <w:gridCol w:w="689"/>
              <w:gridCol w:w="899"/>
              <w:gridCol w:w="970"/>
              <w:gridCol w:w="795"/>
              <w:gridCol w:w="1005"/>
              <w:gridCol w:w="1005"/>
            </w:tblGrid>
            <w:tr w14:paraId="02A3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56E9D62C">
                  <w:pPr>
                    <w:pStyle w:val="2"/>
                    <w:spacing w:after="0"/>
                    <w:ind w:left="0" w:leftChars="0" w:firstLine="0" w:firstLineChars="0"/>
                    <w:jc w:val="center"/>
                    <w:rPr>
                      <w:szCs w:val="21"/>
                    </w:rPr>
                  </w:pPr>
                  <w:r>
                    <w:rPr>
                      <w:b/>
                      <w:bCs/>
                      <w:szCs w:val="21"/>
                    </w:rPr>
                    <w:t>距射线靶的距离（</w:t>
                  </w:r>
                  <w:r>
                    <w:rPr>
                      <w:szCs w:val="21"/>
                    </w:rPr>
                    <w:t>m</w:t>
                  </w:r>
                  <w:r>
                    <w:rPr>
                      <w:b/>
                      <w:bCs/>
                      <w:szCs w:val="21"/>
                    </w:rPr>
                    <w:t>）</w:t>
                  </w:r>
                </w:p>
              </w:tc>
              <w:tc>
                <w:tcPr>
                  <w:tcW w:w="1514" w:type="pct"/>
                  <w:gridSpan w:val="3"/>
                  <w:tcBorders>
                    <w:top w:val="single" w:color="auto" w:sz="4" w:space="0"/>
                    <w:left w:val="single" w:color="auto" w:sz="4" w:space="0"/>
                    <w:bottom w:val="single" w:color="auto" w:sz="4" w:space="0"/>
                    <w:right w:val="single" w:color="auto" w:sz="4" w:space="0"/>
                  </w:tcBorders>
                  <w:vAlign w:val="center"/>
                </w:tcPr>
                <w:p w14:paraId="63CA4015">
                  <w:pPr>
                    <w:pStyle w:val="2"/>
                    <w:spacing w:after="0"/>
                    <w:ind w:left="0" w:leftChars="0" w:firstLine="0" w:firstLineChars="0"/>
                    <w:jc w:val="center"/>
                    <w:rPr>
                      <w:szCs w:val="21"/>
                    </w:rPr>
                  </w:pPr>
                  <w:r>
                    <w:rPr>
                      <w:szCs w:val="21"/>
                    </w:rPr>
                    <w:t>XT1605</w:t>
                  </w:r>
                </w:p>
                <w:p w14:paraId="61094742">
                  <w:pPr>
                    <w:pStyle w:val="2"/>
                    <w:spacing w:after="0"/>
                    <w:ind w:left="0" w:leftChars="0" w:firstLine="0" w:firstLineChars="0"/>
                    <w:jc w:val="center"/>
                    <w:rPr>
                      <w:szCs w:val="21"/>
                    </w:rPr>
                  </w:pPr>
                  <w:r>
                    <w:rPr>
                      <w:b/>
                      <w:bCs/>
                      <w:szCs w:val="21"/>
                    </w:rPr>
                    <w:t>定向</w:t>
                  </w:r>
                  <w:r>
                    <w:rPr>
                      <w:szCs w:val="21"/>
                    </w:rPr>
                    <w:t>X</w:t>
                  </w:r>
                  <w:r>
                    <w:rPr>
                      <w:b/>
                      <w:bCs/>
                      <w:szCs w:val="21"/>
                    </w:rPr>
                    <w:t>射线探伤机</w:t>
                  </w:r>
                </w:p>
              </w:tc>
              <w:tc>
                <w:tcPr>
                  <w:tcW w:w="1447" w:type="pct"/>
                  <w:gridSpan w:val="3"/>
                  <w:vAlign w:val="center"/>
                </w:tcPr>
                <w:p w14:paraId="3BFFA2D1">
                  <w:pPr>
                    <w:pStyle w:val="2"/>
                    <w:spacing w:after="0"/>
                    <w:ind w:left="0" w:leftChars="0" w:firstLine="0" w:firstLineChars="0"/>
                    <w:jc w:val="center"/>
                    <w:rPr>
                      <w:szCs w:val="21"/>
                    </w:rPr>
                  </w:pPr>
                  <w:r>
                    <w:rPr>
                      <w:szCs w:val="21"/>
                    </w:rPr>
                    <w:t>XT2505</w:t>
                  </w:r>
                </w:p>
                <w:p w14:paraId="5915FEB8">
                  <w:pPr>
                    <w:pStyle w:val="2"/>
                    <w:spacing w:after="0"/>
                    <w:ind w:left="0" w:leftChars="0" w:firstLine="0" w:firstLineChars="0"/>
                    <w:jc w:val="center"/>
                    <w:rPr>
                      <w:szCs w:val="21"/>
                    </w:rPr>
                  </w:pPr>
                  <w:r>
                    <w:rPr>
                      <w:b/>
                      <w:bCs/>
                      <w:szCs w:val="21"/>
                    </w:rPr>
                    <w:t>定向</w:t>
                  </w:r>
                  <w:r>
                    <w:rPr>
                      <w:szCs w:val="21"/>
                    </w:rPr>
                    <w:t>X</w:t>
                  </w:r>
                  <w:r>
                    <w:rPr>
                      <w:b/>
                      <w:bCs/>
                      <w:szCs w:val="21"/>
                    </w:rPr>
                    <w:t>射线探伤机</w:t>
                  </w:r>
                </w:p>
              </w:tc>
              <w:tc>
                <w:tcPr>
                  <w:tcW w:w="1586" w:type="pct"/>
                  <w:gridSpan w:val="3"/>
                  <w:vAlign w:val="center"/>
                </w:tcPr>
                <w:p w14:paraId="3BD9CE08">
                  <w:pPr>
                    <w:pStyle w:val="2"/>
                    <w:spacing w:after="0"/>
                    <w:ind w:left="0" w:leftChars="0" w:firstLine="0" w:firstLineChars="0"/>
                    <w:jc w:val="center"/>
                    <w:rPr>
                      <w:szCs w:val="21"/>
                    </w:rPr>
                  </w:pPr>
                  <w:r>
                    <w:rPr>
                      <w:szCs w:val="21"/>
                    </w:rPr>
                    <w:t>XT3005</w:t>
                  </w:r>
                </w:p>
                <w:p w14:paraId="2DC1E60B">
                  <w:pPr>
                    <w:pStyle w:val="2"/>
                    <w:spacing w:after="0"/>
                    <w:ind w:left="0" w:leftChars="0" w:firstLine="0" w:firstLineChars="0"/>
                    <w:jc w:val="center"/>
                    <w:rPr>
                      <w:szCs w:val="21"/>
                    </w:rPr>
                  </w:pPr>
                  <w:r>
                    <w:rPr>
                      <w:b/>
                      <w:bCs/>
                      <w:szCs w:val="21"/>
                    </w:rPr>
                    <w:t>定向</w:t>
                  </w:r>
                  <w:r>
                    <w:rPr>
                      <w:szCs w:val="21"/>
                    </w:rPr>
                    <w:t>X</w:t>
                  </w:r>
                  <w:r>
                    <w:rPr>
                      <w:b/>
                      <w:bCs/>
                      <w:szCs w:val="21"/>
                    </w:rPr>
                    <w:t>射线探伤机</w:t>
                  </w:r>
                </w:p>
              </w:tc>
            </w:tr>
            <w:tr w14:paraId="669B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4311CB07">
                  <w:pPr>
                    <w:pStyle w:val="2"/>
                    <w:spacing w:after="0"/>
                    <w:ind w:left="0" w:leftChars="0" w:firstLine="0" w:firstLineChars="0"/>
                    <w:jc w:val="center"/>
                    <w:rPr>
                      <w:szCs w:val="21"/>
                    </w:rPr>
                  </w:pPr>
                </w:p>
              </w:tc>
              <w:tc>
                <w:tcPr>
                  <w:tcW w:w="684" w:type="pct"/>
                  <w:tcBorders>
                    <w:top w:val="single" w:color="auto" w:sz="4" w:space="0"/>
                    <w:left w:val="single" w:color="auto" w:sz="4" w:space="0"/>
                    <w:bottom w:val="single" w:color="auto" w:sz="4" w:space="0"/>
                    <w:right w:val="single" w:color="auto" w:sz="4" w:space="0"/>
                  </w:tcBorders>
                  <w:vAlign w:val="center"/>
                </w:tcPr>
                <w:p w14:paraId="1CA6AA42">
                  <w:pPr>
                    <w:pStyle w:val="2"/>
                    <w:spacing w:after="0"/>
                    <w:ind w:left="0" w:leftChars="0" w:firstLine="0" w:firstLineChars="0"/>
                    <w:jc w:val="center"/>
                    <w:rPr>
                      <w:szCs w:val="21"/>
                    </w:rPr>
                  </w:pPr>
                  <w:r>
                    <w:rPr>
                      <w:b/>
                      <w:bCs/>
                      <w:szCs w:val="21"/>
                    </w:rPr>
                    <w:t>漏射</w:t>
                  </w:r>
                </w:p>
              </w:tc>
              <w:tc>
                <w:tcPr>
                  <w:tcW w:w="286" w:type="pct"/>
                  <w:tcBorders>
                    <w:top w:val="single" w:color="auto" w:sz="4" w:space="0"/>
                    <w:left w:val="single" w:color="auto" w:sz="4" w:space="0"/>
                    <w:bottom w:val="single" w:color="auto" w:sz="4" w:space="0"/>
                    <w:right w:val="single" w:color="auto" w:sz="4" w:space="0"/>
                  </w:tcBorders>
                  <w:vAlign w:val="center"/>
                </w:tcPr>
                <w:p w14:paraId="40DE60DF">
                  <w:pPr>
                    <w:pStyle w:val="2"/>
                    <w:spacing w:after="0"/>
                    <w:ind w:left="0" w:leftChars="0" w:firstLine="0" w:firstLineChars="0"/>
                    <w:jc w:val="center"/>
                    <w:rPr>
                      <w:szCs w:val="21"/>
                    </w:rPr>
                  </w:pPr>
                  <w:r>
                    <w:rPr>
                      <w:b/>
                      <w:bCs/>
                      <w:szCs w:val="21"/>
                    </w:rPr>
                    <w:t>散射</w:t>
                  </w:r>
                </w:p>
              </w:tc>
              <w:tc>
                <w:tcPr>
                  <w:tcW w:w="544" w:type="pct"/>
                  <w:tcBorders>
                    <w:top w:val="single" w:color="auto" w:sz="4" w:space="0"/>
                    <w:left w:val="single" w:color="auto" w:sz="4" w:space="0"/>
                    <w:bottom w:val="single" w:color="auto" w:sz="4" w:space="0"/>
                    <w:right w:val="single" w:color="auto" w:sz="4" w:space="0"/>
                  </w:tcBorders>
                  <w:vAlign w:val="center"/>
                </w:tcPr>
                <w:p w14:paraId="2E371C03">
                  <w:pPr>
                    <w:pStyle w:val="2"/>
                    <w:spacing w:after="0"/>
                    <w:ind w:left="0" w:leftChars="0" w:firstLine="0" w:firstLineChars="0"/>
                    <w:jc w:val="center"/>
                    <w:rPr>
                      <w:szCs w:val="21"/>
                    </w:rPr>
                  </w:pPr>
                  <w:r>
                    <w:rPr>
                      <w:b/>
                      <w:bCs/>
                      <w:szCs w:val="21"/>
                    </w:rPr>
                    <w:t>合计</w:t>
                  </w:r>
                </w:p>
              </w:tc>
              <w:tc>
                <w:tcPr>
                  <w:tcW w:w="390" w:type="pct"/>
                  <w:vAlign w:val="center"/>
                </w:tcPr>
                <w:p w14:paraId="133A6021">
                  <w:pPr>
                    <w:pStyle w:val="2"/>
                    <w:spacing w:after="0"/>
                    <w:ind w:left="0" w:leftChars="0" w:firstLine="0" w:firstLineChars="0"/>
                    <w:jc w:val="center"/>
                    <w:rPr>
                      <w:szCs w:val="21"/>
                    </w:rPr>
                  </w:pPr>
                  <w:r>
                    <w:rPr>
                      <w:b/>
                      <w:bCs/>
                      <w:szCs w:val="21"/>
                    </w:rPr>
                    <w:t>漏射</w:t>
                  </w:r>
                </w:p>
              </w:tc>
              <w:tc>
                <w:tcPr>
                  <w:tcW w:w="509" w:type="pct"/>
                  <w:vAlign w:val="center"/>
                </w:tcPr>
                <w:p w14:paraId="41869EF1">
                  <w:pPr>
                    <w:pStyle w:val="2"/>
                    <w:spacing w:after="0"/>
                    <w:ind w:left="0" w:leftChars="0" w:firstLine="0" w:firstLineChars="0"/>
                    <w:jc w:val="center"/>
                    <w:rPr>
                      <w:szCs w:val="21"/>
                    </w:rPr>
                  </w:pPr>
                  <w:r>
                    <w:rPr>
                      <w:b/>
                      <w:bCs/>
                      <w:szCs w:val="21"/>
                    </w:rPr>
                    <w:t>散射</w:t>
                  </w:r>
                </w:p>
              </w:tc>
              <w:tc>
                <w:tcPr>
                  <w:tcW w:w="548" w:type="pct"/>
                  <w:vAlign w:val="center"/>
                </w:tcPr>
                <w:p w14:paraId="648C4BEE">
                  <w:pPr>
                    <w:pStyle w:val="2"/>
                    <w:spacing w:after="0"/>
                    <w:ind w:left="0" w:leftChars="0" w:firstLine="0" w:firstLineChars="0"/>
                    <w:jc w:val="center"/>
                    <w:rPr>
                      <w:szCs w:val="21"/>
                    </w:rPr>
                  </w:pPr>
                  <w:r>
                    <w:rPr>
                      <w:b/>
                      <w:bCs/>
                      <w:szCs w:val="21"/>
                    </w:rPr>
                    <w:t>合计</w:t>
                  </w:r>
                </w:p>
              </w:tc>
              <w:tc>
                <w:tcPr>
                  <w:tcW w:w="449" w:type="pct"/>
                  <w:vAlign w:val="center"/>
                </w:tcPr>
                <w:p w14:paraId="7549D521">
                  <w:pPr>
                    <w:pStyle w:val="2"/>
                    <w:spacing w:after="0"/>
                    <w:ind w:left="0" w:leftChars="0" w:firstLine="0" w:firstLineChars="0"/>
                    <w:jc w:val="center"/>
                    <w:rPr>
                      <w:szCs w:val="21"/>
                    </w:rPr>
                  </w:pPr>
                  <w:r>
                    <w:rPr>
                      <w:b/>
                      <w:bCs/>
                      <w:szCs w:val="21"/>
                    </w:rPr>
                    <w:t>漏射</w:t>
                  </w:r>
                </w:p>
              </w:tc>
              <w:tc>
                <w:tcPr>
                  <w:tcW w:w="568" w:type="pct"/>
                  <w:vAlign w:val="center"/>
                </w:tcPr>
                <w:p w14:paraId="2C8253DE">
                  <w:pPr>
                    <w:pStyle w:val="2"/>
                    <w:spacing w:after="0"/>
                    <w:ind w:left="0" w:leftChars="0" w:firstLine="0" w:firstLineChars="0"/>
                    <w:jc w:val="center"/>
                    <w:rPr>
                      <w:szCs w:val="21"/>
                    </w:rPr>
                  </w:pPr>
                  <w:r>
                    <w:rPr>
                      <w:b/>
                      <w:bCs/>
                      <w:szCs w:val="21"/>
                    </w:rPr>
                    <w:t>散射</w:t>
                  </w:r>
                </w:p>
              </w:tc>
              <w:tc>
                <w:tcPr>
                  <w:tcW w:w="568" w:type="pct"/>
                  <w:vAlign w:val="center"/>
                </w:tcPr>
                <w:p w14:paraId="1ED82F50">
                  <w:pPr>
                    <w:pStyle w:val="2"/>
                    <w:spacing w:after="0"/>
                    <w:ind w:left="0" w:leftChars="0" w:firstLine="0" w:firstLineChars="0"/>
                    <w:jc w:val="center"/>
                    <w:rPr>
                      <w:szCs w:val="21"/>
                    </w:rPr>
                  </w:pPr>
                  <w:r>
                    <w:rPr>
                      <w:b/>
                      <w:bCs/>
                      <w:szCs w:val="21"/>
                    </w:rPr>
                    <w:t>合计</w:t>
                  </w:r>
                </w:p>
              </w:tc>
            </w:tr>
            <w:tr w14:paraId="53D7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0C8F563">
                  <w:pPr>
                    <w:widowControl/>
                    <w:jc w:val="center"/>
                    <w:rPr>
                      <w:rFonts w:ascii="Times New Roman" w:hAnsi="Times New Roman"/>
                      <w:kern w:val="0"/>
                      <w:szCs w:val="21"/>
                    </w:rPr>
                  </w:pPr>
                  <w:r>
                    <w:rPr>
                      <w:rFonts w:ascii="Times New Roman" w:hAnsi="Times New Roman"/>
                      <w:szCs w:val="21"/>
                    </w:rPr>
                    <w:t>1</w:t>
                  </w:r>
                </w:p>
              </w:tc>
              <w:tc>
                <w:tcPr>
                  <w:tcW w:w="684" w:type="pct"/>
                  <w:tcBorders>
                    <w:top w:val="single" w:color="auto" w:sz="4" w:space="0"/>
                    <w:left w:val="single" w:color="auto" w:sz="4" w:space="0"/>
                    <w:bottom w:val="single" w:color="auto" w:sz="4" w:space="0"/>
                    <w:right w:val="single" w:color="auto" w:sz="4" w:space="0"/>
                  </w:tcBorders>
                  <w:vAlign w:val="center"/>
                </w:tcPr>
                <w:p w14:paraId="387A8306">
                  <w:pPr>
                    <w:widowControl/>
                    <w:jc w:val="center"/>
                    <w:rPr>
                      <w:rFonts w:ascii="Times New Roman" w:hAnsi="Times New Roman"/>
                      <w:kern w:val="0"/>
                      <w:szCs w:val="21"/>
                    </w:rPr>
                  </w:pPr>
                  <w:r>
                    <w:rPr>
                      <w:rFonts w:ascii="Times New Roman" w:hAnsi="Times New Roman"/>
                      <w:szCs w:val="21"/>
                    </w:rPr>
                    <w:t xml:space="preserve">0.67 </w:t>
                  </w:r>
                </w:p>
              </w:tc>
              <w:tc>
                <w:tcPr>
                  <w:tcW w:w="286" w:type="pct"/>
                  <w:tcBorders>
                    <w:top w:val="single" w:color="auto" w:sz="4" w:space="0"/>
                    <w:left w:val="single" w:color="auto" w:sz="4" w:space="0"/>
                    <w:bottom w:val="single" w:color="auto" w:sz="4" w:space="0"/>
                    <w:right w:val="single" w:color="auto" w:sz="4" w:space="0"/>
                  </w:tcBorders>
                  <w:vAlign w:val="center"/>
                </w:tcPr>
                <w:p w14:paraId="4F014F87">
                  <w:pPr>
                    <w:widowControl/>
                    <w:jc w:val="center"/>
                    <w:rPr>
                      <w:rFonts w:ascii="Times New Roman" w:hAnsi="Times New Roman"/>
                      <w:kern w:val="0"/>
                      <w:szCs w:val="21"/>
                    </w:rPr>
                  </w:pPr>
                  <w:r>
                    <w:rPr>
                      <w:rFonts w:ascii="Times New Roman" w:hAnsi="Times New Roman"/>
                      <w:szCs w:val="21"/>
                    </w:rPr>
                    <w:t xml:space="preserve">46.20 </w:t>
                  </w:r>
                </w:p>
              </w:tc>
              <w:tc>
                <w:tcPr>
                  <w:tcW w:w="544" w:type="pct"/>
                  <w:tcBorders>
                    <w:top w:val="single" w:color="auto" w:sz="4" w:space="0"/>
                    <w:left w:val="single" w:color="auto" w:sz="4" w:space="0"/>
                    <w:bottom w:val="single" w:color="auto" w:sz="4" w:space="0"/>
                    <w:right w:val="single" w:color="auto" w:sz="4" w:space="0"/>
                  </w:tcBorders>
                  <w:vAlign w:val="center"/>
                </w:tcPr>
                <w:p w14:paraId="0054C4E4">
                  <w:pPr>
                    <w:widowControl/>
                    <w:jc w:val="center"/>
                    <w:rPr>
                      <w:rFonts w:ascii="Times New Roman" w:hAnsi="Times New Roman"/>
                      <w:kern w:val="0"/>
                      <w:szCs w:val="21"/>
                    </w:rPr>
                  </w:pPr>
                  <w:r>
                    <w:rPr>
                      <w:rFonts w:ascii="Times New Roman" w:hAnsi="Times New Roman"/>
                      <w:szCs w:val="21"/>
                    </w:rPr>
                    <w:t xml:space="preserve">46.87 </w:t>
                  </w:r>
                </w:p>
              </w:tc>
              <w:tc>
                <w:tcPr>
                  <w:tcW w:w="390" w:type="pct"/>
                  <w:vAlign w:val="center"/>
                </w:tcPr>
                <w:p w14:paraId="4F11FFF2">
                  <w:pPr>
                    <w:widowControl/>
                    <w:jc w:val="center"/>
                    <w:rPr>
                      <w:rFonts w:ascii="Times New Roman" w:hAnsi="Times New Roman"/>
                      <w:kern w:val="0"/>
                      <w:szCs w:val="21"/>
                    </w:rPr>
                  </w:pPr>
                  <w:r>
                    <w:rPr>
                      <w:rFonts w:ascii="Times New Roman" w:hAnsi="Times New Roman"/>
                      <w:szCs w:val="21"/>
                    </w:rPr>
                    <w:t xml:space="preserve">94.37 </w:t>
                  </w:r>
                </w:p>
              </w:tc>
              <w:tc>
                <w:tcPr>
                  <w:tcW w:w="509" w:type="pct"/>
                  <w:vAlign w:val="center"/>
                </w:tcPr>
                <w:p w14:paraId="0094CBB3">
                  <w:pPr>
                    <w:widowControl/>
                    <w:jc w:val="center"/>
                    <w:rPr>
                      <w:rFonts w:ascii="Times New Roman" w:hAnsi="Times New Roman"/>
                      <w:kern w:val="0"/>
                      <w:szCs w:val="21"/>
                    </w:rPr>
                  </w:pPr>
                  <w:r>
                    <w:rPr>
                      <w:rFonts w:ascii="Times New Roman" w:hAnsi="Times New Roman"/>
                      <w:szCs w:val="21"/>
                    </w:rPr>
                    <w:t xml:space="preserve">2366.79 </w:t>
                  </w:r>
                </w:p>
              </w:tc>
              <w:tc>
                <w:tcPr>
                  <w:tcW w:w="548" w:type="pct"/>
                  <w:vAlign w:val="center"/>
                </w:tcPr>
                <w:p w14:paraId="6757394A">
                  <w:pPr>
                    <w:widowControl/>
                    <w:jc w:val="center"/>
                    <w:rPr>
                      <w:rFonts w:ascii="Times New Roman" w:hAnsi="Times New Roman"/>
                      <w:kern w:val="0"/>
                      <w:szCs w:val="21"/>
                    </w:rPr>
                  </w:pPr>
                  <w:r>
                    <w:rPr>
                      <w:rFonts w:ascii="Times New Roman" w:hAnsi="Times New Roman"/>
                      <w:szCs w:val="21"/>
                    </w:rPr>
                    <w:t xml:space="preserve">2461.16 </w:t>
                  </w:r>
                </w:p>
              </w:tc>
              <w:tc>
                <w:tcPr>
                  <w:tcW w:w="449" w:type="pct"/>
                  <w:vAlign w:val="center"/>
                </w:tcPr>
                <w:p w14:paraId="183DAC9F">
                  <w:pPr>
                    <w:widowControl/>
                    <w:jc w:val="center"/>
                    <w:rPr>
                      <w:rFonts w:ascii="Times New Roman" w:hAnsi="Times New Roman"/>
                      <w:kern w:val="0"/>
                      <w:szCs w:val="21"/>
                    </w:rPr>
                  </w:pPr>
                  <w:r>
                    <w:rPr>
                      <w:rFonts w:ascii="Times New Roman" w:hAnsi="Times New Roman"/>
                      <w:szCs w:val="21"/>
                    </w:rPr>
                    <w:t xml:space="preserve">663.40 </w:t>
                  </w:r>
                </w:p>
              </w:tc>
              <w:tc>
                <w:tcPr>
                  <w:tcW w:w="568" w:type="pct"/>
                  <w:vAlign w:val="center"/>
                </w:tcPr>
                <w:p w14:paraId="1113FB73">
                  <w:pPr>
                    <w:widowControl/>
                    <w:jc w:val="center"/>
                    <w:rPr>
                      <w:rFonts w:ascii="Times New Roman" w:hAnsi="Times New Roman"/>
                      <w:kern w:val="0"/>
                      <w:szCs w:val="21"/>
                    </w:rPr>
                  </w:pPr>
                  <w:r>
                    <w:rPr>
                      <w:rFonts w:ascii="Times New Roman" w:hAnsi="Times New Roman"/>
                      <w:szCs w:val="21"/>
                    </w:rPr>
                    <w:t xml:space="preserve">13135.37 </w:t>
                  </w:r>
                </w:p>
              </w:tc>
              <w:tc>
                <w:tcPr>
                  <w:tcW w:w="568" w:type="pct"/>
                  <w:vAlign w:val="center"/>
                </w:tcPr>
                <w:p w14:paraId="46A21A48">
                  <w:pPr>
                    <w:widowControl/>
                    <w:jc w:val="center"/>
                    <w:rPr>
                      <w:rFonts w:ascii="Times New Roman" w:hAnsi="Times New Roman"/>
                      <w:kern w:val="0"/>
                      <w:szCs w:val="21"/>
                    </w:rPr>
                  </w:pPr>
                  <w:r>
                    <w:rPr>
                      <w:rFonts w:ascii="Times New Roman" w:hAnsi="Times New Roman"/>
                      <w:szCs w:val="21"/>
                    </w:rPr>
                    <w:t xml:space="preserve">13798.77 </w:t>
                  </w:r>
                </w:p>
              </w:tc>
            </w:tr>
            <w:tr w14:paraId="62E8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E5F5EB3">
                  <w:pPr>
                    <w:jc w:val="center"/>
                    <w:rPr>
                      <w:rFonts w:ascii="Times New Roman" w:hAnsi="Times New Roman"/>
                      <w:szCs w:val="21"/>
                    </w:rPr>
                  </w:pPr>
                  <w:r>
                    <w:rPr>
                      <w:rFonts w:ascii="Times New Roman" w:hAnsi="Times New Roman"/>
                      <w:szCs w:val="21"/>
                    </w:rPr>
                    <w:t>2</w:t>
                  </w:r>
                </w:p>
              </w:tc>
              <w:tc>
                <w:tcPr>
                  <w:tcW w:w="684" w:type="pct"/>
                  <w:tcBorders>
                    <w:top w:val="single" w:color="auto" w:sz="4" w:space="0"/>
                    <w:left w:val="single" w:color="auto" w:sz="4" w:space="0"/>
                    <w:bottom w:val="single" w:color="auto" w:sz="4" w:space="0"/>
                    <w:right w:val="single" w:color="auto" w:sz="4" w:space="0"/>
                  </w:tcBorders>
                  <w:vAlign w:val="center"/>
                </w:tcPr>
                <w:p w14:paraId="2BC10020">
                  <w:pPr>
                    <w:jc w:val="center"/>
                    <w:rPr>
                      <w:rFonts w:ascii="Times New Roman" w:hAnsi="Times New Roman"/>
                      <w:szCs w:val="21"/>
                    </w:rPr>
                  </w:pPr>
                  <w:r>
                    <w:rPr>
                      <w:rFonts w:ascii="Times New Roman" w:hAnsi="Times New Roman"/>
                      <w:szCs w:val="21"/>
                    </w:rPr>
                    <w:t xml:space="preserve">0.17 </w:t>
                  </w:r>
                </w:p>
              </w:tc>
              <w:tc>
                <w:tcPr>
                  <w:tcW w:w="286" w:type="pct"/>
                  <w:tcBorders>
                    <w:top w:val="single" w:color="auto" w:sz="4" w:space="0"/>
                    <w:left w:val="single" w:color="auto" w:sz="4" w:space="0"/>
                    <w:bottom w:val="single" w:color="auto" w:sz="4" w:space="0"/>
                    <w:right w:val="single" w:color="auto" w:sz="4" w:space="0"/>
                  </w:tcBorders>
                  <w:vAlign w:val="center"/>
                </w:tcPr>
                <w:p w14:paraId="262E9249">
                  <w:pPr>
                    <w:jc w:val="center"/>
                    <w:rPr>
                      <w:rFonts w:ascii="Times New Roman" w:hAnsi="Times New Roman"/>
                      <w:szCs w:val="21"/>
                    </w:rPr>
                  </w:pPr>
                  <w:r>
                    <w:rPr>
                      <w:rFonts w:ascii="Times New Roman" w:hAnsi="Times New Roman"/>
                      <w:szCs w:val="21"/>
                    </w:rPr>
                    <w:t xml:space="preserve">11.55 </w:t>
                  </w:r>
                </w:p>
              </w:tc>
              <w:tc>
                <w:tcPr>
                  <w:tcW w:w="544" w:type="pct"/>
                  <w:tcBorders>
                    <w:top w:val="single" w:color="auto" w:sz="4" w:space="0"/>
                    <w:left w:val="single" w:color="auto" w:sz="4" w:space="0"/>
                    <w:bottom w:val="single" w:color="auto" w:sz="4" w:space="0"/>
                    <w:right w:val="single" w:color="auto" w:sz="4" w:space="0"/>
                  </w:tcBorders>
                  <w:vAlign w:val="center"/>
                </w:tcPr>
                <w:p w14:paraId="63AEB902">
                  <w:pPr>
                    <w:jc w:val="center"/>
                    <w:rPr>
                      <w:rFonts w:ascii="Times New Roman" w:hAnsi="Times New Roman"/>
                      <w:szCs w:val="21"/>
                    </w:rPr>
                  </w:pPr>
                  <w:r>
                    <w:rPr>
                      <w:rFonts w:ascii="Times New Roman" w:hAnsi="Times New Roman"/>
                      <w:szCs w:val="21"/>
                    </w:rPr>
                    <w:t>11.72(控制区)</w:t>
                  </w:r>
                </w:p>
              </w:tc>
              <w:tc>
                <w:tcPr>
                  <w:tcW w:w="390" w:type="pct"/>
                  <w:vAlign w:val="center"/>
                </w:tcPr>
                <w:p w14:paraId="40FC6E4C">
                  <w:pPr>
                    <w:jc w:val="center"/>
                    <w:rPr>
                      <w:rFonts w:ascii="Times New Roman" w:hAnsi="Times New Roman"/>
                      <w:szCs w:val="21"/>
                    </w:rPr>
                  </w:pPr>
                  <w:r>
                    <w:rPr>
                      <w:rFonts w:ascii="Times New Roman" w:hAnsi="Times New Roman"/>
                      <w:szCs w:val="21"/>
                    </w:rPr>
                    <w:t xml:space="preserve">23.59 </w:t>
                  </w:r>
                </w:p>
              </w:tc>
              <w:tc>
                <w:tcPr>
                  <w:tcW w:w="509" w:type="pct"/>
                  <w:vAlign w:val="center"/>
                </w:tcPr>
                <w:p w14:paraId="2F203B04">
                  <w:pPr>
                    <w:jc w:val="center"/>
                    <w:rPr>
                      <w:rFonts w:ascii="Times New Roman" w:hAnsi="Times New Roman"/>
                      <w:szCs w:val="21"/>
                    </w:rPr>
                  </w:pPr>
                  <w:r>
                    <w:rPr>
                      <w:rFonts w:ascii="Times New Roman" w:hAnsi="Times New Roman"/>
                      <w:szCs w:val="21"/>
                    </w:rPr>
                    <w:t xml:space="preserve">591.70 </w:t>
                  </w:r>
                </w:p>
              </w:tc>
              <w:tc>
                <w:tcPr>
                  <w:tcW w:w="548" w:type="pct"/>
                  <w:vAlign w:val="center"/>
                </w:tcPr>
                <w:p w14:paraId="0284E764">
                  <w:pPr>
                    <w:jc w:val="center"/>
                    <w:rPr>
                      <w:rFonts w:ascii="Times New Roman" w:hAnsi="Times New Roman"/>
                      <w:szCs w:val="21"/>
                    </w:rPr>
                  </w:pPr>
                  <w:r>
                    <w:rPr>
                      <w:rFonts w:ascii="Times New Roman" w:hAnsi="Times New Roman"/>
                      <w:szCs w:val="21"/>
                    </w:rPr>
                    <w:t xml:space="preserve">615.29 </w:t>
                  </w:r>
                </w:p>
              </w:tc>
              <w:tc>
                <w:tcPr>
                  <w:tcW w:w="449" w:type="pct"/>
                  <w:vAlign w:val="center"/>
                </w:tcPr>
                <w:p w14:paraId="3FADA020">
                  <w:pPr>
                    <w:jc w:val="center"/>
                    <w:rPr>
                      <w:rFonts w:ascii="Times New Roman" w:hAnsi="Times New Roman"/>
                      <w:szCs w:val="21"/>
                    </w:rPr>
                  </w:pPr>
                  <w:r>
                    <w:rPr>
                      <w:rFonts w:ascii="Times New Roman" w:hAnsi="Times New Roman"/>
                      <w:szCs w:val="21"/>
                    </w:rPr>
                    <w:t xml:space="preserve">165.85 </w:t>
                  </w:r>
                </w:p>
              </w:tc>
              <w:tc>
                <w:tcPr>
                  <w:tcW w:w="568" w:type="pct"/>
                  <w:vAlign w:val="center"/>
                </w:tcPr>
                <w:p w14:paraId="02E4B955">
                  <w:pPr>
                    <w:jc w:val="center"/>
                    <w:rPr>
                      <w:rFonts w:ascii="Times New Roman" w:hAnsi="Times New Roman"/>
                      <w:szCs w:val="21"/>
                    </w:rPr>
                  </w:pPr>
                  <w:r>
                    <w:rPr>
                      <w:rFonts w:ascii="Times New Roman" w:hAnsi="Times New Roman"/>
                      <w:szCs w:val="21"/>
                    </w:rPr>
                    <w:t xml:space="preserve">3283.84 </w:t>
                  </w:r>
                </w:p>
              </w:tc>
              <w:tc>
                <w:tcPr>
                  <w:tcW w:w="568" w:type="pct"/>
                  <w:vAlign w:val="center"/>
                </w:tcPr>
                <w:p w14:paraId="1BA6A3DC">
                  <w:pPr>
                    <w:jc w:val="center"/>
                    <w:rPr>
                      <w:rFonts w:ascii="Times New Roman" w:hAnsi="Times New Roman"/>
                      <w:szCs w:val="21"/>
                    </w:rPr>
                  </w:pPr>
                  <w:r>
                    <w:rPr>
                      <w:rFonts w:ascii="Times New Roman" w:hAnsi="Times New Roman"/>
                      <w:szCs w:val="21"/>
                    </w:rPr>
                    <w:t xml:space="preserve">3449.69 </w:t>
                  </w:r>
                </w:p>
              </w:tc>
            </w:tr>
            <w:tr w14:paraId="3FAA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C256184">
                  <w:pPr>
                    <w:jc w:val="center"/>
                    <w:rPr>
                      <w:rFonts w:ascii="Times New Roman" w:hAnsi="Times New Roman"/>
                      <w:szCs w:val="21"/>
                    </w:rPr>
                  </w:pPr>
                  <w:r>
                    <w:rPr>
                      <w:rFonts w:ascii="Times New Roman" w:hAnsi="Times New Roman"/>
                      <w:szCs w:val="21"/>
                    </w:rPr>
                    <w:t>4</w:t>
                  </w:r>
                </w:p>
              </w:tc>
              <w:tc>
                <w:tcPr>
                  <w:tcW w:w="684" w:type="pct"/>
                  <w:tcBorders>
                    <w:top w:val="single" w:color="auto" w:sz="4" w:space="0"/>
                    <w:left w:val="single" w:color="auto" w:sz="4" w:space="0"/>
                    <w:bottom w:val="single" w:color="auto" w:sz="4" w:space="0"/>
                    <w:right w:val="single" w:color="auto" w:sz="4" w:space="0"/>
                  </w:tcBorders>
                  <w:vAlign w:val="center"/>
                </w:tcPr>
                <w:p w14:paraId="611AC29E">
                  <w:pPr>
                    <w:jc w:val="center"/>
                    <w:rPr>
                      <w:rFonts w:ascii="Times New Roman" w:hAnsi="Times New Roman"/>
                      <w:szCs w:val="21"/>
                    </w:rPr>
                  </w:pPr>
                  <w:r>
                    <w:rPr>
                      <w:rFonts w:ascii="Times New Roman" w:hAnsi="Times New Roman"/>
                      <w:szCs w:val="21"/>
                    </w:rPr>
                    <w:t xml:space="preserve">0.04 </w:t>
                  </w:r>
                </w:p>
              </w:tc>
              <w:tc>
                <w:tcPr>
                  <w:tcW w:w="286" w:type="pct"/>
                  <w:tcBorders>
                    <w:top w:val="single" w:color="auto" w:sz="4" w:space="0"/>
                    <w:left w:val="single" w:color="auto" w:sz="4" w:space="0"/>
                    <w:bottom w:val="single" w:color="auto" w:sz="4" w:space="0"/>
                    <w:right w:val="single" w:color="auto" w:sz="4" w:space="0"/>
                  </w:tcBorders>
                  <w:vAlign w:val="center"/>
                </w:tcPr>
                <w:p w14:paraId="5AA9140B">
                  <w:pPr>
                    <w:jc w:val="center"/>
                    <w:rPr>
                      <w:rFonts w:ascii="Times New Roman" w:hAnsi="Times New Roman"/>
                      <w:szCs w:val="21"/>
                    </w:rPr>
                  </w:pPr>
                  <w:r>
                    <w:rPr>
                      <w:rFonts w:ascii="Times New Roman" w:hAnsi="Times New Roman"/>
                      <w:szCs w:val="21"/>
                    </w:rPr>
                    <w:t xml:space="preserve">2.89 </w:t>
                  </w:r>
                </w:p>
              </w:tc>
              <w:tc>
                <w:tcPr>
                  <w:tcW w:w="544" w:type="pct"/>
                  <w:tcBorders>
                    <w:top w:val="single" w:color="auto" w:sz="4" w:space="0"/>
                    <w:left w:val="single" w:color="auto" w:sz="4" w:space="0"/>
                    <w:bottom w:val="single" w:color="auto" w:sz="4" w:space="0"/>
                    <w:right w:val="single" w:color="auto" w:sz="4" w:space="0"/>
                  </w:tcBorders>
                  <w:vAlign w:val="center"/>
                </w:tcPr>
                <w:p w14:paraId="2372D260">
                  <w:pPr>
                    <w:jc w:val="center"/>
                    <w:rPr>
                      <w:rFonts w:ascii="Times New Roman" w:hAnsi="Times New Roman"/>
                      <w:szCs w:val="21"/>
                    </w:rPr>
                  </w:pPr>
                  <w:r>
                    <w:rPr>
                      <w:rFonts w:ascii="Times New Roman" w:hAnsi="Times New Roman"/>
                      <w:szCs w:val="21"/>
                    </w:rPr>
                    <w:t xml:space="preserve">2.93 </w:t>
                  </w:r>
                </w:p>
              </w:tc>
              <w:tc>
                <w:tcPr>
                  <w:tcW w:w="390" w:type="pct"/>
                  <w:vAlign w:val="center"/>
                </w:tcPr>
                <w:p w14:paraId="06FD6154">
                  <w:pPr>
                    <w:jc w:val="center"/>
                    <w:rPr>
                      <w:rFonts w:ascii="Times New Roman" w:hAnsi="Times New Roman"/>
                      <w:szCs w:val="21"/>
                    </w:rPr>
                  </w:pPr>
                  <w:r>
                    <w:rPr>
                      <w:rFonts w:ascii="Times New Roman" w:hAnsi="Times New Roman"/>
                      <w:szCs w:val="21"/>
                    </w:rPr>
                    <w:t xml:space="preserve">5.90 </w:t>
                  </w:r>
                </w:p>
              </w:tc>
              <w:tc>
                <w:tcPr>
                  <w:tcW w:w="509" w:type="pct"/>
                  <w:vAlign w:val="center"/>
                </w:tcPr>
                <w:p w14:paraId="418B8CB0">
                  <w:pPr>
                    <w:jc w:val="center"/>
                    <w:rPr>
                      <w:rFonts w:ascii="Times New Roman" w:hAnsi="Times New Roman"/>
                      <w:szCs w:val="21"/>
                    </w:rPr>
                  </w:pPr>
                  <w:r>
                    <w:rPr>
                      <w:rFonts w:ascii="Times New Roman" w:hAnsi="Times New Roman"/>
                      <w:szCs w:val="21"/>
                    </w:rPr>
                    <w:t xml:space="preserve">147.92 </w:t>
                  </w:r>
                </w:p>
              </w:tc>
              <w:tc>
                <w:tcPr>
                  <w:tcW w:w="548" w:type="pct"/>
                  <w:vAlign w:val="center"/>
                </w:tcPr>
                <w:p w14:paraId="21A1061E">
                  <w:pPr>
                    <w:jc w:val="center"/>
                    <w:rPr>
                      <w:rFonts w:ascii="Times New Roman" w:hAnsi="Times New Roman"/>
                      <w:szCs w:val="21"/>
                    </w:rPr>
                  </w:pPr>
                  <w:r>
                    <w:rPr>
                      <w:rFonts w:ascii="Times New Roman" w:hAnsi="Times New Roman"/>
                      <w:szCs w:val="21"/>
                    </w:rPr>
                    <w:t xml:space="preserve">153.82 </w:t>
                  </w:r>
                </w:p>
              </w:tc>
              <w:tc>
                <w:tcPr>
                  <w:tcW w:w="449" w:type="pct"/>
                  <w:vAlign w:val="center"/>
                </w:tcPr>
                <w:p w14:paraId="39747FFF">
                  <w:pPr>
                    <w:jc w:val="center"/>
                    <w:rPr>
                      <w:rFonts w:ascii="Times New Roman" w:hAnsi="Times New Roman"/>
                      <w:szCs w:val="21"/>
                    </w:rPr>
                  </w:pPr>
                  <w:r>
                    <w:rPr>
                      <w:rFonts w:ascii="Times New Roman" w:hAnsi="Times New Roman"/>
                      <w:szCs w:val="21"/>
                    </w:rPr>
                    <w:t xml:space="preserve">41.46 </w:t>
                  </w:r>
                </w:p>
              </w:tc>
              <w:tc>
                <w:tcPr>
                  <w:tcW w:w="568" w:type="pct"/>
                  <w:vAlign w:val="center"/>
                </w:tcPr>
                <w:p w14:paraId="455F1DF9">
                  <w:pPr>
                    <w:jc w:val="center"/>
                    <w:rPr>
                      <w:rFonts w:ascii="Times New Roman" w:hAnsi="Times New Roman"/>
                      <w:szCs w:val="21"/>
                    </w:rPr>
                  </w:pPr>
                  <w:r>
                    <w:rPr>
                      <w:rFonts w:ascii="Times New Roman" w:hAnsi="Times New Roman"/>
                      <w:szCs w:val="21"/>
                    </w:rPr>
                    <w:t xml:space="preserve">820.96 </w:t>
                  </w:r>
                </w:p>
              </w:tc>
              <w:tc>
                <w:tcPr>
                  <w:tcW w:w="568" w:type="pct"/>
                  <w:vAlign w:val="center"/>
                </w:tcPr>
                <w:p w14:paraId="6D0DA61B">
                  <w:pPr>
                    <w:jc w:val="center"/>
                    <w:rPr>
                      <w:rFonts w:ascii="Times New Roman" w:hAnsi="Times New Roman"/>
                      <w:szCs w:val="21"/>
                    </w:rPr>
                  </w:pPr>
                  <w:r>
                    <w:rPr>
                      <w:rFonts w:ascii="Times New Roman" w:hAnsi="Times New Roman"/>
                      <w:szCs w:val="21"/>
                    </w:rPr>
                    <w:t xml:space="preserve">862.42 </w:t>
                  </w:r>
                </w:p>
              </w:tc>
            </w:tr>
            <w:tr w14:paraId="0C26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440A2F1">
                  <w:pPr>
                    <w:jc w:val="center"/>
                    <w:rPr>
                      <w:rFonts w:ascii="Times New Roman" w:hAnsi="Times New Roman"/>
                      <w:szCs w:val="21"/>
                    </w:rPr>
                  </w:pPr>
                  <w:r>
                    <w:rPr>
                      <w:rFonts w:ascii="Times New Roman" w:hAnsi="Times New Roman"/>
                      <w:szCs w:val="21"/>
                    </w:rPr>
                    <w:t>5</w:t>
                  </w:r>
                </w:p>
              </w:tc>
              <w:tc>
                <w:tcPr>
                  <w:tcW w:w="684" w:type="pct"/>
                  <w:tcBorders>
                    <w:top w:val="single" w:color="auto" w:sz="4" w:space="0"/>
                    <w:left w:val="single" w:color="auto" w:sz="4" w:space="0"/>
                    <w:bottom w:val="single" w:color="auto" w:sz="4" w:space="0"/>
                    <w:right w:val="single" w:color="auto" w:sz="4" w:space="0"/>
                  </w:tcBorders>
                  <w:vAlign w:val="center"/>
                </w:tcPr>
                <w:p w14:paraId="3EB7B824">
                  <w:pPr>
                    <w:jc w:val="center"/>
                    <w:rPr>
                      <w:rFonts w:ascii="Times New Roman" w:hAnsi="Times New Roman"/>
                      <w:szCs w:val="21"/>
                    </w:rPr>
                  </w:pPr>
                  <w:r>
                    <w:rPr>
                      <w:rFonts w:ascii="Times New Roman" w:hAnsi="Times New Roman"/>
                      <w:szCs w:val="21"/>
                    </w:rPr>
                    <w:t xml:space="preserve">0.03 </w:t>
                  </w:r>
                </w:p>
              </w:tc>
              <w:tc>
                <w:tcPr>
                  <w:tcW w:w="286" w:type="pct"/>
                  <w:tcBorders>
                    <w:top w:val="single" w:color="auto" w:sz="4" w:space="0"/>
                    <w:left w:val="single" w:color="auto" w:sz="4" w:space="0"/>
                    <w:bottom w:val="single" w:color="auto" w:sz="4" w:space="0"/>
                    <w:right w:val="single" w:color="auto" w:sz="4" w:space="0"/>
                  </w:tcBorders>
                  <w:vAlign w:val="center"/>
                </w:tcPr>
                <w:p w14:paraId="29200696">
                  <w:pPr>
                    <w:jc w:val="center"/>
                    <w:rPr>
                      <w:rFonts w:ascii="Times New Roman" w:hAnsi="Times New Roman"/>
                      <w:szCs w:val="21"/>
                    </w:rPr>
                  </w:pPr>
                  <w:r>
                    <w:rPr>
                      <w:rFonts w:ascii="Times New Roman" w:hAnsi="Times New Roman"/>
                      <w:szCs w:val="21"/>
                    </w:rPr>
                    <w:t xml:space="preserve">1.85 </w:t>
                  </w:r>
                </w:p>
              </w:tc>
              <w:tc>
                <w:tcPr>
                  <w:tcW w:w="544" w:type="pct"/>
                  <w:tcBorders>
                    <w:top w:val="single" w:color="auto" w:sz="4" w:space="0"/>
                    <w:left w:val="single" w:color="auto" w:sz="4" w:space="0"/>
                    <w:bottom w:val="single" w:color="auto" w:sz="4" w:space="0"/>
                    <w:right w:val="single" w:color="auto" w:sz="4" w:space="0"/>
                  </w:tcBorders>
                  <w:vAlign w:val="center"/>
                </w:tcPr>
                <w:p w14:paraId="4CA9633C">
                  <w:pPr>
                    <w:jc w:val="center"/>
                    <w:rPr>
                      <w:rFonts w:ascii="Times New Roman" w:hAnsi="Times New Roman"/>
                      <w:szCs w:val="21"/>
                    </w:rPr>
                  </w:pPr>
                  <w:r>
                    <w:rPr>
                      <w:rFonts w:ascii="Times New Roman" w:hAnsi="Times New Roman"/>
                      <w:szCs w:val="21"/>
                    </w:rPr>
                    <w:t xml:space="preserve">1.87(监督区) </w:t>
                  </w:r>
                </w:p>
              </w:tc>
              <w:tc>
                <w:tcPr>
                  <w:tcW w:w="390" w:type="pct"/>
                  <w:vAlign w:val="center"/>
                </w:tcPr>
                <w:p w14:paraId="1950DE39">
                  <w:pPr>
                    <w:jc w:val="center"/>
                    <w:rPr>
                      <w:rFonts w:ascii="Times New Roman" w:hAnsi="Times New Roman"/>
                      <w:szCs w:val="21"/>
                    </w:rPr>
                  </w:pPr>
                  <w:r>
                    <w:rPr>
                      <w:rFonts w:ascii="Times New Roman" w:hAnsi="Times New Roman"/>
                      <w:szCs w:val="21"/>
                    </w:rPr>
                    <w:t xml:space="preserve">3.77 </w:t>
                  </w:r>
                </w:p>
              </w:tc>
              <w:tc>
                <w:tcPr>
                  <w:tcW w:w="509" w:type="pct"/>
                  <w:vAlign w:val="center"/>
                </w:tcPr>
                <w:p w14:paraId="4E69F9FD">
                  <w:pPr>
                    <w:jc w:val="center"/>
                    <w:rPr>
                      <w:rFonts w:ascii="Times New Roman" w:hAnsi="Times New Roman"/>
                      <w:szCs w:val="21"/>
                    </w:rPr>
                  </w:pPr>
                  <w:r>
                    <w:rPr>
                      <w:rFonts w:ascii="Times New Roman" w:hAnsi="Times New Roman"/>
                      <w:szCs w:val="21"/>
                    </w:rPr>
                    <w:t xml:space="preserve">94.67 </w:t>
                  </w:r>
                </w:p>
              </w:tc>
              <w:tc>
                <w:tcPr>
                  <w:tcW w:w="548" w:type="pct"/>
                  <w:vAlign w:val="center"/>
                </w:tcPr>
                <w:p w14:paraId="52A82B1D">
                  <w:pPr>
                    <w:jc w:val="center"/>
                    <w:rPr>
                      <w:rFonts w:ascii="Times New Roman" w:hAnsi="Times New Roman"/>
                      <w:szCs w:val="21"/>
                    </w:rPr>
                  </w:pPr>
                  <w:r>
                    <w:rPr>
                      <w:rFonts w:ascii="Times New Roman" w:hAnsi="Times New Roman"/>
                      <w:szCs w:val="21"/>
                    </w:rPr>
                    <w:t xml:space="preserve">98.45 </w:t>
                  </w:r>
                </w:p>
              </w:tc>
              <w:tc>
                <w:tcPr>
                  <w:tcW w:w="449" w:type="pct"/>
                  <w:vAlign w:val="center"/>
                </w:tcPr>
                <w:p w14:paraId="188AC6F6">
                  <w:pPr>
                    <w:jc w:val="center"/>
                    <w:rPr>
                      <w:rFonts w:ascii="Times New Roman" w:hAnsi="Times New Roman"/>
                      <w:szCs w:val="21"/>
                    </w:rPr>
                  </w:pPr>
                  <w:r>
                    <w:rPr>
                      <w:rFonts w:ascii="Times New Roman" w:hAnsi="Times New Roman"/>
                      <w:szCs w:val="21"/>
                    </w:rPr>
                    <w:t xml:space="preserve">26.54 </w:t>
                  </w:r>
                </w:p>
              </w:tc>
              <w:tc>
                <w:tcPr>
                  <w:tcW w:w="568" w:type="pct"/>
                  <w:vAlign w:val="center"/>
                </w:tcPr>
                <w:p w14:paraId="1EFF9387">
                  <w:pPr>
                    <w:jc w:val="center"/>
                    <w:rPr>
                      <w:rFonts w:ascii="Times New Roman" w:hAnsi="Times New Roman"/>
                      <w:szCs w:val="21"/>
                    </w:rPr>
                  </w:pPr>
                  <w:r>
                    <w:rPr>
                      <w:rFonts w:ascii="Times New Roman" w:hAnsi="Times New Roman"/>
                      <w:szCs w:val="21"/>
                    </w:rPr>
                    <w:t xml:space="preserve">525.41 </w:t>
                  </w:r>
                </w:p>
              </w:tc>
              <w:tc>
                <w:tcPr>
                  <w:tcW w:w="568" w:type="pct"/>
                  <w:vAlign w:val="center"/>
                </w:tcPr>
                <w:p w14:paraId="4DCB5272">
                  <w:pPr>
                    <w:jc w:val="center"/>
                    <w:rPr>
                      <w:rFonts w:ascii="Times New Roman" w:hAnsi="Times New Roman"/>
                      <w:szCs w:val="21"/>
                    </w:rPr>
                  </w:pPr>
                  <w:r>
                    <w:rPr>
                      <w:rFonts w:ascii="Times New Roman" w:hAnsi="Times New Roman"/>
                      <w:szCs w:val="21"/>
                    </w:rPr>
                    <w:t xml:space="preserve">551.95 </w:t>
                  </w:r>
                </w:p>
              </w:tc>
            </w:tr>
            <w:tr w14:paraId="7BEC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691EDC8">
                  <w:pPr>
                    <w:jc w:val="center"/>
                    <w:rPr>
                      <w:rFonts w:ascii="Times New Roman" w:hAnsi="Times New Roman"/>
                      <w:szCs w:val="21"/>
                    </w:rPr>
                  </w:pPr>
                  <w:r>
                    <w:rPr>
                      <w:rFonts w:ascii="Times New Roman" w:hAnsi="Times New Roman"/>
                      <w:szCs w:val="21"/>
                    </w:rPr>
                    <w:t>7</w:t>
                  </w:r>
                </w:p>
              </w:tc>
              <w:tc>
                <w:tcPr>
                  <w:tcW w:w="684" w:type="pct"/>
                  <w:tcBorders>
                    <w:top w:val="single" w:color="auto" w:sz="4" w:space="0"/>
                    <w:left w:val="single" w:color="auto" w:sz="4" w:space="0"/>
                    <w:bottom w:val="single" w:color="auto" w:sz="4" w:space="0"/>
                    <w:right w:val="single" w:color="auto" w:sz="4" w:space="0"/>
                  </w:tcBorders>
                  <w:vAlign w:val="center"/>
                </w:tcPr>
                <w:p w14:paraId="675BF6E2">
                  <w:pPr>
                    <w:jc w:val="center"/>
                    <w:rPr>
                      <w:rFonts w:ascii="Times New Roman" w:hAnsi="Times New Roman"/>
                      <w:szCs w:val="21"/>
                    </w:rPr>
                  </w:pPr>
                  <w:r>
                    <w:rPr>
                      <w:rFonts w:ascii="Times New Roman" w:hAnsi="Times New Roman"/>
                      <w:szCs w:val="21"/>
                    </w:rPr>
                    <w:t xml:space="preserve">0.01 </w:t>
                  </w:r>
                </w:p>
              </w:tc>
              <w:tc>
                <w:tcPr>
                  <w:tcW w:w="286" w:type="pct"/>
                  <w:tcBorders>
                    <w:top w:val="single" w:color="auto" w:sz="4" w:space="0"/>
                    <w:left w:val="single" w:color="auto" w:sz="4" w:space="0"/>
                    <w:bottom w:val="single" w:color="auto" w:sz="4" w:space="0"/>
                    <w:right w:val="single" w:color="auto" w:sz="4" w:space="0"/>
                  </w:tcBorders>
                  <w:vAlign w:val="center"/>
                </w:tcPr>
                <w:p w14:paraId="4E1B2527">
                  <w:pPr>
                    <w:jc w:val="center"/>
                    <w:rPr>
                      <w:rFonts w:ascii="Times New Roman" w:hAnsi="Times New Roman"/>
                      <w:szCs w:val="21"/>
                    </w:rPr>
                  </w:pPr>
                  <w:r>
                    <w:rPr>
                      <w:rFonts w:ascii="Times New Roman" w:hAnsi="Times New Roman"/>
                      <w:szCs w:val="21"/>
                    </w:rPr>
                    <w:t xml:space="preserve">0.94 </w:t>
                  </w:r>
                </w:p>
              </w:tc>
              <w:tc>
                <w:tcPr>
                  <w:tcW w:w="544" w:type="pct"/>
                  <w:tcBorders>
                    <w:top w:val="single" w:color="auto" w:sz="4" w:space="0"/>
                    <w:left w:val="single" w:color="auto" w:sz="4" w:space="0"/>
                    <w:bottom w:val="single" w:color="auto" w:sz="4" w:space="0"/>
                    <w:right w:val="single" w:color="auto" w:sz="4" w:space="0"/>
                  </w:tcBorders>
                  <w:vAlign w:val="center"/>
                </w:tcPr>
                <w:p w14:paraId="026D15F9">
                  <w:pPr>
                    <w:jc w:val="center"/>
                    <w:rPr>
                      <w:rFonts w:ascii="Times New Roman" w:hAnsi="Times New Roman"/>
                      <w:szCs w:val="21"/>
                    </w:rPr>
                  </w:pPr>
                  <w:r>
                    <w:rPr>
                      <w:rFonts w:ascii="Times New Roman" w:hAnsi="Times New Roman"/>
                      <w:szCs w:val="21"/>
                    </w:rPr>
                    <w:t xml:space="preserve">0.96 </w:t>
                  </w:r>
                </w:p>
              </w:tc>
              <w:tc>
                <w:tcPr>
                  <w:tcW w:w="390" w:type="pct"/>
                  <w:vAlign w:val="center"/>
                </w:tcPr>
                <w:p w14:paraId="2DF0ABE7">
                  <w:pPr>
                    <w:jc w:val="center"/>
                    <w:rPr>
                      <w:rFonts w:ascii="Times New Roman" w:hAnsi="Times New Roman"/>
                      <w:szCs w:val="21"/>
                    </w:rPr>
                  </w:pPr>
                  <w:r>
                    <w:rPr>
                      <w:rFonts w:ascii="Times New Roman" w:hAnsi="Times New Roman"/>
                      <w:szCs w:val="21"/>
                    </w:rPr>
                    <w:t xml:space="preserve">1.93 </w:t>
                  </w:r>
                </w:p>
              </w:tc>
              <w:tc>
                <w:tcPr>
                  <w:tcW w:w="509" w:type="pct"/>
                  <w:vAlign w:val="center"/>
                </w:tcPr>
                <w:p w14:paraId="04FF8A7A">
                  <w:pPr>
                    <w:jc w:val="center"/>
                    <w:rPr>
                      <w:rFonts w:ascii="Times New Roman" w:hAnsi="Times New Roman"/>
                      <w:szCs w:val="21"/>
                    </w:rPr>
                  </w:pPr>
                  <w:r>
                    <w:rPr>
                      <w:rFonts w:ascii="Times New Roman" w:hAnsi="Times New Roman"/>
                      <w:szCs w:val="21"/>
                    </w:rPr>
                    <w:t xml:space="preserve">48.30 </w:t>
                  </w:r>
                </w:p>
              </w:tc>
              <w:tc>
                <w:tcPr>
                  <w:tcW w:w="548" w:type="pct"/>
                  <w:vAlign w:val="center"/>
                </w:tcPr>
                <w:p w14:paraId="5A700E5C">
                  <w:pPr>
                    <w:jc w:val="center"/>
                    <w:rPr>
                      <w:rFonts w:ascii="Times New Roman" w:hAnsi="Times New Roman"/>
                      <w:szCs w:val="21"/>
                    </w:rPr>
                  </w:pPr>
                  <w:r>
                    <w:rPr>
                      <w:rFonts w:ascii="Times New Roman" w:hAnsi="Times New Roman"/>
                      <w:szCs w:val="21"/>
                    </w:rPr>
                    <w:t xml:space="preserve">50.23 </w:t>
                  </w:r>
                </w:p>
              </w:tc>
              <w:tc>
                <w:tcPr>
                  <w:tcW w:w="449" w:type="pct"/>
                  <w:vAlign w:val="center"/>
                </w:tcPr>
                <w:p w14:paraId="17E3C76D">
                  <w:pPr>
                    <w:jc w:val="center"/>
                    <w:rPr>
                      <w:rFonts w:ascii="Times New Roman" w:hAnsi="Times New Roman"/>
                      <w:szCs w:val="21"/>
                    </w:rPr>
                  </w:pPr>
                  <w:r>
                    <w:rPr>
                      <w:rFonts w:ascii="Times New Roman" w:hAnsi="Times New Roman"/>
                      <w:szCs w:val="21"/>
                    </w:rPr>
                    <w:t xml:space="preserve">13.54 </w:t>
                  </w:r>
                </w:p>
              </w:tc>
              <w:tc>
                <w:tcPr>
                  <w:tcW w:w="568" w:type="pct"/>
                  <w:vAlign w:val="center"/>
                </w:tcPr>
                <w:p w14:paraId="18665892">
                  <w:pPr>
                    <w:jc w:val="center"/>
                    <w:rPr>
                      <w:rFonts w:ascii="Times New Roman" w:hAnsi="Times New Roman"/>
                      <w:szCs w:val="21"/>
                    </w:rPr>
                  </w:pPr>
                  <w:r>
                    <w:rPr>
                      <w:rFonts w:ascii="Times New Roman" w:hAnsi="Times New Roman"/>
                      <w:szCs w:val="21"/>
                    </w:rPr>
                    <w:t xml:space="preserve">268.07 </w:t>
                  </w:r>
                </w:p>
              </w:tc>
              <w:tc>
                <w:tcPr>
                  <w:tcW w:w="568" w:type="pct"/>
                  <w:vAlign w:val="center"/>
                </w:tcPr>
                <w:p w14:paraId="2960A6D1">
                  <w:pPr>
                    <w:jc w:val="center"/>
                    <w:rPr>
                      <w:rFonts w:ascii="Times New Roman" w:hAnsi="Times New Roman"/>
                      <w:szCs w:val="21"/>
                    </w:rPr>
                  </w:pPr>
                  <w:r>
                    <w:rPr>
                      <w:rFonts w:ascii="Times New Roman" w:hAnsi="Times New Roman"/>
                      <w:szCs w:val="21"/>
                    </w:rPr>
                    <w:t xml:space="preserve">281.61 </w:t>
                  </w:r>
                </w:p>
              </w:tc>
            </w:tr>
            <w:tr w14:paraId="0DD6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7678423">
                  <w:pPr>
                    <w:jc w:val="center"/>
                    <w:rPr>
                      <w:rFonts w:ascii="Times New Roman" w:hAnsi="Times New Roman"/>
                      <w:szCs w:val="21"/>
                    </w:rPr>
                  </w:pPr>
                  <w:r>
                    <w:rPr>
                      <w:rFonts w:ascii="Times New Roman" w:hAnsi="Times New Roman"/>
                      <w:szCs w:val="21"/>
                    </w:rPr>
                    <w:t>10</w:t>
                  </w:r>
                </w:p>
              </w:tc>
              <w:tc>
                <w:tcPr>
                  <w:tcW w:w="684" w:type="pct"/>
                  <w:tcBorders>
                    <w:top w:val="single" w:color="auto" w:sz="4" w:space="0"/>
                    <w:left w:val="single" w:color="auto" w:sz="4" w:space="0"/>
                    <w:bottom w:val="single" w:color="auto" w:sz="4" w:space="0"/>
                    <w:right w:val="single" w:color="auto" w:sz="4" w:space="0"/>
                  </w:tcBorders>
                  <w:vAlign w:val="center"/>
                </w:tcPr>
                <w:p w14:paraId="1945115A">
                  <w:pPr>
                    <w:jc w:val="center"/>
                    <w:rPr>
                      <w:rFonts w:ascii="Times New Roman" w:hAnsi="Times New Roman"/>
                      <w:szCs w:val="21"/>
                    </w:rPr>
                  </w:pPr>
                  <w:r>
                    <w:rPr>
                      <w:rFonts w:ascii="Times New Roman" w:hAnsi="Times New Roman"/>
                      <w:szCs w:val="21"/>
                    </w:rPr>
                    <w:t xml:space="preserve">0.01 </w:t>
                  </w:r>
                </w:p>
              </w:tc>
              <w:tc>
                <w:tcPr>
                  <w:tcW w:w="286" w:type="pct"/>
                  <w:tcBorders>
                    <w:top w:val="single" w:color="auto" w:sz="4" w:space="0"/>
                    <w:left w:val="single" w:color="auto" w:sz="4" w:space="0"/>
                    <w:bottom w:val="single" w:color="auto" w:sz="4" w:space="0"/>
                    <w:right w:val="single" w:color="auto" w:sz="4" w:space="0"/>
                  </w:tcBorders>
                  <w:vAlign w:val="center"/>
                </w:tcPr>
                <w:p w14:paraId="09B76CFC">
                  <w:pPr>
                    <w:jc w:val="center"/>
                    <w:rPr>
                      <w:rFonts w:ascii="Times New Roman" w:hAnsi="Times New Roman"/>
                      <w:szCs w:val="21"/>
                    </w:rPr>
                  </w:pPr>
                  <w:r>
                    <w:rPr>
                      <w:rFonts w:ascii="Times New Roman" w:hAnsi="Times New Roman"/>
                      <w:szCs w:val="21"/>
                    </w:rPr>
                    <w:t xml:space="preserve">0.46 </w:t>
                  </w:r>
                </w:p>
              </w:tc>
              <w:tc>
                <w:tcPr>
                  <w:tcW w:w="544" w:type="pct"/>
                  <w:tcBorders>
                    <w:top w:val="single" w:color="auto" w:sz="4" w:space="0"/>
                    <w:left w:val="single" w:color="auto" w:sz="4" w:space="0"/>
                    <w:bottom w:val="single" w:color="auto" w:sz="4" w:space="0"/>
                    <w:right w:val="single" w:color="auto" w:sz="4" w:space="0"/>
                  </w:tcBorders>
                  <w:vAlign w:val="center"/>
                </w:tcPr>
                <w:p w14:paraId="5CDCB75E">
                  <w:pPr>
                    <w:jc w:val="center"/>
                    <w:rPr>
                      <w:rFonts w:ascii="Times New Roman" w:hAnsi="Times New Roman"/>
                      <w:szCs w:val="21"/>
                    </w:rPr>
                  </w:pPr>
                  <w:r>
                    <w:rPr>
                      <w:rFonts w:ascii="Times New Roman" w:hAnsi="Times New Roman"/>
                      <w:szCs w:val="21"/>
                    </w:rPr>
                    <w:t xml:space="preserve">0.47 </w:t>
                  </w:r>
                </w:p>
              </w:tc>
              <w:tc>
                <w:tcPr>
                  <w:tcW w:w="390" w:type="pct"/>
                  <w:vAlign w:val="center"/>
                </w:tcPr>
                <w:p w14:paraId="1A73775A">
                  <w:pPr>
                    <w:jc w:val="center"/>
                    <w:rPr>
                      <w:rFonts w:ascii="Times New Roman" w:hAnsi="Times New Roman"/>
                      <w:szCs w:val="21"/>
                    </w:rPr>
                  </w:pPr>
                  <w:r>
                    <w:rPr>
                      <w:rFonts w:ascii="Times New Roman" w:hAnsi="Times New Roman"/>
                      <w:szCs w:val="21"/>
                    </w:rPr>
                    <w:t xml:space="preserve">0.94 </w:t>
                  </w:r>
                </w:p>
              </w:tc>
              <w:tc>
                <w:tcPr>
                  <w:tcW w:w="509" w:type="pct"/>
                  <w:vAlign w:val="center"/>
                </w:tcPr>
                <w:p w14:paraId="5AB6883E">
                  <w:pPr>
                    <w:jc w:val="center"/>
                    <w:rPr>
                      <w:rFonts w:ascii="Times New Roman" w:hAnsi="Times New Roman"/>
                      <w:szCs w:val="21"/>
                    </w:rPr>
                  </w:pPr>
                  <w:r>
                    <w:rPr>
                      <w:rFonts w:ascii="Times New Roman" w:hAnsi="Times New Roman"/>
                      <w:szCs w:val="21"/>
                    </w:rPr>
                    <w:t xml:space="preserve">23.67 </w:t>
                  </w:r>
                </w:p>
              </w:tc>
              <w:tc>
                <w:tcPr>
                  <w:tcW w:w="548" w:type="pct"/>
                  <w:vAlign w:val="center"/>
                </w:tcPr>
                <w:p w14:paraId="2795967B">
                  <w:pPr>
                    <w:jc w:val="center"/>
                    <w:rPr>
                      <w:rFonts w:ascii="Times New Roman" w:hAnsi="Times New Roman"/>
                      <w:szCs w:val="21"/>
                    </w:rPr>
                  </w:pPr>
                  <w:r>
                    <w:rPr>
                      <w:rFonts w:ascii="Times New Roman" w:hAnsi="Times New Roman"/>
                      <w:szCs w:val="21"/>
                    </w:rPr>
                    <w:t xml:space="preserve">24.61 </w:t>
                  </w:r>
                </w:p>
              </w:tc>
              <w:tc>
                <w:tcPr>
                  <w:tcW w:w="449" w:type="pct"/>
                  <w:vAlign w:val="center"/>
                </w:tcPr>
                <w:p w14:paraId="30BAAC00">
                  <w:pPr>
                    <w:jc w:val="center"/>
                    <w:rPr>
                      <w:rFonts w:ascii="Times New Roman" w:hAnsi="Times New Roman"/>
                      <w:szCs w:val="21"/>
                    </w:rPr>
                  </w:pPr>
                  <w:r>
                    <w:rPr>
                      <w:rFonts w:ascii="Times New Roman" w:hAnsi="Times New Roman"/>
                      <w:szCs w:val="21"/>
                    </w:rPr>
                    <w:t xml:space="preserve">6.63 </w:t>
                  </w:r>
                </w:p>
              </w:tc>
              <w:tc>
                <w:tcPr>
                  <w:tcW w:w="568" w:type="pct"/>
                  <w:vAlign w:val="center"/>
                </w:tcPr>
                <w:p w14:paraId="04654223">
                  <w:pPr>
                    <w:jc w:val="center"/>
                    <w:rPr>
                      <w:rFonts w:ascii="Times New Roman" w:hAnsi="Times New Roman"/>
                      <w:szCs w:val="21"/>
                    </w:rPr>
                  </w:pPr>
                  <w:r>
                    <w:rPr>
                      <w:rFonts w:ascii="Times New Roman" w:hAnsi="Times New Roman"/>
                      <w:szCs w:val="21"/>
                    </w:rPr>
                    <w:t xml:space="preserve">131.35 </w:t>
                  </w:r>
                </w:p>
              </w:tc>
              <w:tc>
                <w:tcPr>
                  <w:tcW w:w="568" w:type="pct"/>
                  <w:vAlign w:val="center"/>
                </w:tcPr>
                <w:p w14:paraId="3BA6ECCA">
                  <w:pPr>
                    <w:jc w:val="center"/>
                    <w:rPr>
                      <w:rFonts w:ascii="Times New Roman" w:hAnsi="Times New Roman"/>
                      <w:szCs w:val="21"/>
                    </w:rPr>
                  </w:pPr>
                  <w:r>
                    <w:rPr>
                      <w:rFonts w:ascii="Times New Roman" w:hAnsi="Times New Roman"/>
                      <w:szCs w:val="21"/>
                    </w:rPr>
                    <w:t xml:space="preserve">137.99 </w:t>
                  </w:r>
                </w:p>
              </w:tc>
            </w:tr>
            <w:tr w14:paraId="1140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8067B7A">
                  <w:pPr>
                    <w:jc w:val="center"/>
                    <w:rPr>
                      <w:rFonts w:ascii="Times New Roman" w:hAnsi="Times New Roman"/>
                      <w:szCs w:val="21"/>
                    </w:rPr>
                  </w:pPr>
                  <w:r>
                    <w:rPr>
                      <w:rFonts w:ascii="Times New Roman" w:hAnsi="Times New Roman"/>
                      <w:szCs w:val="21"/>
                    </w:rPr>
                    <w:t>12</w:t>
                  </w:r>
                </w:p>
              </w:tc>
              <w:tc>
                <w:tcPr>
                  <w:tcW w:w="684" w:type="pct"/>
                  <w:tcBorders>
                    <w:top w:val="single" w:color="auto" w:sz="4" w:space="0"/>
                    <w:left w:val="single" w:color="auto" w:sz="4" w:space="0"/>
                    <w:bottom w:val="single" w:color="auto" w:sz="4" w:space="0"/>
                    <w:right w:val="single" w:color="auto" w:sz="4" w:space="0"/>
                  </w:tcBorders>
                  <w:vAlign w:val="center"/>
                </w:tcPr>
                <w:p w14:paraId="7BBBA22D">
                  <w:pPr>
                    <w:jc w:val="center"/>
                    <w:rPr>
                      <w:rFonts w:ascii="Times New Roman" w:hAnsi="Times New Roman"/>
                      <w:szCs w:val="21"/>
                    </w:rPr>
                  </w:pPr>
                  <w:r>
                    <w:rPr>
                      <w:rFonts w:ascii="Times New Roman" w:hAnsi="Times New Roman"/>
                      <w:szCs w:val="21"/>
                    </w:rPr>
                    <w:t>4.66E-03</w:t>
                  </w:r>
                </w:p>
              </w:tc>
              <w:tc>
                <w:tcPr>
                  <w:tcW w:w="286" w:type="pct"/>
                  <w:tcBorders>
                    <w:top w:val="single" w:color="auto" w:sz="4" w:space="0"/>
                    <w:left w:val="single" w:color="auto" w:sz="4" w:space="0"/>
                    <w:bottom w:val="single" w:color="auto" w:sz="4" w:space="0"/>
                    <w:right w:val="single" w:color="auto" w:sz="4" w:space="0"/>
                  </w:tcBorders>
                  <w:vAlign w:val="center"/>
                </w:tcPr>
                <w:p w14:paraId="684994A7">
                  <w:pPr>
                    <w:jc w:val="center"/>
                    <w:rPr>
                      <w:rFonts w:ascii="Times New Roman" w:hAnsi="Times New Roman"/>
                      <w:szCs w:val="21"/>
                    </w:rPr>
                  </w:pPr>
                  <w:r>
                    <w:rPr>
                      <w:rFonts w:ascii="Times New Roman" w:hAnsi="Times New Roman"/>
                      <w:szCs w:val="21"/>
                    </w:rPr>
                    <w:t xml:space="preserve">0.32 </w:t>
                  </w:r>
                </w:p>
              </w:tc>
              <w:tc>
                <w:tcPr>
                  <w:tcW w:w="544" w:type="pct"/>
                  <w:tcBorders>
                    <w:top w:val="single" w:color="auto" w:sz="4" w:space="0"/>
                    <w:left w:val="single" w:color="auto" w:sz="4" w:space="0"/>
                    <w:bottom w:val="single" w:color="auto" w:sz="4" w:space="0"/>
                    <w:right w:val="single" w:color="auto" w:sz="4" w:space="0"/>
                  </w:tcBorders>
                  <w:vAlign w:val="center"/>
                </w:tcPr>
                <w:p w14:paraId="69D8B1B1">
                  <w:pPr>
                    <w:jc w:val="center"/>
                    <w:rPr>
                      <w:rFonts w:ascii="Times New Roman" w:hAnsi="Times New Roman"/>
                      <w:szCs w:val="21"/>
                    </w:rPr>
                  </w:pPr>
                  <w:r>
                    <w:rPr>
                      <w:rFonts w:ascii="Times New Roman" w:hAnsi="Times New Roman"/>
                      <w:szCs w:val="21"/>
                    </w:rPr>
                    <w:t xml:space="preserve">0.33 </w:t>
                  </w:r>
                </w:p>
              </w:tc>
              <w:tc>
                <w:tcPr>
                  <w:tcW w:w="390" w:type="pct"/>
                  <w:vAlign w:val="center"/>
                </w:tcPr>
                <w:p w14:paraId="3925CA23">
                  <w:pPr>
                    <w:jc w:val="center"/>
                    <w:rPr>
                      <w:rFonts w:ascii="Times New Roman" w:hAnsi="Times New Roman"/>
                      <w:szCs w:val="21"/>
                    </w:rPr>
                  </w:pPr>
                  <w:r>
                    <w:rPr>
                      <w:rFonts w:ascii="Times New Roman" w:hAnsi="Times New Roman"/>
                      <w:szCs w:val="21"/>
                    </w:rPr>
                    <w:t xml:space="preserve">0.66 </w:t>
                  </w:r>
                </w:p>
              </w:tc>
              <w:tc>
                <w:tcPr>
                  <w:tcW w:w="509" w:type="pct"/>
                  <w:vAlign w:val="center"/>
                </w:tcPr>
                <w:p w14:paraId="79C87DB3">
                  <w:pPr>
                    <w:jc w:val="center"/>
                    <w:rPr>
                      <w:rFonts w:ascii="Times New Roman" w:hAnsi="Times New Roman"/>
                      <w:szCs w:val="21"/>
                    </w:rPr>
                  </w:pPr>
                  <w:r>
                    <w:rPr>
                      <w:rFonts w:ascii="Times New Roman" w:hAnsi="Times New Roman"/>
                      <w:szCs w:val="21"/>
                    </w:rPr>
                    <w:t xml:space="preserve">16.44 </w:t>
                  </w:r>
                </w:p>
              </w:tc>
              <w:tc>
                <w:tcPr>
                  <w:tcW w:w="548" w:type="pct"/>
                  <w:vAlign w:val="center"/>
                </w:tcPr>
                <w:p w14:paraId="1B8B25D4">
                  <w:pPr>
                    <w:jc w:val="center"/>
                    <w:rPr>
                      <w:rFonts w:ascii="Times New Roman" w:hAnsi="Times New Roman"/>
                      <w:szCs w:val="21"/>
                    </w:rPr>
                  </w:pPr>
                  <w:r>
                    <w:rPr>
                      <w:rFonts w:ascii="Times New Roman" w:hAnsi="Times New Roman"/>
                      <w:szCs w:val="21"/>
                    </w:rPr>
                    <w:t xml:space="preserve">17.09 </w:t>
                  </w:r>
                </w:p>
              </w:tc>
              <w:tc>
                <w:tcPr>
                  <w:tcW w:w="449" w:type="pct"/>
                  <w:vAlign w:val="center"/>
                </w:tcPr>
                <w:p w14:paraId="4436FBC6">
                  <w:pPr>
                    <w:jc w:val="center"/>
                    <w:rPr>
                      <w:rFonts w:ascii="Times New Roman" w:hAnsi="Times New Roman"/>
                      <w:szCs w:val="21"/>
                    </w:rPr>
                  </w:pPr>
                  <w:r>
                    <w:rPr>
                      <w:rFonts w:ascii="Times New Roman" w:hAnsi="Times New Roman"/>
                      <w:szCs w:val="21"/>
                    </w:rPr>
                    <w:t xml:space="preserve">4.61 </w:t>
                  </w:r>
                </w:p>
              </w:tc>
              <w:tc>
                <w:tcPr>
                  <w:tcW w:w="568" w:type="pct"/>
                  <w:vAlign w:val="center"/>
                </w:tcPr>
                <w:p w14:paraId="0C65B8E5">
                  <w:pPr>
                    <w:jc w:val="center"/>
                    <w:rPr>
                      <w:rFonts w:ascii="Times New Roman" w:hAnsi="Times New Roman"/>
                      <w:szCs w:val="21"/>
                    </w:rPr>
                  </w:pPr>
                  <w:r>
                    <w:rPr>
                      <w:rFonts w:ascii="Times New Roman" w:hAnsi="Times New Roman"/>
                      <w:szCs w:val="21"/>
                    </w:rPr>
                    <w:t xml:space="preserve">91.22 </w:t>
                  </w:r>
                </w:p>
              </w:tc>
              <w:tc>
                <w:tcPr>
                  <w:tcW w:w="568" w:type="pct"/>
                  <w:vAlign w:val="center"/>
                </w:tcPr>
                <w:p w14:paraId="3572D420">
                  <w:pPr>
                    <w:jc w:val="center"/>
                    <w:rPr>
                      <w:rFonts w:ascii="Times New Roman" w:hAnsi="Times New Roman"/>
                      <w:szCs w:val="21"/>
                    </w:rPr>
                  </w:pPr>
                  <w:r>
                    <w:rPr>
                      <w:rFonts w:ascii="Times New Roman" w:hAnsi="Times New Roman"/>
                      <w:szCs w:val="21"/>
                    </w:rPr>
                    <w:t xml:space="preserve">95.82 </w:t>
                  </w:r>
                </w:p>
              </w:tc>
            </w:tr>
            <w:tr w14:paraId="5B48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927E699">
                  <w:pPr>
                    <w:jc w:val="center"/>
                    <w:rPr>
                      <w:rFonts w:ascii="Times New Roman" w:hAnsi="Times New Roman"/>
                      <w:szCs w:val="21"/>
                    </w:rPr>
                  </w:pPr>
                  <w:r>
                    <w:rPr>
                      <w:rFonts w:ascii="Times New Roman" w:hAnsi="Times New Roman"/>
                      <w:szCs w:val="21"/>
                    </w:rPr>
                    <w:t>13</w:t>
                  </w:r>
                </w:p>
              </w:tc>
              <w:tc>
                <w:tcPr>
                  <w:tcW w:w="684" w:type="pct"/>
                  <w:tcBorders>
                    <w:top w:val="single" w:color="auto" w:sz="4" w:space="0"/>
                    <w:left w:val="single" w:color="auto" w:sz="4" w:space="0"/>
                    <w:bottom w:val="single" w:color="auto" w:sz="4" w:space="0"/>
                    <w:right w:val="single" w:color="auto" w:sz="4" w:space="0"/>
                  </w:tcBorders>
                  <w:vAlign w:val="center"/>
                </w:tcPr>
                <w:p w14:paraId="0AC66BD4">
                  <w:pPr>
                    <w:jc w:val="center"/>
                    <w:rPr>
                      <w:rFonts w:ascii="Times New Roman" w:hAnsi="Times New Roman"/>
                      <w:szCs w:val="21"/>
                    </w:rPr>
                  </w:pPr>
                  <w:r>
                    <w:rPr>
                      <w:rFonts w:ascii="Times New Roman" w:hAnsi="Times New Roman"/>
                      <w:szCs w:val="21"/>
                    </w:rPr>
                    <w:t>3.97E-03</w:t>
                  </w:r>
                </w:p>
              </w:tc>
              <w:tc>
                <w:tcPr>
                  <w:tcW w:w="286" w:type="pct"/>
                  <w:tcBorders>
                    <w:top w:val="single" w:color="auto" w:sz="4" w:space="0"/>
                    <w:left w:val="single" w:color="auto" w:sz="4" w:space="0"/>
                    <w:bottom w:val="single" w:color="auto" w:sz="4" w:space="0"/>
                    <w:right w:val="single" w:color="auto" w:sz="4" w:space="0"/>
                  </w:tcBorders>
                  <w:vAlign w:val="center"/>
                </w:tcPr>
                <w:p w14:paraId="79235B62">
                  <w:pPr>
                    <w:jc w:val="center"/>
                    <w:rPr>
                      <w:rFonts w:ascii="Times New Roman" w:hAnsi="Times New Roman"/>
                      <w:szCs w:val="21"/>
                    </w:rPr>
                  </w:pPr>
                  <w:r>
                    <w:rPr>
                      <w:rFonts w:ascii="Times New Roman" w:hAnsi="Times New Roman"/>
                      <w:szCs w:val="21"/>
                    </w:rPr>
                    <w:t xml:space="preserve">0.27 </w:t>
                  </w:r>
                </w:p>
              </w:tc>
              <w:tc>
                <w:tcPr>
                  <w:tcW w:w="544" w:type="pct"/>
                  <w:tcBorders>
                    <w:top w:val="single" w:color="auto" w:sz="4" w:space="0"/>
                    <w:left w:val="single" w:color="auto" w:sz="4" w:space="0"/>
                    <w:bottom w:val="single" w:color="auto" w:sz="4" w:space="0"/>
                    <w:right w:val="single" w:color="auto" w:sz="4" w:space="0"/>
                  </w:tcBorders>
                  <w:vAlign w:val="center"/>
                </w:tcPr>
                <w:p w14:paraId="5C75C7B8">
                  <w:pPr>
                    <w:jc w:val="center"/>
                    <w:rPr>
                      <w:rFonts w:ascii="Times New Roman" w:hAnsi="Times New Roman"/>
                      <w:szCs w:val="21"/>
                    </w:rPr>
                  </w:pPr>
                  <w:r>
                    <w:rPr>
                      <w:rFonts w:ascii="Times New Roman" w:hAnsi="Times New Roman"/>
                      <w:szCs w:val="21"/>
                    </w:rPr>
                    <w:t xml:space="preserve">0.28 </w:t>
                  </w:r>
                </w:p>
              </w:tc>
              <w:tc>
                <w:tcPr>
                  <w:tcW w:w="390" w:type="pct"/>
                  <w:vAlign w:val="center"/>
                </w:tcPr>
                <w:p w14:paraId="2D7BC745">
                  <w:pPr>
                    <w:jc w:val="center"/>
                    <w:rPr>
                      <w:rFonts w:ascii="Times New Roman" w:hAnsi="Times New Roman"/>
                      <w:szCs w:val="21"/>
                    </w:rPr>
                  </w:pPr>
                  <w:r>
                    <w:rPr>
                      <w:rFonts w:ascii="Times New Roman" w:hAnsi="Times New Roman"/>
                      <w:szCs w:val="21"/>
                    </w:rPr>
                    <w:t xml:space="preserve">0.56 </w:t>
                  </w:r>
                </w:p>
              </w:tc>
              <w:tc>
                <w:tcPr>
                  <w:tcW w:w="509" w:type="pct"/>
                  <w:vAlign w:val="center"/>
                </w:tcPr>
                <w:p w14:paraId="00986B5A">
                  <w:pPr>
                    <w:jc w:val="center"/>
                    <w:rPr>
                      <w:rFonts w:ascii="Times New Roman" w:hAnsi="Times New Roman"/>
                      <w:szCs w:val="21"/>
                    </w:rPr>
                  </w:pPr>
                  <w:r>
                    <w:rPr>
                      <w:rFonts w:ascii="Times New Roman" w:hAnsi="Times New Roman"/>
                      <w:szCs w:val="21"/>
                    </w:rPr>
                    <w:t xml:space="preserve">14.00 </w:t>
                  </w:r>
                </w:p>
              </w:tc>
              <w:tc>
                <w:tcPr>
                  <w:tcW w:w="548" w:type="pct"/>
                  <w:vAlign w:val="center"/>
                </w:tcPr>
                <w:p w14:paraId="725B0188">
                  <w:pPr>
                    <w:jc w:val="center"/>
                    <w:rPr>
                      <w:rFonts w:ascii="Times New Roman" w:hAnsi="Times New Roman"/>
                      <w:szCs w:val="21"/>
                    </w:rPr>
                  </w:pPr>
                  <w:r>
                    <w:rPr>
                      <w:rFonts w:ascii="Times New Roman" w:hAnsi="Times New Roman"/>
                      <w:szCs w:val="21"/>
                    </w:rPr>
                    <w:t>14.56(控制区)</w:t>
                  </w:r>
                </w:p>
              </w:tc>
              <w:tc>
                <w:tcPr>
                  <w:tcW w:w="449" w:type="pct"/>
                  <w:vAlign w:val="center"/>
                </w:tcPr>
                <w:p w14:paraId="2856B432">
                  <w:pPr>
                    <w:jc w:val="center"/>
                    <w:rPr>
                      <w:rFonts w:ascii="Times New Roman" w:hAnsi="Times New Roman"/>
                      <w:szCs w:val="21"/>
                    </w:rPr>
                  </w:pPr>
                  <w:r>
                    <w:rPr>
                      <w:rFonts w:ascii="Times New Roman" w:hAnsi="Times New Roman"/>
                      <w:szCs w:val="21"/>
                    </w:rPr>
                    <w:t xml:space="preserve">3.93 </w:t>
                  </w:r>
                </w:p>
              </w:tc>
              <w:tc>
                <w:tcPr>
                  <w:tcW w:w="568" w:type="pct"/>
                  <w:vAlign w:val="center"/>
                </w:tcPr>
                <w:p w14:paraId="214BB5DC">
                  <w:pPr>
                    <w:jc w:val="center"/>
                    <w:rPr>
                      <w:rFonts w:ascii="Times New Roman" w:hAnsi="Times New Roman"/>
                      <w:szCs w:val="21"/>
                    </w:rPr>
                  </w:pPr>
                  <w:r>
                    <w:rPr>
                      <w:rFonts w:ascii="Times New Roman" w:hAnsi="Times New Roman"/>
                      <w:szCs w:val="21"/>
                    </w:rPr>
                    <w:t xml:space="preserve">77.72 </w:t>
                  </w:r>
                </w:p>
              </w:tc>
              <w:tc>
                <w:tcPr>
                  <w:tcW w:w="568" w:type="pct"/>
                  <w:vAlign w:val="center"/>
                </w:tcPr>
                <w:p w14:paraId="708C8EA3">
                  <w:pPr>
                    <w:jc w:val="center"/>
                    <w:rPr>
                      <w:rFonts w:ascii="Times New Roman" w:hAnsi="Times New Roman"/>
                      <w:szCs w:val="21"/>
                    </w:rPr>
                  </w:pPr>
                  <w:r>
                    <w:rPr>
                      <w:rFonts w:ascii="Times New Roman" w:hAnsi="Times New Roman"/>
                      <w:szCs w:val="21"/>
                    </w:rPr>
                    <w:t xml:space="preserve">81.65 </w:t>
                  </w:r>
                </w:p>
              </w:tc>
            </w:tr>
            <w:tr w14:paraId="7BAB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9E9FF12">
                  <w:pPr>
                    <w:jc w:val="center"/>
                    <w:rPr>
                      <w:rFonts w:ascii="Times New Roman" w:hAnsi="Times New Roman"/>
                      <w:szCs w:val="21"/>
                    </w:rPr>
                  </w:pPr>
                  <w:r>
                    <w:rPr>
                      <w:rFonts w:ascii="Times New Roman" w:hAnsi="Times New Roman"/>
                      <w:szCs w:val="21"/>
                    </w:rPr>
                    <w:t>15</w:t>
                  </w:r>
                </w:p>
              </w:tc>
              <w:tc>
                <w:tcPr>
                  <w:tcW w:w="684" w:type="pct"/>
                  <w:tcBorders>
                    <w:top w:val="single" w:color="auto" w:sz="4" w:space="0"/>
                    <w:left w:val="single" w:color="auto" w:sz="4" w:space="0"/>
                    <w:bottom w:val="single" w:color="auto" w:sz="4" w:space="0"/>
                    <w:right w:val="single" w:color="auto" w:sz="4" w:space="0"/>
                  </w:tcBorders>
                  <w:vAlign w:val="center"/>
                </w:tcPr>
                <w:p w14:paraId="40EB1621">
                  <w:pPr>
                    <w:jc w:val="center"/>
                    <w:rPr>
                      <w:rFonts w:ascii="Times New Roman" w:hAnsi="Times New Roman"/>
                      <w:szCs w:val="21"/>
                    </w:rPr>
                  </w:pPr>
                  <w:r>
                    <w:rPr>
                      <w:rFonts w:ascii="Times New Roman" w:hAnsi="Times New Roman"/>
                      <w:szCs w:val="21"/>
                    </w:rPr>
                    <w:t>2.98E-03</w:t>
                  </w:r>
                </w:p>
              </w:tc>
              <w:tc>
                <w:tcPr>
                  <w:tcW w:w="286" w:type="pct"/>
                  <w:tcBorders>
                    <w:top w:val="single" w:color="auto" w:sz="4" w:space="0"/>
                    <w:left w:val="single" w:color="auto" w:sz="4" w:space="0"/>
                    <w:bottom w:val="single" w:color="auto" w:sz="4" w:space="0"/>
                    <w:right w:val="single" w:color="auto" w:sz="4" w:space="0"/>
                  </w:tcBorders>
                  <w:vAlign w:val="center"/>
                </w:tcPr>
                <w:p w14:paraId="15BCB97F">
                  <w:pPr>
                    <w:jc w:val="center"/>
                    <w:rPr>
                      <w:rFonts w:ascii="Times New Roman" w:hAnsi="Times New Roman"/>
                      <w:szCs w:val="21"/>
                    </w:rPr>
                  </w:pPr>
                  <w:r>
                    <w:rPr>
                      <w:rFonts w:ascii="Times New Roman" w:hAnsi="Times New Roman"/>
                      <w:szCs w:val="21"/>
                    </w:rPr>
                    <w:t xml:space="preserve">0.21 </w:t>
                  </w:r>
                </w:p>
              </w:tc>
              <w:tc>
                <w:tcPr>
                  <w:tcW w:w="544" w:type="pct"/>
                  <w:tcBorders>
                    <w:top w:val="single" w:color="auto" w:sz="4" w:space="0"/>
                    <w:left w:val="single" w:color="auto" w:sz="4" w:space="0"/>
                    <w:bottom w:val="single" w:color="auto" w:sz="4" w:space="0"/>
                    <w:right w:val="single" w:color="auto" w:sz="4" w:space="0"/>
                  </w:tcBorders>
                  <w:vAlign w:val="center"/>
                </w:tcPr>
                <w:p w14:paraId="0424F7E2">
                  <w:pPr>
                    <w:jc w:val="center"/>
                    <w:rPr>
                      <w:rFonts w:ascii="Times New Roman" w:hAnsi="Times New Roman"/>
                      <w:szCs w:val="21"/>
                    </w:rPr>
                  </w:pPr>
                  <w:r>
                    <w:rPr>
                      <w:rFonts w:ascii="Times New Roman" w:hAnsi="Times New Roman"/>
                      <w:szCs w:val="21"/>
                    </w:rPr>
                    <w:t xml:space="preserve">0.21 </w:t>
                  </w:r>
                </w:p>
              </w:tc>
              <w:tc>
                <w:tcPr>
                  <w:tcW w:w="390" w:type="pct"/>
                  <w:vAlign w:val="center"/>
                </w:tcPr>
                <w:p w14:paraId="19465C2A">
                  <w:pPr>
                    <w:jc w:val="center"/>
                    <w:rPr>
                      <w:rFonts w:ascii="Times New Roman" w:hAnsi="Times New Roman"/>
                      <w:szCs w:val="21"/>
                    </w:rPr>
                  </w:pPr>
                  <w:r>
                    <w:rPr>
                      <w:rFonts w:ascii="Times New Roman" w:hAnsi="Times New Roman"/>
                      <w:szCs w:val="21"/>
                    </w:rPr>
                    <w:t xml:space="preserve">0.42 </w:t>
                  </w:r>
                </w:p>
              </w:tc>
              <w:tc>
                <w:tcPr>
                  <w:tcW w:w="509" w:type="pct"/>
                  <w:vAlign w:val="center"/>
                </w:tcPr>
                <w:p w14:paraId="3B4A808A">
                  <w:pPr>
                    <w:jc w:val="center"/>
                    <w:rPr>
                      <w:rFonts w:ascii="Times New Roman" w:hAnsi="Times New Roman"/>
                      <w:szCs w:val="21"/>
                    </w:rPr>
                  </w:pPr>
                  <w:r>
                    <w:rPr>
                      <w:rFonts w:ascii="Times New Roman" w:hAnsi="Times New Roman"/>
                      <w:szCs w:val="21"/>
                    </w:rPr>
                    <w:t xml:space="preserve">10.52 </w:t>
                  </w:r>
                </w:p>
              </w:tc>
              <w:tc>
                <w:tcPr>
                  <w:tcW w:w="548" w:type="pct"/>
                  <w:vAlign w:val="center"/>
                </w:tcPr>
                <w:p w14:paraId="3431FA56">
                  <w:pPr>
                    <w:jc w:val="center"/>
                    <w:rPr>
                      <w:rFonts w:ascii="Times New Roman" w:hAnsi="Times New Roman"/>
                      <w:szCs w:val="21"/>
                    </w:rPr>
                  </w:pPr>
                  <w:r>
                    <w:rPr>
                      <w:rFonts w:ascii="Times New Roman" w:hAnsi="Times New Roman"/>
                      <w:szCs w:val="21"/>
                    </w:rPr>
                    <w:t xml:space="preserve">10.94 </w:t>
                  </w:r>
                </w:p>
              </w:tc>
              <w:tc>
                <w:tcPr>
                  <w:tcW w:w="449" w:type="pct"/>
                  <w:vAlign w:val="center"/>
                </w:tcPr>
                <w:p w14:paraId="7C5D84AA">
                  <w:pPr>
                    <w:jc w:val="center"/>
                    <w:rPr>
                      <w:rFonts w:ascii="Times New Roman" w:hAnsi="Times New Roman"/>
                      <w:szCs w:val="21"/>
                    </w:rPr>
                  </w:pPr>
                  <w:r>
                    <w:rPr>
                      <w:rFonts w:ascii="Times New Roman" w:hAnsi="Times New Roman"/>
                      <w:szCs w:val="21"/>
                    </w:rPr>
                    <w:t xml:space="preserve">2.95 </w:t>
                  </w:r>
                </w:p>
              </w:tc>
              <w:tc>
                <w:tcPr>
                  <w:tcW w:w="568" w:type="pct"/>
                  <w:vAlign w:val="center"/>
                </w:tcPr>
                <w:p w14:paraId="2AB75C47">
                  <w:pPr>
                    <w:jc w:val="center"/>
                    <w:rPr>
                      <w:rFonts w:ascii="Times New Roman" w:hAnsi="Times New Roman"/>
                      <w:szCs w:val="21"/>
                    </w:rPr>
                  </w:pPr>
                  <w:r>
                    <w:rPr>
                      <w:rFonts w:ascii="Times New Roman" w:hAnsi="Times New Roman"/>
                      <w:szCs w:val="21"/>
                    </w:rPr>
                    <w:t xml:space="preserve">58.38 </w:t>
                  </w:r>
                </w:p>
              </w:tc>
              <w:tc>
                <w:tcPr>
                  <w:tcW w:w="568" w:type="pct"/>
                  <w:vAlign w:val="center"/>
                </w:tcPr>
                <w:p w14:paraId="575BE6A2">
                  <w:pPr>
                    <w:jc w:val="center"/>
                    <w:rPr>
                      <w:rFonts w:ascii="Times New Roman" w:hAnsi="Times New Roman"/>
                      <w:szCs w:val="21"/>
                    </w:rPr>
                  </w:pPr>
                  <w:r>
                    <w:rPr>
                      <w:rFonts w:ascii="Times New Roman" w:hAnsi="Times New Roman"/>
                      <w:szCs w:val="21"/>
                    </w:rPr>
                    <w:t xml:space="preserve">61.33 </w:t>
                  </w:r>
                </w:p>
              </w:tc>
            </w:tr>
            <w:tr w14:paraId="5E5B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7590B72">
                  <w:pPr>
                    <w:jc w:val="center"/>
                    <w:rPr>
                      <w:rFonts w:ascii="Times New Roman" w:hAnsi="Times New Roman"/>
                      <w:szCs w:val="21"/>
                    </w:rPr>
                  </w:pPr>
                  <w:r>
                    <w:rPr>
                      <w:rFonts w:ascii="Times New Roman" w:hAnsi="Times New Roman"/>
                      <w:szCs w:val="21"/>
                    </w:rPr>
                    <w:t>17</w:t>
                  </w:r>
                </w:p>
              </w:tc>
              <w:tc>
                <w:tcPr>
                  <w:tcW w:w="684" w:type="pct"/>
                  <w:tcBorders>
                    <w:top w:val="single" w:color="auto" w:sz="4" w:space="0"/>
                    <w:left w:val="single" w:color="auto" w:sz="4" w:space="0"/>
                    <w:bottom w:val="single" w:color="auto" w:sz="4" w:space="0"/>
                    <w:right w:val="single" w:color="auto" w:sz="4" w:space="0"/>
                  </w:tcBorders>
                  <w:vAlign w:val="center"/>
                </w:tcPr>
                <w:p w14:paraId="7E18D3BA">
                  <w:pPr>
                    <w:jc w:val="center"/>
                    <w:rPr>
                      <w:rFonts w:ascii="Times New Roman" w:hAnsi="Times New Roman"/>
                      <w:szCs w:val="21"/>
                    </w:rPr>
                  </w:pPr>
                  <w:r>
                    <w:rPr>
                      <w:rFonts w:ascii="Times New Roman" w:hAnsi="Times New Roman"/>
                      <w:szCs w:val="21"/>
                    </w:rPr>
                    <w:t>2.32E-03</w:t>
                  </w:r>
                </w:p>
              </w:tc>
              <w:tc>
                <w:tcPr>
                  <w:tcW w:w="286" w:type="pct"/>
                  <w:tcBorders>
                    <w:top w:val="single" w:color="auto" w:sz="4" w:space="0"/>
                    <w:left w:val="single" w:color="auto" w:sz="4" w:space="0"/>
                    <w:bottom w:val="single" w:color="auto" w:sz="4" w:space="0"/>
                    <w:right w:val="single" w:color="auto" w:sz="4" w:space="0"/>
                  </w:tcBorders>
                  <w:vAlign w:val="center"/>
                </w:tcPr>
                <w:p w14:paraId="197F7312">
                  <w:pPr>
                    <w:jc w:val="center"/>
                    <w:rPr>
                      <w:rFonts w:ascii="Times New Roman" w:hAnsi="Times New Roman"/>
                      <w:szCs w:val="21"/>
                    </w:rPr>
                  </w:pPr>
                  <w:r>
                    <w:rPr>
                      <w:rFonts w:ascii="Times New Roman" w:hAnsi="Times New Roman"/>
                      <w:szCs w:val="21"/>
                    </w:rPr>
                    <w:t xml:space="preserve">0.16 </w:t>
                  </w:r>
                </w:p>
              </w:tc>
              <w:tc>
                <w:tcPr>
                  <w:tcW w:w="544" w:type="pct"/>
                  <w:tcBorders>
                    <w:top w:val="single" w:color="auto" w:sz="4" w:space="0"/>
                    <w:left w:val="single" w:color="auto" w:sz="4" w:space="0"/>
                    <w:bottom w:val="single" w:color="auto" w:sz="4" w:space="0"/>
                    <w:right w:val="single" w:color="auto" w:sz="4" w:space="0"/>
                  </w:tcBorders>
                  <w:vAlign w:val="center"/>
                </w:tcPr>
                <w:p w14:paraId="496E2D9D">
                  <w:pPr>
                    <w:jc w:val="center"/>
                    <w:rPr>
                      <w:rFonts w:ascii="Times New Roman" w:hAnsi="Times New Roman"/>
                      <w:szCs w:val="21"/>
                    </w:rPr>
                  </w:pPr>
                  <w:r>
                    <w:rPr>
                      <w:rFonts w:ascii="Times New Roman" w:hAnsi="Times New Roman"/>
                      <w:szCs w:val="21"/>
                    </w:rPr>
                    <w:t xml:space="preserve">0.16 </w:t>
                  </w:r>
                </w:p>
              </w:tc>
              <w:tc>
                <w:tcPr>
                  <w:tcW w:w="390" w:type="pct"/>
                  <w:vAlign w:val="center"/>
                </w:tcPr>
                <w:p w14:paraId="22D8C318">
                  <w:pPr>
                    <w:jc w:val="center"/>
                    <w:rPr>
                      <w:rFonts w:ascii="Times New Roman" w:hAnsi="Times New Roman"/>
                      <w:szCs w:val="21"/>
                    </w:rPr>
                  </w:pPr>
                  <w:r>
                    <w:rPr>
                      <w:rFonts w:ascii="Times New Roman" w:hAnsi="Times New Roman"/>
                      <w:szCs w:val="21"/>
                    </w:rPr>
                    <w:t xml:space="preserve">0.33 </w:t>
                  </w:r>
                </w:p>
              </w:tc>
              <w:tc>
                <w:tcPr>
                  <w:tcW w:w="509" w:type="pct"/>
                  <w:vAlign w:val="center"/>
                </w:tcPr>
                <w:p w14:paraId="70C12823">
                  <w:pPr>
                    <w:jc w:val="center"/>
                    <w:rPr>
                      <w:rFonts w:ascii="Times New Roman" w:hAnsi="Times New Roman"/>
                      <w:szCs w:val="21"/>
                    </w:rPr>
                  </w:pPr>
                  <w:r>
                    <w:rPr>
                      <w:rFonts w:ascii="Times New Roman" w:hAnsi="Times New Roman"/>
                      <w:szCs w:val="21"/>
                    </w:rPr>
                    <w:t xml:space="preserve">8.19 </w:t>
                  </w:r>
                </w:p>
              </w:tc>
              <w:tc>
                <w:tcPr>
                  <w:tcW w:w="548" w:type="pct"/>
                  <w:vAlign w:val="center"/>
                </w:tcPr>
                <w:p w14:paraId="3D2DBE4D">
                  <w:pPr>
                    <w:jc w:val="center"/>
                    <w:rPr>
                      <w:rFonts w:ascii="Times New Roman" w:hAnsi="Times New Roman"/>
                      <w:szCs w:val="21"/>
                    </w:rPr>
                  </w:pPr>
                  <w:r>
                    <w:rPr>
                      <w:rFonts w:ascii="Times New Roman" w:hAnsi="Times New Roman"/>
                      <w:szCs w:val="21"/>
                    </w:rPr>
                    <w:t xml:space="preserve">8.52 </w:t>
                  </w:r>
                </w:p>
              </w:tc>
              <w:tc>
                <w:tcPr>
                  <w:tcW w:w="449" w:type="pct"/>
                  <w:vAlign w:val="center"/>
                </w:tcPr>
                <w:p w14:paraId="1EEA65EB">
                  <w:pPr>
                    <w:jc w:val="center"/>
                    <w:rPr>
                      <w:rFonts w:ascii="Times New Roman" w:hAnsi="Times New Roman"/>
                      <w:szCs w:val="21"/>
                    </w:rPr>
                  </w:pPr>
                  <w:r>
                    <w:rPr>
                      <w:rFonts w:ascii="Times New Roman" w:hAnsi="Times New Roman"/>
                      <w:szCs w:val="21"/>
                    </w:rPr>
                    <w:t xml:space="preserve">2.30 </w:t>
                  </w:r>
                </w:p>
              </w:tc>
              <w:tc>
                <w:tcPr>
                  <w:tcW w:w="568" w:type="pct"/>
                  <w:vAlign w:val="center"/>
                </w:tcPr>
                <w:p w14:paraId="2154A8F6">
                  <w:pPr>
                    <w:jc w:val="center"/>
                    <w:rPr>
                      <w:rFonts w:ascii="Times New Roman" w:hAnsi="Times New Roman"/>
                      <w:szCs w:val="21"/>
                    </w:rPr>
                  </w:pPr>
                  <w:r>
                    <w:rPr>
                      <w:rFonts w:ascii="Times New Roman" w:hAnsi="Times New Roman"/>
                      <w:szCs w:val="21"/>
                    </w:rPr>
                    <w:t xml:space="preserve">45.45 </w:t>
                  </w:r>
                </w:p>
              </w:tc>
              <w:tc>
                <w:tcPr>
                  <w:tcW w:w="568" w:type="pct"/>
                  <w:vAlign w:val="center"/>
                </w:tcPr>
                <w:p w14:paraId="47E2AEDF">
                  <w:pPr>
                    <w:jc w:val="center"/>
                    <w:rPr>
                      <w:rFonts w:ascii="Times New Roman" w:hAnsi="Times New Roman"/>
                      <w:szCs w:val="21"/>
                    </w:rPr>
                  </w:pPr>
                  <w:r>
                    <w:rPr>
                      <w:rFonts w:ascii="Times New Roman" w:hAnsi="Times New Roman"/>
                      <w:szCs w:val="21"/>
                    </w:rPr>
                    <w:t xml:space="preserve">47.75 </w:t>
                  </w:r>
                </w:p>
              </w:tc>
            </w:tr>
            <w:tr w14:paraId="60B2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79BA252">
                  <w:pPr>
                    <w:jc w:val="center"/>
                    <w:rPr>
                      <w:rFonts w:ascii="Times New Roman" w:hAnsi="Times New Roman"/>
                      <w:szCs w:val="21"/>
                    </w:rPr>
                  </w:pPr>
                  <w:r>
                    <w:rPr>
                      <w:rFonts w:ascii="Times New Roman" w:hAnsi="Times New Roman"/>
                      <w:szCs w:val="21"/>
                    </w:rPr>
                    <w:t>22</w:t>
                  </w:r>
                </w:p>
              </w:tc>
              <w:tc>
                <w:tcPr>
                  <w:tcW w:w="684" w:type="pct"/>
                  <w:tcBorders>
                    <w:top w:val="single" w:color="auto" w:sz="4" w:space="0"/>
                    <w:left w:val="single" w:color="auto" w:sz="4" w:space="0"/>
                    <w:bottom w:val="single" w:color="auto" w:sz="4" w:space="0"/>
                    <w:right w:val="single" w:color="auto" w:sz="4" w:space="0"/>
                  </w:tcBorders>
                  <w:vAlign w:val="center"/>
                </w:tcPr>
                <w:p w14:paraId="28AF136F">
                  <w:pPr>
                    <w:jc w:val="center"/>
                    <w:rPr>
                      <w:rFonts w:ascii="Times New Roman" w:hAnsi="Times New Roman"/>
                      <w:szCs w:val="21"/>
                    </w:rPr>
                  </w:pPr>
                  <w:r>
                    <w:rPr>
                      <w:rFonts w:ascii="Times New Roman" w:hAnsi="Times New Roman"/>
                      <w:szCs w:val="21"/>
                    </w:rPr>
                    <w:t>1.39E-03</w:t>
                  </w:r>
                </w:p>
              </w:tc>
              <w:tc>
                <w:tcPr>
                  <w:tcW w:w="286" w:type="pct"/>
                  <w:tcBorders>
                    <w:top w:val="single" w:color="auto" w:sz="4" w:space="0"/>
                    <w:left w:val="single" w:color="auto" w:sz="4" w:space="0"/>
                    <w:bottom w:val="single" w:color="auto" w:sz="4" w:space="0"/>
                    <w:right w:val="single" w:color="auto" w:sz="4" w:space="0"/>
                  </w:tcBorders>
                  <w:vAlign w:val="center"/>
                </w:tcPr>
                <w:p w14:paraId="5F8955AD">
                  <w:pPr>
                    <w:jc w:val="center"/>
                    <w:rPr>
                      <w:rFonts w:ascii="Times New Roman" w:hAnsi="Times New Roman"/>
                      <w:szCs w:val="21"/>
                    </w:rPr>
                  </w:pPr>
                  <w:r>
                    <w:rPr>
                      <w:rFonts w:ascii="Times New Roman" w:hAnsi="Times New Roman"/>
                      <w:szCs w:val="21"/>
                    </w:rPr>
                    <w:t xml:space="preserve">0.10 </w:t>
                  </w:r>
                </w:p>
              </w:tc>
              <w:tc>
                <w:tcPr>
                  <w:tcW w:w="544" w:type="pct"/>
                  <w:tcBorders>
                    <w:top w:val="single" w:color="auto" w:sz="4" w:space="0"/>
                    <w:left w:val="single" w:color="auto" w:sz="4" w:space="0"/>
                    <w:bottom w:val="single" w:color="auto" w:sz="4" w:space="0"/>
                    <w:right w:val="single" w:color="auto" w:sz="4" w:space="0"/>
                  </w:tcBorders>
                  <w:vAlign w:val="center"/>
                </w:tcPr>
                <w:p w14:paraId="32A8AB36">
                  <w:pPr>
                    <w:jc w:val="center"/>
                    <w:rPr>
                      <w:rFonts w:ascii="Times New Roman" w:hAnsi="Times New Roman"/>
                      <w:szCs w:val="21"/>
                    </w:rPr>
                  </w:pPr>
                  <w:r>
                    <w:rPr>
                      <w:rFonts w:ascii="Times New Roman" w:hAnsi="Times New Roman"/>
                      <w:szCs w:val="21"/>
                    </w:rPr>
                    <w:t xml:space="preserve">0.10 </w:t>
                  </w:r>
                </w:p>
              </w:tc>
              <w:tc>
                <w:tcPr>
                  <w:tcW w:w="390" w:type="pct"/>
                  <w:vAlign w:val="center"/>
                </w:tcPr>
                <w:p w14:paraId="0BBCF689">
                  <w:pPr>
                    <w:jc w:val="center"/>
                    <w:rPr>
                      <w:rFonts w:ascii="Times New Roman" w:hAnsi="Times New Roman"/>
                      <w:szCs w:val="21"/>
                    </w:rPr>
                  </w:pPr>
                  <w:r>
                    <w:rPr>
                      <w:rFonts w:ascii="Times New Roman" w:hAnsi="Times New Roman"/>
                      <w:szCs w:val="21"/>
                    </w:rPr>
                    <w:t xml:space="preserve">0.19 </w:t>
                  </w:r>
                </w:p>
              </w:tc>
              <w:tc>
                <w:tcPr>
                  <w:tcW w:w="509" w:type="pct"/>
                  <w:vAlign w:val="center"/>
                </w:tcPr>
                <w:p w14:paraId="6B4A96EC">
                  <w:pPr>
                    <w:jc w:val="center"/>
                    <w:rPr>
                      <w:rFonts w:ascii="Times New Roman" w:hAnsi="Times New Roman"/>
                      <w:szCs w:val="21"/>
                    </w:rPr>
                  </w:pPr>
                  <w:r>
                    <w:rPr>
                      <w:rFonts w:ascii="Times New Roman" w:hAnsi="Times New Roman"/>
                      <w:szCs w:val="21"/>
                    </w:rPr>
                    <w:t xml:space="preserve">4.89 </w:t>
                  </w:r>
                </w:p>
              </w:tc>
              <w:tc>
                <w:tcPr>
                  <w:tcW w:w="548" w:type="pct"/>
                  <w:vAlign w:val="center"/>
                </w:tcPr>
                <w:p w14:paraId="278CBB92">
                  <w:pPr>
                    <w:jc w:val="center"/>
                    <w:rPr>
                      <w:rFonts w:ascii="Times New Roman" w:hAnsi="Times New Roman"/>
                      <w:szCs w:val="21"/>
                    </w:rPr>
                  </w:pPr>
                  <w:r>
                    <w:rPr>
                      <w:rFonts w:ascii="Times New Roman" w:hAnsi="Times New Roman"/>
                      <w:szCs w:val="21"/>
                    </w:rPr>
                    <w:t xml:space="preserve">5.09 </w:t>
                  </w:r>
                </w:p>
              </w:tc>
              <w:tc>
                <w:tcPr>
                  <w:tcW w:w="449" w:type="pct"/>
                  <w:vAlign w:val="center"/>
                </w:tcPr>
                <w:p w14:paraId="5D048FCD">
                  <w:pPr>
                    <w:jc w:val="center"/>
                    <w:rPr>
                      <w:rFonts w:ascii="Times New Roman" w:hAnsi="Times New Roman"/>
                      <w:szCs w:val="21"/>
                    </w:rPr>
                  </w:pPr>
                  <w:r>
                    <w:rPr>
                      <w:rFonts w:ascii="Times New Roman" w:hAnsi="Times New Roman"/>
                      <w:szCs w:val="21"/>
                    </w:rPr>
                    <w:t xml:space="preserve">1.37 </w:t>
                  </w:r>
                </w:p>
              </w:tc>
              <w:tc>
                <w:tcPr>
                  <w:tcW w:w="568" w:type="pct"/>
                  <w:vAlign w:val="center"/>
                </w:tcPr>
                <w:p w14:paraId="130D9B6B">
                  <w:pPr>
                    <w:jc w:val="center"/>
                    <w:rPr>
                      <w:rFonts w:ascii="Times New Roman" w:hAnsi="Times New Roman"/>
                      <w:szCs w:val="21"/>
                    </w:rPr>
                  </w:pPr>
                  <w:r>
                    <w:rPr>
                      <w:rFonts w:ascii="Times New Roman" w:hAnsi="Times New Roman"/>
                      <w:szCs w:val="21"/>
                    </w:rPr>
                    <w:t xml:space="preserve">27.14 </w:t>
                  </w:r>
                </w:p>
              </w:tc>
              <w:tc>
                <w:tcPr>
                  <w:tcW w:w="568" w:type="pct"/>
                  <w:vAlign w:val="center"/>
                </w:tcPr>
                <w:p w14:paraId="0C101996">
                  <w:pPr>
                    <w:jc w:val="center"/>
                    <w:rPr>
                      <w:rFonts w:ascii="Times New Roman" w:hAnsi="Times New Roman"/>
                      <w:szCs w:val="21"/>
                    </w:rPr>
                  </w:pPr>
                  <w:r>
                    <w:rPr>
                      <w:rFonts w:ascii="Times New Roman" w:hAnsi="Times New Roman"/>
                      <w:szCs w:val="21"/>
                    </w:rPr>
                    <w:t xml:space="preserve">28.51 </w:t>
                  </w:r>
                </w:p>
              </w:tc>
            </w:tr>
            <w:tr w14:paraId="742F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377C1FB">
                  <w:pPr>
                    <w:jc w:val="center"/>
                    <w:rPr>
                      <w:rFonts w:ascii="Times New Roman" w:hAnsi="Times New Roman"/>
                      <w:szCs w:val="21"/>
                    </w:rPr>
                  </w:pPr>
                  <w:r>
                    <w:rPr>
                      <w:rFonts w:ascii="Times New Roman" w:hAnsi="Times New Roman"/>
                      <w:szCs w:val="21"/>
                    </w:rPr>
                    <w:t>28</w:t>
                  </w:r>
                </w:p>
              </w:tc>
              <w:tc>
                <w:tcPr>
                  <w:tcW w:w="684" w:type="pct"/>
                  <w:tcBorders>
                    <w:top w:val="single" w:color="auto" w:sz="4" w:space="0"/>
                    <w:left w:val="single" w:color="auto" w:sz="4" w:space="0"/>
                    <w:bottom w:val="single" w:color="auto" w:sz="4" w:space="0"/>
                    <w:right w:val="single" w:color="auto" w:sz="4" w:space="0"/>
                  </w:tcBorders>
                  <w:vAlign w:val="center"/>
                </w:tcPr>
                <w:p w14:paraId="145982DE">
                  <w:pPr>
                    <w:jc w:val="center"/>
                    <w:rPr>
                      <w:rFonts w:ascii="Times New Roman" w:hAnsi="Times New Roman"/>
                      <w:szCs w:val="21"/>
                    </w:rPr>
                  </w:pPr>
                  <w:r>
                    <w:rPr>
                      <w:rFonts w:ascii="Times New Roman" w:hAnsi="Times New Roman"/>
                      <w:szCs w:val="21"/>
                    </w:rPr>
                    <w:t>8.55E-04</w:t>
                  </w:r>
                </w:p>
              </w:tc>
              <w:tc>
                <w:tcPr>
                  <w:tcW w:w="286" w:type="pct"/>
                  <w:tcBorders>
                    <w:top w:val="single" w:color="auto" w:sz="4" w:space="0"/>
                    <w:left w:val="single" w:color="auto" w:sz="4" w:space="0"/>
                    <w:bottom w:val="single" w:color="auto" w:sz="4" w:space="0"/>
                    <w:right w:val="single" w:color="auto" w:sz="4" w:space="0"/>
                  </w:tcBorders>
                  <w:vAlign w:val="center"/>
                </w:tcPr>
                <w:p w14:paraId="48FE3978">
                  <w:pPr>
                    <w:jc w:val="center"/>
                    <w:rPr>
                      <w:rFonts w:ascii="Times New Roman" w:hAnsi="Times New Roman"/>
                      <w:szCs w:val="21"/>
                    </w:rPr>
                  </w:pPr>
                  <w:r>
                    <w:rPr>
                      <w:rFonts w:ascii="Times New Roman" w:hAnsi="Times New Roman"/>
                      <w:szCs w:val="21"/>
                    </w:rPr>
                    <w:t xml:space="preserve">0.06 </w:t>
                  </w:r>
                </w:p>
              </w:tc>
              <w:tc>
                <w:tcPr>
                  <w:tcW w:w="544" w:type="pct"/>
                  <w:tcBorders>
                    <w:top w:val="single" w:color="auto" w:sz="4" w:space="0"/>
                    <w:left w:val="single" w:color="auto" w:sz="4" w:space="0"/>
                    <w:bottom w:val="single" w:color="auto" w:sz="4" w:space="0"/>
                    <w:right w:val="single" w:color="auto" w:sz="4" w:space="0"/>
                  </w:tcBorders>
                  <w:vAlign w:val="center"/>
                </w:tcPr>
                <w:p w14:paraId="5BEF7A9F">
                  <w:pPr>
                    <w:jc w:val="center"/>
                    <w:rPr>
                      <w:rFonts w:ascii="Times New Roman" w:hAnsi="Times New Roman"/>
                      <w:szCs w:val="21"/>
                    </w:rPr>
                  </w:pPr>
                  <w:r>
                    <w:rPr>
                      <w:rFonts w:ascii="Times New Roman" w:hAnsi="Times New Roman"/>
                      <w:szCs w:val="21"/>
                    </w:rPr>
                    <w:t xml:space="preserve">0.06 </w:t>
                  </w:r>
                </w:p>
              </w:tc>
              <w:tc>
                <w:tcPr>
                  <w:tcW w:w="390" w:type="pct"/>
                  <w:vAlign w:val="center"/>
                </w:tcPr>
                <w:p w14:paraId="0D40114A">
                  <w:pPr>
                    <w:jc w:val="center"/>
                    <w:rPr>
                      <w:rFonts w:ascii="Times New Roman" w:hAnsi="Times New Roman"/>
                      <w:szCs w:val="21"/>
                    </w:rPr>
                  </w:pPr>
                  <w:r>
                    <w:rPr>
                      <w:rFonts w:ascii="Times New Roman" w:hAnsi="Times New Roman"/>
                      <w:szCs w:val="21"/>
                    </w:rPr>
                    <w:t xml:space="preserve">0.12 </w:t>
                  </w:r>
                </w:p>
              </w:tc>
              <w:tc>
                <w:tcPr>
                  <w:tcW w:w="509" w:type="pct"/>
                  <w:vAlign w:val="center"/>
                </w:tcPr>
                <w:p w14:paraId="6DE3EA18">
                  <w:pPr>
                    <w:jc w:val="center"/>
                    <w:rPr>
                      <w:rFonts w:ascii="Times New Roman" w:hAnsi="Times New Roman"/>
                      <w:szCs w:val="21"/>
                    </w:rPr>
                  </w:pPr>
                  <w:r>
                    <w:rPr>
                      <w:rFonts w:ascii="Times New Roman" w:hAnsi="Times New Roman"/>
                      <w:szCs w:val="21"/>
                    </w:rPr>
                    <w:t xml:space="preserve">3.02 </w:t>
                  </w:r>
                </w:p>
              </w:tc>
              <w:tc>
                <w:tcPr>
                  <w:tcW w:w="548" w:type="pct"/>
                  <w:vAlign w:val="center"/>
                </w:tcPr>
                <w:p w14:paraId="5B988CFC">
                  <w:pPr>
                    <w:jc w:val="center"/>
                    <w:rPr>
                      <w:rFonts w:ascii="Times New Roman" w:hAnsi="Times New Roman"/>
                      <w:szCs w:val="21"/>
                    </w:rPr>
                  </w:pPr>
                  <w:r>
                    <w:rPr>
                      <w:rFonts w:ascii="Times New Roman" w:hAnsi="Times New Roman"/>
                      <w:szCs w:val="21"/>
                    </w:rPr>
                    <w:t xml:space="preserve">3.14 </w:t>
                  </w:r>
                </w:p>
              </w:tc>
              <w:tc>
                <w:tcPr>
                  <w:tcW w:w="449" w:type="pct"/>
                  <w:vAlign w:val="center"/>
                </w:tcPr>
                <w:p w14:paraId="0665798A">
                  <w:pPr>
                    <w:jc w:val="center"/>
                    <w:rPr>
                      <w:rFonts w:ascii="Times New Roman" w:hAnsi="Times New Roman"/>
                      <w:szCs w:val="21"/>
                    </w:rPr>
                  </w:pPr>
                  <w:r>
                    <w:rPr>
                      <w:rFonts w:ascii="Times New Roman" w:hAnsi="Times New Roman"/>
                      <w:szCs w:val="21"/>
                    </w:rPr>
                    <w:t xml:space="preserve">0.85 </w:t>
                  </w:r>
                </w:p>
              </w:tc>
              <w:tc>
                <w:tcPr>
                  <w:tcW w:w="568" w:type="pct"/>
                  <w:vAlign w:val="center"/>
                </w:tcPr>
                <w:p w14:paraId="7DF45C60">
                  <w:pPr>
                    <w:jc w:val="center"/>
                    <w:rPr>
                      <w:rFonts w:ascii="Times New Roman" w:hAnsi="Times New Roman"/>
                      <w:szCs w:val="21"/>
                    </w:rPr>
                  </w:pPr>
                  <w:r>
                    <w:rPr>
                      <w:rFonts w:ascii="Times New Roman" w:hAnsi="Times New Roman"/>
                      <w:szCs w:val="21"/>
                    </w:rPr>
                    <w:t xml:space="preserve">16.75 </w:t>
                  </w:r>
                </w:p>
              </w:tc>
              <w:tc>
                <w:tcPr>
                  <w:tcW w:w="568" w:type="pct"/>
                  <w:vAlign w:val="center"/>
                </w:tcPr>
                <w:p w14:paraId="2288C663">
                  <w:pPr>
                    <w:jc w:val="center"/>
                    <w:rPr>
                      <w:rFonts w:ascii="Times New Roman" w:hAnsi="Times New Roman"/>
                      <w:szCs w:val="21"/>
                    </w:rPr>
                  </w:pPr>
                  <w:r>
                    <w:rPr>
                      <w:rFonts w:ascii="Times New Roman" w:hAnsi="Times New Roman"/>
                      <w:szCs w:val="21"/>
                    </w:rPr>
                    <w:t xml:space="preserve">17.60 </w:t>
                  </w:r>
                </w:p>
              </w:tc>
            </w:tr>
            <w:tr w14:paraId="47A7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027CC21">
                  <w:pPr>
                    <w:jc w:val="center"/>
                    <w:rPr>
                      <w:rFonts w:ascii="Times New Roman" w:hAnsi="Times New Roman"/>
                      <w:szCs w:val="21"/>
                    </w:rPr>
                  </w:pPr>
                  <w:r>
                    <w:rPr>
                      <w:rFonts w:ascii="Times New Roman" w:hAnsi="Times New Roman"/>
                      <w:szCs w:val="21"/>
                    </w:rPr>
                    <w:t>31</w:t>
                  </w:r>
                </w:p>
              </w:tc>
              <w:tc>
                <w:tcPr>
                  <w:tcW w:w="684" w:type="pct"/>
                  <w:tcBorders>
                    <w:top w:val="single" w:color="auto" w:sz="4" w:space="0"/>
                    <w:left w:val="single" w:color="auto" w:sz="4" w:space="0"/>
                    <w:bottom w:val="single" w:color="auto" w:sz="4" w:space="0"/>
                    <w:right w:val="single" w:color="auto" w:sz="4" w:space="0"/>
                  </w:tcBorders>
                  <w:vAlign w:val="center"/>
                </w:tcPr>
                <w:p w14:paraId="71CEF982">
                  <w:pPr>
                    <w:widowControl/>
                    <w:jc w:val="center"/>
                    <w:rPr>
                      <w:rFonts w:ascii="Times New Roman" w:hAnsi="Times New Roman"/>
                      <w:kern w:val="0"/>
                      <w:szCs w:val="21"/>
                    </w:rPr>
                  </w:pPr>
                  <w:r>
                    <w:rPr>
                      <w:rFonts w:ascii="Times New Roman" w:hAnsi="Times New Roman"/>
                      <w:szCs w:val="21"/>
                    </w:rPr>
                    <w:t>6.98E-04</w:t>
                  </w:r>
                </w:p>
              </w:tc>
              <w:tc>
                <w:tcPr>
                  <w:tcW w:w="286" w:type="pct"/>
                  <w:tcBorders>
                    <w:top w:val="single" w:color="auto" w:sz="4" w:space="0"/>
                    <w:left w:val="single" w:color="auto" w:sz="4" w:space="0"/>
                    <w:bottom w:val="single" w:color="auto" w:sz="4" w:space="0"/>
                    <w:right w:val="single" w:color="auto" w:sz="4" w:space="0"/>
                  </w:tcBorders>
                  <w:vAlign w:val="center"/>
                </w:tcPr>
                <w:p w14:paraId="2C46E32B">
                  <w:pPr>
                    <w:widowControl/>
                    <w:jc w:val="center"/>
                    <w:rPr>
                      <w:rFonts w:ascii="Times New Roman" w:hAnsi="Times New Roman"/>
                      <w:kern w:val="0"/>
                      <w:szCs w:val="21"/>
                    </w:rPr>
                  </w:pPr>
                  <w:r>
                    <w:rPr>
                      <w:rFonts w:ascii="Times New Roman" w:hAnsi="Times New Roman"/>
                      <w:szCs w:val="21"/>
                    </w:rPr>
                    <w:t xml:space="preserve">0.05 </w:t>
                  </w:r>
                </w:p>
              </w:tc>
              <w:tc>
                <w:tcPr>
                  <w:tcW w:w="544" w:type="pct"/>
                  <w:tcBorders>
                    <w:top w:val="single" w:color="auto" w:sz="4" w:space="0"/>
                    <w:left w:val="single" w:color="auto" w:sz="4" w:space="0"/>
                    <w:bottom w:val="single" w:color="auto" w:sz="4" w:space="0"/>
                    <w:right w:val="single" w:color="auto" w:sz="4" w:space="0"/>
                  </w:tcBorders>
                  <w:vAlign w:val="center"/>
                </w:tcPr>
                <w:p w14:paraId="3685B4AD">
                  <w:pPr>
                    <w:widowControl/>
                    <w:jc w:val="center"/>
                    <w:rPr>
                      <w:rFonts w:ascii="Times New Roman" w:hAnsi="Times New Roman"/>
                      <w:kern w:val="0"/>
                      <w:szCs w:val="21"/>
                    </w:rPr>
                  </w:pPr>
                  <w:r>
                    <w:rPr>
                      <w:rFonts w:ascii="Times New Roman" w:hAnsi="Times New Roman"/>
                      <w:szCs w:val="21"/>
                    </w:rPr>
                    <w:t xml:space="preserve">0.05 </w:t>
                  </w:r>
                </w:p>
              </w:tc>
              <w:tc>
                <w:tcPr>
                  <w:tcW w:w="390" w:type="pct"/>
                  <w:vAlign w:val="center"/>
                </w:tcPr>
                <w:p w14:paraId="42711256">
                  <w:pPr>
                    <w:widowControl/>
                    <w:jc w:val="center"/>
                    <w:rPr>
                      <w:rFonts w:ascii="Times New Roman" w:hAnsi="Times New Roman"/>
                      <w:kern w:val="0"/>
                      <w:szCs w:val="21"/>
                    </w:rPr>
                  </w:pPr>
                  <w:r>
                    <w:rPr>
                      <w:rFonts w:ascii="Times New Roman" w:hAnsi="Times New Roman"/>
                      <w:szCs w:val="21"/>
                    </w:rPr>
                    <w:t>0.10</w:t>
                  </w:r>
                </w:p>
              </w:tc>
              <w:tc>
                <w:tcPr>
                  <w:tcW w:w="509" w:type="pct"/>
                  <w:vAlign w:val="center"/>
                </w:tcPr>
                <w:p w14:paraId="06D93DA5">
                  <w:pPr>
                    <w:widowControl/>
                    <w:jc w:val="center"/>
                    <w:rPr>
                      <w:rFonts w:ascii="Times New Roman" w:hAnsi="Times New Roman"/>
                      <w:kern w:val="0"/>
                      <w:szCs w:val="21"/>
                    </w:rPr>
                  </w:pPr>
                  <w:r>
                    <w:rPr>
                      <w:rFonts w:ascii="Times New Roman" w:hAnsi="Times New Roman"/>
                      <w:szCs w:val="21"/>
                    </w:rPr>
                    <w:t xml:space="preserve">2.46 </w:t>
                  </w:r>
                </w:p>
              </w:tc>
              <w:tc>
                <w:tcPr>
                  <w:tcW w:w="548" w:type="pct"/>
                  <w:vAlign w:val="center"/>
                </w:tcPr>
                <w:p w14:paraId="571E9298">
                  <w:pPr>
                    <w:widowControl/>
                    <w:jc w:val="center"/>
                    <w:rPr>
                      <w:rFonts w:ascii="Times New Roman" w:hAnsi="Times New Roman"/>
                      <w:kern w:val="0"/>
                      <w:szCs w:val="21"/>
                    </w:rPr>
                  </w:pPr>
                  <w:r>
                    <w:rPr>
                      <w:rFonts w:ascii="Times New Roman" w:hAnsi="Times New Roman"/>
                      <w:szCs w:val="21"/>
                    </w:rPr>
                    <w:t xml:space="preserve">2.56 </w:t>
                  </w:r>
                </w:p>
              </w:tc>
              <w:tc>
                <w:tcPr>
                  <w:tcW w:w="449" w:type="pct"/>
                  <w:vAlign w:val="center"/>
                </w:tcPr>
                <w:p w14:paraId="4AEABF23">
                  <w:pPr>
                    <w:widowControl/>
                    <w:jc w:val="center"/>
                    <w:rPr>
                      <w:rFonts w:ascii="Times New Roman" w:hAnsi="Times New Roman"/>
                      <w:kern w:val="0"/>
                      <w:szCs w:val="21"/>
                    </w:rPr>
                  </w:pPr>
                  <w:r>
                    <w:rPr>
                      <w:rFonts w:ascii="Times New Roman" w:hAnsi="Times New Roman"/>
                      <w:szCs w:val="21"/>
                    </w:rPr>
                    <w:t>0.69</w:t>
                  </w:r>
                </w:p>
              </w:tc>
              <w:tc>
                <w:tcPr>
                  <w:tcW w:w="568" w:type="pct"/>
                  <w:vAlign w:val="center"/>
                </w:tcPr>
                <w:p w14:paraId="2AB38D77">
                  <w:pPr>
                    <w:widowControl/>
                    <w:jc w:val="center"/>
                    <w:rPr>
                      <w:rFonts w:ascii="Times New Roman" w:hAnsi="Times New Roman"/>
                      <w:kern w:val="0"/>
                      <w:szCs w:val="21"/>
                    </w:rPr>
                  </w:pPr>
                  <w:r>
                    <w:rPr>
                      <w:rFonts w:ascii="Times New Roman" w:hAnsi="Times New Roman"/>
                      <w:szCs w:val="21"/>
                    </w:rPr>
                    <w:t xml:space="preserve">13.67 </w:t>
                  </w:r>
                </w:p>
              </w:tc>
              <w:tc>
                <w:tcPr>
                  <w:tcW w:w="568" w:type="pct"/>
                  <w:vAlign w:val="center"/>
                </w:tcPr>
                <w:p w14:paraId="4546C959">
                  <w:pPr>
                    <w:widowControl/>
                    <w:jc w:val="center"/>
                    <w:rPr>
                      <w:rFonts w:ascii="Times New Roman" w:hAnsi="Times New Roman"/>
                      <w:kern w:val="0"/>
                      <w:szCs w:val="21"/>
                    </w:rPr>
                  </w:pPr>
                  <w:r>
                    <w:rPr>
                      <w:rFonts w:ascii="Times New Roman" w:hAnsi="Times New Roman"/>
                      <w:szCs w:val="21"/>
                    </w:rPr>
                    <w:t>14.36(控制区)</w:t>
                  </w:r>
                </w:p>
              </w:tc>
            </w:tr>
            <w:tr w14:paraId="44CB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67E75D5">
                  <w:pPr>
                    <w:jc w:val="center"/>
                    <w:rPr>
                      <w:rFonts w:ascii="Times New Roman" w:hAnsi="Times New Roman"/>
                      <w:szCs w:val="21"/>
                    </w:rPr>
                  </w:pPr>
                  <w:r>
                    <w:rPr>
                      <w:rFonts w:ascii="Times New Roman" w:hAnsi="Times New Roman"/>
                      <w:szCs w:val="21"/>
                    </w:rPr>
                    <w:t>32</w:t>
                  </w:r>
                </w:p>
              </w:tc>
              <w:tc>
                <w:tcPr>
                  <w:tcW w:w="684" w:type="pct"/>
                  <w:tcBorders>
                    <w:top w:val="single" w:color="auto" w:sz="4" w:space="0"/>
                    <w:left w:val="single" w:color="auto" w:sz="4" w:space="0"/>
                    <w:bottom w:val="single" w:color="auto" w:sz="4" w:space="0"/>
                    <w:right w:val="single" w:color="auto" w:sz="4" w:space="0"/>
                  </w:tcBorders>
                  <w:vAlign w:val="center"/>
                </w:tcPr>
                <w:p w14:paraId="6C7B60D1">
                  <w:pPr>
                    <w:jc w:val="center"/>
                    <w:rPr>
                      <w:rFonts w:ascii="Times New Roman" w:hAnsi="Times New Roman"/>
                      <w:szCs w:val="21"/>
                    </w:rPr>
                  </w:pPr>
                  <w:r>
                    <w:rPr>
                      <w:rFonts w:ascii="Times New Roman" w:hAnsi="Times New Roman"/>
                      <w:szCs w:val="21"/>
                    </w:rPr>
                    <w:t>6.55E-04</w:t>
                  </w:r>
                </w:p>
              </w:tc>
              <w:tc>
                <w:tcPr>
                  <w:tcW w:w="286" w:type="pct"/>
                  <w:tcBorders>
                    <w:top w:val="single" w:color="auto" w:sz="4" w:space="0"/>
                    <w:left w:val="single" w:color="auto" w:sz="4" w:space="0"/>
                    <w:bottom w:val="single" w:color="auto" w:sz="4" w:space="0"/>
                    <w:right w:val="single" w:color="auto" w:sz="4" w:space="0"/>
                  </w:tcBorders>
                  <w:vAlign w:val="center"/>
                </w:tcPr>
                <w:p w14:paraId="543E1641">
                  <w:pPr>
                    <w:jc w:val="center"/>
                    <w:rPr>
                      <w:rFonts w:ascii="Times New Roman" w:hAnsi="Times New Roman"/>
                      <w:szCs w:val="21"/>
                    </w:rPr>
                  </w:pPr>
                  <w:r>
                    <w:rPr>
                      <w:rFonts w:ascii="Times New Roman" w:hAnsi="Times New Roman"/>
                      <w:szCs w:val="21"/>
                    </w:rPr>
                    <w:t xml:space="preserve">0.05 </w:t>
                  </w:r>
                </w:p>
              </w:tc>
              <w:tc>
                <w:tcPr>
                  <w:tcW w:w="544" w:type="pct"/>
                  <w:tcBorders>
                    <w:top w:val="single" w:color="auto" w:sz="4" w:space="0"/>
                    <w:left w:val="single" w:color="auto" w:sz="4" w:space="0"/>
                    <w:bottom w:val="single" w:color="auto" w:sz="4" w:space="0"/>
                    <w:right w:val="single" w:color="auto" w:sz="4" w:space="0"/>
                  </w:tcBorders>
                  <w:vAlign w:val="center"/>
                </w:tcPr>
                <w:p w14:paraId="6CE89DD8">
                  <w:pPr>
                    <w:jc w:val="center"/>
                    <w:rPr>
                      <w:rFonts w:ascii="Times New Roman" w:hAnsi="Times New Roman"/>
                      <w:szCs w:val="21"/>
                    </w:rPr>
                  </w:pPr>
                  <w:r>
                    <w:rPr>
                      <w:rFonts w:ascii="Times New Roman" w:hAnsi="Times New Roman"/>
                      <w:szCs w:val="21"/>
                    </w:rPr>
                    <w:t xml:space="preserve">0.05 </w:t>
                  </w:r>
                </w:p>
              </w:tc>
              <w:tc>
                <w:tcPr>
                  <w:tcW w:w="390" w:type="pct"/>
                  <w:vAlign w:val="center"/>
                </w:tcPr>
                <w:p w14:paraId="32FC4654">
                  <w:pPr>
                    <w:jc w:val="center"/>
                    <w:rPr>
                      <w:rFonts w:ascii="Times New Roman" w:hAnsi="Times New Roman"/>
                      <w:szCs w:val="21"/>
                    </w:rPr>
                  </w:pPr>
                  <w:r>
                    <w:rPr>
                      <w:rFonts w:ascii="Times New Roman" w:hAnsi="Times New Roman"/>
                      <w:szCs w:val="21"/>
                    </w:rPr>
                    <w:t xml:space="preserve">0.09 </w:t>
                  </w:r>
                </w:p>
              </w:tc>
              <w:tc>
                <w:tcPr>
                  <w:tcW w:w="509" w:type="pct"/>
                  <w:vAlign w:val="center"/>
                </w:tcPr>
                <w:p w14:paraId="1322DCDC">
                  <w:pPr>
                    <w:jc w:val="center"/>
                    <w:rPr>
                      <w:rFonts w:ascii="Times New Roman" w:hAnsi="Times New Roman"/>
                      <w:szCs w:val="21"/>
                    </w:rPr>
                  </w:pPr>
                  <w:r>
                    <w:rPr>
                      <w:rFonts w:ascii="Times New Roman" w:hAnsi="Times New Roman"/>
                      <w:szCs w:val="21"/>
                    </w:rPr>
                    <w:t xml:space="preserve">2.31 </w:t>
                  </w:r>
                </w:p>
              </w:tc>
              <w:tc>
                <w:tcPr>
                  <w:tcW w:w="548" w:type="pct"/>
                  <w:vAlign w:val="center"/>
                </w:tcPr>
                <w:p w14:paraId="3B7F9D51">
                  <w:pPr>
                    <w:jc w:val="center"/>
                    <w:rPr>
                      <w:rFonts w:ascii="Times New Roman" w:hAnsi="Times New Roman"/>
                      <w:szCs w:val="21"/>
                    </w:rPr>
                  </w:pPr>
                  <w:r>
                    <w:rPr>
                      <w:rFonts w:ascii="Times New Roman" w:hAnsi="Times New Roman"/>
                      <w:szCs w:val="21"/>
                    </w:rPr>
                    <w:t>2.40(监督区)</w:t>
                  </w:r>
                </w:p>
              </w:tc>
              <w:tc>
                <w:tcPr>
                  <w:tcW w:w="449" w:type="pct"/>
                  <w:vAlign w:val="center"/>
                </w:tcPr>
                <w:p w14:paraId="29C30B83">
                  <w:pPr>
                    <w:jc w:val="center"/>
                    <w:rPr>
                      <w:rFonts w:ascii="Times New Roman" w:hAnsi="Times New Roman"/>
                      <w:szCs w:val="21"/>
                    </w:rPr>
                  </w:pPr>
                  <w:r>
                    <w:rPr>
                      <w:rFonts w:ascii="Times New Roman" w:hAnsi="Times New Roman"/>
                      <w:szCs w:val="21"/>
                    </w:rPr>
                    <w:t xml:space="preserve">0.65 </w:t>
                  </w:r>
                </w:p>
              </w:tc>
              <w:tc>
                <w:tcPr>
                  <w:tcW w:w="568" w:type="pct"/>
                  <w:vAlign w:val="center"/>
                </w:tcPr>
                <w:p w14:paraId="3A9D6753">
                  <w:pPr>
                    <w:jc w:val="center"/>
                    <w:rPr>
                      <w:rFonts w:ascii="Times New Roman" w:hAnsi="Times New Roman"/>
                      <w:szCs w:val="21"/>
                    </w:rPr>
                  </w:pPr>
                  <w:r>
                    <w:rPr>
                      <w:rFonts w:ascii="Times New Roman" w:hAnsi="Times New Roman"/>
                      <w:szCs w:val="21"/>
                    </w:rPr>
                    <w:t xml:space="preserve">12.83 </w:t>
                  </w:r>
                </w:p>
              </w:tc>
              <w:tc>
                <w:tcPr>
                  <w:tcW w:w="568" w:type="pct"/>
                  <w:vAlign w:val="center"/>
                </w:tcPr>
                <w:p w14:paraId="4391A09C">
                  <w:pPr>
                    <w:jc w:val="center"/>
                    <w:rPr>
                      <w:rFonts w:ascii="Times New Roman" w:hAnsi="Times New Roman"/>
                      <w:szCs w:val="21"/>
                    </w:rPr>
                  </w:pPr>
                  <w:r>
                    <w:rPr>
                      <w:rFonts w:ascii="Times New Roman" w:hAnsi="Times New Roman"/>
                      <w:szCs w:val="21"/>
                    </w:rPr>
                    <w:t>13.48</w:t>
                  </w:r>
                </w:p>
              </w:tc>
            </w:tr>
            <w:tr w14:paraId="23AC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A8CAC0B">
                  <w:pPr>
                    <w:jc w:val="center"/>
                    <w:rPr>
                      <w:rFonts w:ascii="Times New Roman" w:hAnsi="Times New Roman"/>
                      <w:szCs w:val="21"/>
                    </w:rPr>
                  </w:pPr>
                  <w:r>
                    <w:rPr>
                      <w:rFonts w:ascii="Times New Roman" w:hAnsi="Times New Roman"/>
                      <w:szCs w:val="21"/>
                    </w:rPr>
                    <w:t>45</w:t>
                  </w:r>
                </w:p>
              </w:tc>
              <w:tc>
                <w:tcPr>
                  <w:tcW w:w="684" w:type="pct"/>
                  <w:tcBorders>
                    <w:top w:val="single" w:color="auto" w:sz="4" w:space="0"/>
                    <w:left w:val="single" w:color="auto" w:sz="4" w:space="0"/>
                    <w:bottom w:val="single" w:color="auto" w:sz="4" w:space="0"/>
                    <w:right w:val="single" w:color="auto" w:sz="4" w:space="0"/>
                  </w:tcBorders>
                  <w:vAlign w:val="center"/>
                </w:tcPr>
                <w:p w14:paraId="11B0FD69">
                  <w:pPr>
                    <w:jc w:val="center"/>
                    <w:rPr>
                      <w:rFonts w:ascii="Times New Roman" w:hAnsi="Times New Roman"/>
                      <w:szCs w:val="21"/>
                    </w:rPr>
                  </w:pPr>
                  <w:r>
                    <w:rPr>
                      <w:rFonts w:ascii="Times New Roman" w:hAnsi="Times New Roman"/>
                      <w:szCs w:val="21"/>
                    </w:rPr>
                    <w:t>3.31E-04</w:t>
                  </w:r>
                </w:p>
              </w:tc>
              <w:tc>
                <w:tcPr>
                  <w:tcW w:w="286" w:type="pct"/>
                  <w:tcBorders>
                    <w:top w:val="single" w:color="auto" w:sz="4" w:space="0"/>
                    <w:left w:val="single" w:color="auto" w:sz="4" w:space="0"/>
                    <w:bottom w:val="single" w:color="auto" w:sz="4" w:space="0"/>
                    <w:right w:val="single" w:color="auto" w:sz="4" w:space="0"/>
                  </w:tcBorders>
                  <w:vAlign w:val="center"/>
                </w:tcPr>
                <w:p w14:paraId="4DF66FB3">
                  <w:pPr>
                    <w:jc w:val="center"/>
                    <w:rPr>
                      <w:rFonts w:ascii="Times New Roman" w:hAnsi="Times New Roman"/>
                      <w:szCs w:val="21"/>
                    </w:rPr>
                  </w:pPr>
                  <w:r>
                    <w:rPr>
                      <w:rFonts w:ascii="Times New Roman" w:hAnsi="Times New Roman"/>
                      <w:szCs w:val="21"/>
                    </w:rPr>
                    <w:t xml:space="preserve">0.02 </w:t>
                  </w:r>
                </w:p>
              </w:tc>
              <w:tc>
                <w:tcPr>
                  <w:tcW w:w="544" w:type="pct"/>
                  <w:tcBorders>
                    <w:top w:val="single" w:color="auto" w:sz="4" w:space="0"/>
                    <w:left w:val="single" w:color="auto" w:sz="4" w:space="0"/>
                    <w:bottom w:val="single" w:color="auto" w:sz="4" w:space="0"/>
                    <w:right w:val="single" w:color="auto" w:sz="4" w:space="0"/>
                  </w:tcBorders>
                  <w:vAlign w:val="center"/>
                </w:tcPr>
                <w:p w14:paraId="0227F59B">
                  <w:pPr>
                    <w:jc w:val="center"/>
                    <w:rPr>
                      <w:rFonts w:ascii="Times New Roman" w:hAnsi="Times New Roman"/>
                      <w:szCs w:val="21"/>
                    </w:rPr>
                  </w:pPr>
                  <w:r>
                    <w:rPr>
                      <w:rFonts w:ascii="Times New Roman" w:hAnsi="Times New Roman"/>
                      <w:szCs w:val="21"/>
                    </w:rPr>
                    <w:t xml:space="preserve">0.02 </w:t>
                  </w:r>
                </w:p>
              </w:tc>
              <w:tc>
                <w:tcPr>
                  <w:tcW w:w="390" w:type="pct"/>
                  <w:vAlign w:val="center"/>
                </w:tcPr>
                <w:p w14:paraId="5205EB0A">
                  <w:pPr>
                    <w:jc w:val="center"/>
                    <w:rPr>
                      <w:rFonts w:ascii="Times New Roman" w:hAnsi="Times New Roman"/>
                      <w:szCs w:val="21"/>
                    </w:rPr>
                  </w:pPr>
                  <w:r>
                    <w:rPr>
                      <w:rFonts w:ascii="Times New Roman" w:hAnsi="Times New Roman"/>
                      <w:szCs w:val="21"/>
                    </w:rPr>
                    <w:t xml:space="preserve">0.05 </w:t>
                  </w:r>
                </w:p>
              </w:tc>
              <w:tc>
                <w:tcPr>
                  <w:tcW w:w="509" w:type="pct"/>
                  <w:vAlign w:val="center"/>
                </w:tcPr>
                <w:p w14:paraId="4816AD29">
                  <w:pPr>
                    <w:jc w:val="center"/>
                    <w:rPr>
                      <w:rFonts w:ascii="Times New Roman" w:hAnsi="Times New Roman"/>
                      <w:szCs w:val="21"/>
                    </w:rPr>
                  </w:pPr>
                  <w:r>
                    <w:rPr>
                      <w:rFonts w:ascii="Times New Roman" w:hAnsi="Times New Roman"/>
                      <w:szCs w:val="21"/>
                    </w:rPr>
                    <w:t xml:space="preserve">1.17 </w:t>
                  </w:r>
                </w:p>
              </w:tc>
              <w:tc>
                <w:tcPr>
                  <w:tcW w:w="548" w:type="pct"/>
                  <w:vAlign w:val="center"/>
                </w:tcPr>
                <w:p w14:paraId="28FDD629">
                  <w:pPr>
                    <w:jc w:val="center"/>
                    <w:rPr>
                      <w:rFonts w:ascii="Times New Roman" w:hAnsi="Times New Roman"/>
                      <w:szCs w:val="21"/>
                    </w:rPr>
                  </w:pPr>
                  <w:r>
                    <w:rPr>
                      <w:rFonts w:ascii="Times New Roman" w:hAnsi="Times New Roman"/>
                      <w:szCs w:val="21"/>
                    </w:rPr>
                    <w:t xml:space="preserve">1.22 </w:t>
                  </w:r>
                </w:p>
              </w:tc>
              <w:tc>
                <w:tcPr>
                  <w:tcW w:w="449" w:type="pct"/>
                  <w:vAlign w:val="center"/>
                </w:tcPr>
                <w:p w14:paraId="2D0DBBB0">
                  <w:pPr>
                    <w:jc w:val="center"/>
                    <w:rPr>
                      <w:rFonts w:ascii="Times New Roman" w:hAnsi="Times New Roman"/>
                      <w:szCs w:val="21"/>
                    </w:rPr>
                  </w:pPr>
                  <w:r>
                    <w:rPr>
                      <w:rFonts w:ascii="Times New Roman" w:hAnsi="Times New Roman"/>
                      <w:szCs w:val="21"/>
                    </w:rPr>
                    <w:t xml:space="preserve">0.33 </w:t>
                  </w:r>
                </w:p>
              </w:tc>
              <w:tc>
                <w:tcPr>
                  <w:tcW w:w="568" w:type="pct"/>
                  <w:vAlign w:val="center"/>
                </w:tcPr>
                <w:p w14:paraId="02E60BC9">
                  <w:pPr>
                    <w:jc w:val="center"/>
                    <w:rPr>
                      <w:rFonts w:ascii="Times New Roman" w:hAnsi="Times New Roman"/>
                      <w:szCs w:val="21"/>
                    </w:rPr>
                  </w:pPr>
                  <w:r>
                    <w:rPr>
                      <w:rFonts w:ascii="Times New Roman" w:hAnsi="Times New Roman"/>
                      <w:szCs w:val="21"/>
                    </w:rPr>
                    <w:t xml:space="preserve">6.49 </w:t>
                  </w:r>
                </w:p>
              </w:tc>
              <w:tc>
                <w:tcPr>
                  <w:tcW w:w="568" w:type="pct"/>
                  <w:vAlign w:val="center"/>
                </w:tcPr>
                <w:p w14:paraId="4E5EBE03">
                  <w:pPr>
                    <w:jc w:val="center"/>
                    <w:rPr>
                      <w:rFonts w:ascii="Times New Roman" w:hAnsi="Times New Roman"/>
                      <w:szCs w:val="21"/>
                    </w:rPr>
                  </w:pPr>
                  <w:r>
                    <w:rPr>
                      <w:rFonts w:ascii="Times New Roman" w:hAnsi="Times New Roman"/>
                      <w:szCs w:val="21"/>
                    </w:rPr>
                    <w:t xml:space="preserve">6.81 </w:t>
                  </w:r>
                </w:p>
              </w:tc>
            </w:tr>
            <w:tr w14:paraId="48D1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82F5805">
                  <w:pPr>
                    <w:jc w:val="center"/>
                    <w:rPr>
                      <w:rFonts w:ascii="Times New Roman" w:hAnsi="Times New Roman"/>
                      <w:szCs w:val="21"/>
                    </w:rPr>
                  </w:pPr>
                  <w:r>
                    <w:rPr>
                      <w:rFonts w:ascii="Times New Roman" w:hAnsi="Times New Roman"/>
                      <w:szCs w:val="21"/>
                    </w:rPr>
                    <w:t>50</w:t>
                  </w:r>
                </w:p>
              </w:tc>
              <w:tc>
                <w:tcPr>
                  <w:tcW w:w="684" w:type="pct"/>
                  <w:tcBorders>
                    <w:top w:val="single" w:color="auto" w:sz="4" w:space="0"/>
                    <w:left w:val="single" w:color="auto" w:sz="4" w:space="0"/>
                    <w:bottom w:val="single" w:color="auto" w:sz="4" w:space="0"/>
                    <w:right w:val="single" w:color="auto" w:sz="4" w:space="0"/>
                  </w:tcBorders>
                  <w:vAlign w:val="center"/>
                </w:tcPr>
                <w:p w14:paraId="3B508EA9">
                  <w:pPr>
                    <w:jc w:val="center"/>
                    <w:rPr>
                      <w:rFonts w:ascii="Times New Roman" w:hAnsi="Times New Roman"/>
                      <w:szCs w:val="21"/>
                    </w:rPr>
                  </w:pPr>
                  <w:r>
                    <w:rPr>
                      <w:rFonts w:ascii="Times New Roman" w:hAnsi="Times New Roman"/>
                      <w:szCs w:val="21"/>
                    </w:rPr>
                    <w:t>2.68E-04</w:t>
                  </w:r>
                </w:p>
              </w:tc>
              <w:tc>
                <w:tcPr>
                  <w:tcW w:w="286" w:type="pct"/>
                  <w:tcBorders>
                    <w:top w:val="single" w:color="auto" w:sz="4" w:space="0"/>
                    <w:left w:val="single" w:color="auto" w:sz="4" w:space="0"/>
                    <w:bottom w:val="single" w:color="auto" w:sz="4" w:space="0"/>
                    <w:right w:val="single" w:color="auto" w:sz="4" w:space="0"/>
                  </w:tcBorders>
                  <w:vAlign w:val="center"/>
                </w:tcPr>
                <w:p w14:paraId="1C7DB0E1">
                  <w:pPr>
                    <w:jc w:val="center"/>
                    <w:rPr>
                      <w:rFonts w:ascii="Times New Roman" w:hAnsi="Times New Roman"/>
                      <w:szCs w:val="21"/>
                    </w:rPr>
                  </w:pPr>
                  <w:r>
                    <w:rPr>
                      <w:rFonts w:ascii="Times New Roman" w:hAnsi="Times New Roman"/>
                      <w:szCs w:val="21"/>
                    </w:rPr>
                    <w:t xml:space="preserve">0.02 </w:t>
                  </w:r>
                </w:p>
              </w:tc>
              <w:tc>
                <w:tcPr>
                  <w:tcW w:w="544" w:type="pct"/>
                  <w:tcBorders>
                    <w:top w:val="single" w:color="auto" w:sz="4" w:space="0"/>
                    <w:left w:val="single" w:color="auto" w:sz="4" w:space="0"/>
                    <w:bottom w:val="single" w:color="auto" w:sz="4" w:space="0"/>
                    <w:right w:val="single" w:color="auto" w:sz="4" w:space="0"/>
                  </w:tcBorders>
                  <w:vAlign w:val="center"/>
                </w:tcPr>
                <w:p w14:paraId="1CF76628">
                  <w:pPr>
                    <w:jc w:val="center"/>
                    <w:rPr>
                      <w:rFonts w:ascii="Times New Roman" w:hAnsi="Times New Roman"/>
                      <w:szCs w:val="21"/>
                    </w:rPr>
                  </w:pPr>
                  <w:r>
                    <w:rPr>
                      <w:rFonts w:ascii="Times New Roman" w:hAnsi="Times New Roman"/>
                      <w:szCs w:val="21"/>
                    </w:rPr>
                    <w:t xml:space="preserve">0.02 </w:t>
                  </w:r>
                </w:p>
              </w:tc>
              <w:tc>
                <w:tcPr>
                  <w:tcW w:w="390" w:type="pct"/>
                  <w:vAlign w:val="center"/>
                </w:tcPr>
                <w:p w14:paraId="5A16CBC5">
                  <w:pPr>
                    <w:jc w:val="center"/>
                    <w:rPr>
                      <w:rFonts w:ascii="Times New Roman" w:hAnsi="Times New Roman"/>
                      <w:szCs w:val="21"/>
                    </w:rPr>
                  </w:pPr>
                  <w:r>
                    <w:rPr>
                      <w:rFonts w:ascii="Times New Roman" w:hAnsi="Times New Roman"/>
                      <w:szCs w:val="21"/>
                    </w:rPr>
                    <w:t xml:space="preserve">0.04 </w:t>
                  </w:r>
                </w:p>
              </w:tc>
              <w:tc>
                <w:tcPr>
                  <w:tcW w:w="509" w:type="pct"/>
                  <w:vAlign w:val="center"/>
                </w:tcPr>
                <w:p w14:paraId="37942A18">
                  <w:pPr>
                    <w:jc w:val="center"/>
                    <w:rPr>
                      <w:rFonts w:ascii="Times New Roman" w:hAnsi="Times New Roman"/>
                      <w:szCs w:val="21"/>
                    </w:rPr>
                  </w:pPr>
                  <w:r>
                    <w:rPr>
                      <w:rFonts w:ascii="Times New Roman" w:hAnsi="Times New Roman"/>
                      <w:szCs w:val="21"/>
                    </w:rPr>
                    <w:t xml:space="preserve">0.95 </w:t>
                  </w:r>
                </w:p>
              </w:tc>
              <w:tc>
                <w:tcPr>
                  <w:tcW w:w="548" w:type="pct"/>
                  <w:vAlign w:val="center"/>
                </w:tcPr>
                <w:p w14:paraId="4A1FB947">
                  <w:pPr>
                    <w:jc w:val="center"/>
                    <w:rPr>
                      <w:rFonts w:ascii="Times New Roman" w:hAnsi="Times New Roman"/>
                      <w:szCs w:val="21"/>
                    </w:rPr>
                  </w:pPr>
                  <w:r>
                    <w:rPr>
                      <w:rFonts w:ascii="Times New Roman" w:hAnsi="Times New Roman"/>
                      <w:szCs w:val="21"/>
                    </w:rPr>
                    <w:t xml:space="preserve">0.98 </w:t>
                  </w:r>
                </w:p>
              </w:tc>
              <w:tc>
                <w:tcPr>
                  <w:tcW w:w="449" w:type="pct"/>
                  <w:vAlign w:val="center"/>
                </w:tcPr>
                <w:p w14:paraId="3E13BB79">
                  <w:pPr>
                    <w:jc w:val="center"/>
                    <w:rPr>
                      <w:rFonts w:ascii="Times New Roman" w:hAnsi="Times New Roman"/>
                      <w:szCs w:val="21"/>
                    </w:rPr>
                  </w:pPr>
                  <w:r>
                    <w:rPr>
                      <w:rFonts w:ascii="Times New Roman" w:hAnsi="Times New Roman"/>
                      <w:szCs w:val="21"/>
                    </w:rPr>
                    <w:t xml:space="preserve">0.27 </w:t>
                  </w:r>
                </w:p>
              </w:tc>
              <w:tc>
                <w:tcPr>
                  <w:tcW w:w="568" w:type="pct"/>
                  <w:vAlign w:val="center"/>
                </w:tcPr>
                <w:p w14:paraId="160BF344">
                  <w:pPr>
                    <w:jc w:val="center"/>
                    <w:rPr>
                      <w:rFonts w:ascii="Times New Roman" w:hAnsi="Times New Roman"/>
                      <w:szCs w:val="21"/>
                    </w:rPr>
                  </w:pPr>
                  <w:r>
                    <w:rPr>
                      <w:rFonts w:ascii="Times New Roman" w:hAnsi="Times New Roman"/>
                      <w:szCs w:val="21"/>
                    </w:rPr>
                    <w:t xml:space="preserve">5.25 </w:t>
                  </w:r>
                </w:p>
              </w:tc>
              <w:tc>
                <w:tcPr>
                  <w:tcW w:w="568" w:type="pct"/>
                  <w:vAlign w:val="center"/>
                </w:tcPr>
                <w:p w14:paraId="6380372A">
                  <w:pPr>
                    <w:jc w:val="center"/>
                    <w:rPr>
                      <w:rFonts w:ascii="Times New Roman" w:hAnsi="Times New Roman"/>
                      <w:szCs w:val="21"/>
                    </w:rPr>
                  </w:pPr>
                  <w:r>
                    <w:rPr>
                      <w:rFonts w:ascii="Times New Roman" w:hAnsi="Times New Roman"/>
                      <w:szCs w:val="21"/>
                    </w:rPr>
                    <w:t xml:space="preserve">5.52 </w:t>
                  </w:r>
                </w:p>
              </w:tc>
            </w:tr>
            <w:tr w14:paraId="7E87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EAB9880">
                  <w:pPr>
                    <w:jc w:val="center"/>
                    <w:rPr>
                      <w:rFonts w:ascii="Times New Roman" w:hAnsi="Times New Roman"/>
                      <w:szCs w:val="21"/>
                    </w:rPr>
                  </w:pPr>
                  <w:r>
                    <w:rPr>
                      <w:rFonts w:ascii="Times New Roman" w:hAnsi="Times New Roman"/>
                      <w:szCs w:val="21"/>
                    </w:rPr>
                    <w:t>60</w:t>
                  </w:r>
                </w:p>
              </w:tc>
              <w:tc>
                <w:tcPr>
                  <w:tcW w:w="684" w:type="pct"/>
                  <w:tcBorders>
                    <w:top w:val="single" w:color="auto" w:sz="4" w:space="0"/>
                    <w:left w:val="single" w:color="auto" w:sz="4" w:space="0"/>
                    <w:bottom w:val="single" w:color="auto" w:sz="4" w:space="0"/>
                    <w:right w:val="single" w:color="auto" w:sz="4" w:space="0"/>
                  </w:tcBorders>
                  <w:vAlign w:val="center"/>
                </w:tcPr>
                <w:p w14:paraId="380623F1">
                  <w:pPr>
                    <w:jc w:val="center"/>
                    <w:rPr>
                      <w:rFonts w:ascii="Times New Roman" w:hAnsi="Times New Roman"/>
                      <w:szCs w:val="21"/>
                    </w:rPr>
                  </w:pPr>
                  <w:r>
                    <w:rPr>
                      <w:rFonts w:ascii="Times New Roman" w:hAnsi="Times New Roman"/>
                      <w:szCs w:val="21"/>
                    </w:rPr>
                    <w:t>1.86E-04</w:t>
                  </w:r>
                </w:p>
              </w:tc>
              <w:tc>
                <w:tcPr>
                  <w:tcW w:w="286" w:type="pct"/>
                  <w:tcBorders>
                    <w:top w:val="single" w:color="auto" w:sz="4" w:space="0"/>
                    <w:left w:val="single" w:color="auto" w:sz="4" w:space="0"/>
                    <w:bottom w:val="single" w:color="auto" w:sz="4" w:space="0"/>
                    <w:right w:val="single" w:color="auto" w:sz="4" w:space="0"/>
                  </w:tcBorders>
                  <w:vAlign w:val="center"/>
                </w:tcPr>
                <w:p w14:paraId="5E9DAC4A">
                  <w:pPr>
                    <w:jc w:val="center"/>
                    <w:rPr>
                      <w:rFonts w:ascii="Times New Roman" w:hAnsi="Times New Roman"/>
                      <w:szCs w:val="21"/>
                    </w:rPr>
                  </w:pPr>
                  <w:r>
                    <w:rPr>
                      <w:rFonts w:ascii="Times New Roman" w:hAnsi="Times New Roman"/>
                      <w:szCs w:val="21"/>
                    </w:rPr>
                    <w:t xml:space="preserve">0.01 </w:t>
                  </w:r>
                </w:p>
              </w:tc>
              <w:tc>
                <w:tcPr>
                  <w:tcW w:w="544" w:type="pct"/>
                  <w:tcBorders>
                    <w:top w:val="single" w:color="auto" w:sz="4" w:space="0"/>
                    <w:left w:val="single" w:color="auto" w:sz="4" w:space="0"/>
                    <w:bottom w:val="single" w:color="auto" w:sz="4" w:space="0"/>
                    <w:right w:val="single" w:color="auto" w:sz="4" w:space="0"/>
                  </w:tcBorders>
                  <w:vAlign w:val="center"/>
                </w:tcPr>
                <w:p w14:paraId="61E7879F">
                  <w:pPr>
                    <w:jc w:val="center"/>
                    <w:rPr>
                      <w:rFonts w:ascii="Times New Roman" w:hAnsi="Times New Roman"/>
                      <w:szCs w:val="21"/>
                    </w:rPr>
                  </w:pPr>
                  <w:r>
                    <w:rPr>
                      <w:rFonts w:ascii="Times New Roman" w:hAnsi="Times New Roman"/>
                      <w:szCs w:val="21"/>
                    </w:rPr>
                    <w:t xml:space="preserve">0.01 </w:t>
                  </w:r>
                </w:p>
              </w:tc>
              <w:tc>
                <w:tcPr>
                  <w:tcW w:w="390" w:type="pct"/>
                  <w:vAlign w:val="center"/>
                </w:tcPr>
                <w:p w14:paraId="0A4AB874">
                  <w:pPr>
                    <w:jc w:val="center"/>
                    <w:rPr>
                      <w:rFonts w:ascii="Times New Roman" w:hAnsi="Times New Roman"/>
                      <w:szCs w:val="21"/>
                    </w:rPr>
                  </w:pPr>
                  <w:r>
                    <w:rPr>
                      <w:rFonts w:ascii="Times New Roman" w:hAnsi="Times New Roman"/>
                      <w:szCs w:val="21"/>
                    </w:rPr>
                    <w:t xml:space="preserve">0.03 </w:t>
                  </w:r>
                </w:p>
              </w:tc>
              <w:tc>
                <w:tcPr>
                  <w:tcW w:w="509" w:type="pct"/>
                  <w:vAlign w:val="center"/>
                </w:tcPr>
                <w:p w14:paraId="6F92FDE0">
                  <w:pPr>
                    <w:jc w:val="center"/>
                    <w:rPr>
                      <w:rFonts w:ascii="Times New Roman" w:hAnsi="Times New Roman"/>
                      <w:szCs w:val="21"/>
                    </w:rPr>
                  </w:pPr>
                  <w:r>
                    <w:rPr>
                      <w:rFonts w:ascii="Times New Roman" w:hAnsi="Times New Roman"/>
                      <w:szCs w:val="21"/>
                    </w:rPr>
                    <w:t xml:space="preserve">0.66 </w:t>
                  </w:r>
                </w:p>
              </w:tc>
              <w:tc>
                <w:tcPr>
                  <w:tcW w:w="548" w:type="pct"/>
                  <w:vAlign w:val="center"/>
                </w:tcPr>
                <w:p w14:paraId="75225C01">
                  <w:pPr>
                    <w:jc w:val="center"/>
                    <w:rPr>
                      <w:rFonts w:ascii="Times New Roman" w:hAnsi="Times New Roman"/>
                      <w:szCs w:val="21"/>
                    </w:rPr>
                  </w:pPr>
                  <w:r>
                    <w:rPr>
                      <w:rFonts w:ascii="Times New Roman" w:hAnsi="Times New Roman"/>
                      <w:szCs w:val="21"/>
                    </w:rPr>
                    <w:t xml:space="preserve">0.68 </w:t>
                  </w:r>
                </w:p>
              </w:tc>
              <w:tc>
                <w:tcPr>
                  <w:tcW w:w="449" w:type="pct"/>
                  <w:vAlign w:val="center"/>
                </w:tcPr>
                <w:p w14:paraId="42308647">
                  <w:pPr>
                    <w:jc w:val="center"/>
                    <w:rPr>
                      <w:rFonts w:ascii="Times New Roman" w:hAnsi="Times New Roman"/>
                      <w:szCs w:val="21"/>
                    </w:rPr>
                  </w:pPr>
                  <w:r>
                    <w:rPr>
                      <w:rFonts w:ascii="Times New Roman" w:hAnsi="Times New Roman"/>
                      <w:szCs w:val="21"/>
                    </w:rPr>
                    <w:t xml:space="preserve">0.18 </w:t>
                  </w:r>
                </w:p>
              </w:tc>
              <w:tc>
                <w:tcPr>
                  <w:tcW w:w="568" w:type="pct"/>
                  <w:vAlign w:val="center"/>
                </w:tcPr>
                <w:p w14:paraId="5A9C2BA1">
                  <w:pPr>
                    <w:jc w:val="center"/>
                    <w:rPr>
                      <w:rFonts w:ascii="Times New Roman" w:hAnsi="Times New Roman"/>
                      <w:szCs w:val="21"/>
                    </w:rPr>
                  </w:pPr>
                  <w:r>
                    <w:rPr>
                      <w:rFonts w:ascii="Times New Roman" w:hAnsi="Times New Roman"/>
                      <w:szCs w:val="21"/>
                    </w:rPr>
                    <w:t xml:space="preserve">3.65 </w:t>
                  </w:r>
                </w:p>
              </w:tc>
              <w:tc>
                <w:tcPr>
                  <w:tcW w:w="568" w:type="pct"/>
                  <w:vAlign w:val="center"/>
                </w:tcPr>
                <w:p w14:paraId="3442B786">
                  <w:pPr>
                    <w:jc w:val="center"/>
                    <w:rPr>
                      <w:rFonts w:ascii="Times New Roman" w:hAnsi="Times New Roman"/>
                      <w:szCs w:val="21"/>
                    </w:rPr>
                  </w:pPr>
                  <w:r>
                    <w:rPr>
                      <w:rFonts w:ascii="Times New Roman" w:hAnsi="Times New Roman"/>
                      <w:szCs w:val="21"/>
                    </w:rPr>
                    <w:t xml:space="preserve">3.83 </w:t>
                  </w:r>
                </w:p>
              </w:tc>
            </w:tr>
            <w:tr w14:paraId="1530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D6A5C4">
                  <w:pPr>
                    <w:jc w:val="center"/>
                    <w:rPr>
                      <w:rFonts w:ascii="Times New Roman" w:hAnsi="Times New Roman"/>
                      <w:szCs w:val="21"/>
                    </w:rPr>
                  </w:pPr>
                  <w:r>
                    <w:rPr>
                      <w:rFonts w:ascii="Times New Roman" w:hAnsi="Times New Roman"/>
                      <w:szCs w:val="21"/>
                    </w:rPr>
                    <w:t>70</w:t>
                  </w:r>
                </w:p>
              </w:tc>
              <w:tc>
                <w:tcPr>
                  <w:tcW w:w="684" w:type="pct"/>
                  <w:tcBorders>
                    <w:top w:val="single" w:color="auto" w:sz="4" w:space="0"/>
                    <w:left w:val="single" w:color="auto" w:sz="4" w:space="0"/>
                    <w:bottom w:val="single" w:color="auto" w:sz="4" w:space="0"/>
                    <w:right w:val="single" w:color="auto" w:sz="4" w:space="0"/>
                  </w:tcBorders>
                  <w:vAlign w:val="center"/>
                </w:tcPr>
                <w:p w14:paraId="64A21BF4">
                  <w:pPr>
                    <w:jc w:val="center"/>
                    <w:rPr>
                      <w:rFonts w:ascii="Times New Roman" w:hAnsi="Times New Roman"/>
                      <w:szCs w:val="21"/>
                    </w:rPr>
                  </w:pPr>
                  <w:r>
                    <w:rPr>
                      <w:rFonts w:ascii="Times New Roman" w:hAnsi="Times New Roman"/>
                      <w:szCs w:val="21"/>
                    </w:rPr>
                    <w:t>1.37E-04</w:t>
                  </w:r>
                </w:p>
              </w:tc>
              <w:tc>
                <w:tcPr>
                  <w:tcW w:w="286" w:type="pct"/>
                  <w:tcBorders>
                    <w:top w:val="single" w:color="auto" w:sz="4" w:space="0"/>
                    <w:left w:val="single" w:color="auto" w:sz="4" w:space="0"/>
                    <w:bottom w:val="single" w:color="auto" w:sz="4" w:space="0"/>
                    <w:right w:val="single" w:color="auto" w:sz="4" w:space="0"/>
                  </w:tcBorders>
                  <w:vAlign w:val="center"/>
                </w:tcPr>
                <w:p w14:paraId="3A1751FB">
                  <w:pPr>
                    <w:jc w:val="center"/>
                    <w:rPr>
                      <w:rFonts w:ascii="Times New Roman" w:hAnsi="Times New Roman"/>
                      <w:szCs w:val="21"/>
                    </w:rPr>
                  </w:pPr>
                  <w:r>
                    <w:rPr>
                      <w:rFonts w:ascii="Times New Roman" w:hAnsi="Times New Roman"/>
                      <w:szCs w:val="21"/>
                    </w:rPr>
                    <w:t xml:space="preserve">0.01 </w:t>
                  </w:r>
                </w:p>
              </w:tc>
              <w:tc>
                <w:tcPr>
                  <w:tcW w:w="544" w:type="pct"/>
                  <w:tcBorders>
                    <w:top w:val="single" w:color="auto" w:sz="4" w:space="0"/>
                    <w:left w:val="single" w:color="auto" w:sz="4" w:space="0"/>
                    <w:bottom w:val="single" w:color="auto" w:sz="4" w:space="0"/>
                    <w:right w:val="single" w:color="auto" w:sz="4" w:space="0"/>
                  </w:tcBorders>
                  <w:vAlign w:val="center"/>
                </w:tcPr>
                <w:p w14:paraId="2BB0EB11">
                  <w:pPr>
                    <w:jc w:val="center"/>
                    <w:rPr>
                      <w:rFonts w:ascii="Times New Roman" w:hAnsi="Times New Roman"/>
                      <w:szCs w:val="21"/>
                    </w:rPr>
                  </w:pPr>
                  <w:r>
                    <w:rPr>
                      <w:rFonts w:ascii="Times New Roman" w:hAnsi="Times New Roman"/>
                      <w:szCs w:val="21"/>
                    </w:rPr>
                    <w:t xml:space="preserve">0.01 </w:t>
                  </w:r>
                </w:p>
              </w:tc>
              <w:tc>
                <w:tcPr>
                  <w:tcW w:w="390" w:type="pct"/>
                  <w:vAlign w:val="center"/>
                </w:tcPr>
                <w:p w14:paraId="3D36BFB2">
                  <w:pPr>
                    <w:jc w:val="center"/>
                    <w:rPr>
                      <w:rFonts w:ascii="Times New Roman" w:hAnsi="Times New Roman"/>
                      <w:szCs w:val="21"/>
                    </w:rPr>
                  </w:pPr>
                  <w:r>
                    <w:rPr>
                      <w:rFonts w:ascii="Times New Roman" w:hAnsi="Times New Roman"/>
                      <w:szCs w:val="21"/>
                    </w:rPr>
                    <w:t xml:space="preserve">0.02 </w:t>
                  </w:r>
                </w:p>
              </w:tc>
              <w:tc>
                <w:tcPr>
                  <w:tcW w:w="509" w:type="pct"/>
                  <w:vAlign w:val="center"/>
                </w:tcPr>
                <w:p w14:paraId="7864E54E">
                  <w:pPr>
                    <w:jc w:val="center"/>
                    <w:rPr>
                      <w:rFonts w:ascii="Times New Roman" w:hAnsi="Times New Roman"/>
                      <w:szCs w:val="21"/>
                    </w:rPr>
                  </w:pPr>
                  <w:r>
                    <w:rPr>
                      <w:rFonts w:ascii="Times New Roman" w:hAnsi="Times New Roman"/>
                      <w:szCs w:val="21"/>
                    </w:rPr>
                    <w:t xml:space="preserve">0.48 </w:t>
                  </w:r>
                </w:p>
              </w:tc>
              <w:tc>
                <w:tcPr>
                  <w:tcW w:w="548" w:type="pct"/>
                  <w:vAlign w:val="center"/>
                </w:tcPr>
                <w:p w14:paraId="51BDD2C7">
                  <w:pPr>
                    <w:jc w:val="center"/>
                    <w:rPr>
                      <w:rFonts w:ascii="Times New Roman" w:hAnsi="Times New Roman"/>
                      <w:szCs w:val="21"/>
                    </w:rPr>
                  </w:pPr>
                  <w:r>
                    <w:rPr>
                      <w:rFonts w:ascii="Times New Roman" w:hAnsi="Times New Roman"/>
                      <w:szCs w:val="21"/>
                    </w:rPr>
                    <w:t xml:space="preserve">0.50 </w:t>
                  </w:r>
                </w:p>
              </w:tc>
              <w:tc>
                <w:tcPr>
                  <w:tcW w:w="449" w:type="pct"/>
                  <w:vAlign w:val="center"/>
                </w:tcPr>
                <w:p w14:paraId="7A4BF66E">
                  <w:pPr>
                    <w:jc w:val="center"/>
                    <w:rPr>
                      <w:rFonts w:ascii="Times New Roman" w:hAnsi="Times New Roman"/>
                      <w:szCs w:val="21"/>
                    </w:rPr>
                  </w:pPr>
                  <w:r>
                    <w:rPr>
                      <w:rFonts w:ascii="Times New Roman" w:hAnsi="Times New Roman"/>
                      <w:szCs w:val="21"/>
                    </w:rPr>
                    <w:t xml:space="preserve">0.14 </w:t>
                  </w:r>
                </w:p>
              </w:tc>
              <w:tc>
                <w:tcPr>
                  <w:tcW w:w="568" w:type="pct"/>
                  <w:vAlign w:val="center"/>
                </w:tcPr>
                <w:p w14:paraId="4F39C781">
                  <w:pPr>
                    <w:jc w:val="center"/>
                    <w:rPr>
                      <w:rFonts w:ascii="Times New Roman" w:hAnsi="Times New Roman"/>
                      <w:szCs w:val="21"/>
                    </w:rPr>
                  </w:pPr>
                  <w:r>
                    <w:rPr>
                      <w:rFonts w:ascii="Times New Roman" w:hAnsi="Times New Roman"/>
                      <w:szCs w:val="21"/>
                    </w:rPr>
                    <w:t xml:space="preserve">2.68 </w:t>
                  </w:r>
                </w:p>
              </w:tc>
              <w:tc>
                <w:tcPr>
                  <w:tcW w:w="568" w:type="pct"/>
                  <w:vAlign w:val="center"/>
                </w:tcPr>
                <w:p w14:paraId="76A78F47">
                  <w:pPr>
                    <w:jc w:val="center"/>
                    <w:rPr>
                      <w:rFonts w:ascii="Times New Roman" w:hAnsi="Times New Roman"/>
                      <w:szCs w:val="21"/>
                    </w:rPr>
                  </w:pPr>
                  <w:r>
                    <w:rPr>
                      <w:rFonts w:ascii="Times New Roman" w:hAnsi="Times New Roman"/>
                      <w:szCs w:val="21"/>
                    </w:rPr>
                    <w:t xml:space="preserve">2.82 </w:t>
                  </w:r>
                </w:p>
              </w:tc>
            </w:tr>
            <w:tr w14:paraId="522D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4B01FDE">
                  <w:pPr>
                    <w:jc w:val="center"/>
                    <w:rPr>
                      <w:rFonts w:ascii="Times New Roman" w:hAnsi="Times New Roman"/>
                      <w:szCs w:val="21"/>
                    </w:rPr>
                  </w:pPr>
                  <w:r>
                    <w:rPr>
                      <w:rFonts w:ascii="Times New Roman" w:hAnsi="Times New Roman"/>
                      <w:szCs w:val="21"/>
                    </w:rPr>
                    <w:t>75</w:t>
                  </w:r>
                </w:p>
              </w:tc>
              <w:tc>
                <w:tcPr>
                  <w:tcW w:w="684" w:type="pct"/>
                  <w:tcBorders>
                    <w:top w:val="single" w:color="auto" w:sz="4" w:space="0"/>
                    <w:left w:val="single" w:color="auto" w:sz="4" w:space="0"/>
                    <w:bottom w:val="single" w:color="auto" w:sz="4" w:space="0"/>
                    <w:right w:val="single" w:color="auto" w:sz="4" w:space="0"/>
                  </w:tcBorders>
                  <w:vAlign w:val="center"/>
                </w:tcPr>
                <w:p w14:paraId="73C33640">
                  <w:pPr>
                    <w:jc w:val="center"/>
                    <w:rPr>
                      <w:rFonts w:ascii="Times New Roman" w:hAnsi="Times New Roman"/>
                      <w:szCs w:val="21"/>
                    </w:rPr>
                  </w:pPr>
                  <w:r>
                    <w:rPr>
                      <w:rFonts w:ascii="Times New Roman" w:hAnsi="Times New Roman"/>
                      <w:szCs w:val="21"/>
                    </w:rPr>
                    <w:t>1.19E-04</w:t>
                  </w:r>
                </w:p>
              </w:tc>
              <w:tc>
                <w:tcPr>
                  <w:tcW w:w="286" w:type="pct"/>
                  <w:tcBorders>
                    <w:top w:val="single" w:color="auto" w:sz="4" w:space="0"/>
                    <w:left w:val="single" w:color="auto" w:sz="4" w:space="0"/>
                    <w:bottom w:val="single" w:color="auto" w:sz="4" w:space="0"/>
                    <w:right w:val="single" w:color="auto" w:sz="4" w:space="0"/>
                  </w:tcBorders>
                  <w:vAlign w:val="center"/>
                </w:tcPr>
                <w:p w14:paraId="230534B5">
                  <w:pPr>
                    <w:jc w:val="center"/>
                    <w:rPr>
                      <w:rFonts w:ascii="Times New Roman" w:hAnsi="Times New Roman"/>
                      <w:szCs w:val="21"/>
                    </w:rPr>
                  </w:pPr>
                  <w:r>
                    <w:rPr>
                      <w:rFonts w:ascii="Times New Roman" w:hAnsi="Times New Roman"/>
                      <w:szCs w:val="21"/>
                    </w:rPr>
                    <w:t xml:space="preserve">0.01 </w:t>
                  </w:r>
                </w:p>
              </w:tc>
              <w:tc>
                <w:tcPr>
                  <w:tcW w:w="544" w:type="pct"/>
                  <w:tcBorders>
                    <w:top w:val="single" w:color="auto" w:sz="4" w:space="0"/>
                    <w:left w:val="single" w:color="auto" w:sz="4" w:space="0"/>
                    <w:bottom w:val="single" w:color="auto" w:sz="4" w:space="0"/>
                    <w:right w:val="single" w:color="auto" w:sz="4" w:space="0"/>
                  </w:tcBorders>
                  <w:vAlign w:val="center"/>
                </w:tcPr>
                <w:p w14:paraId="19C3B62F">
                  <w:pPr>
                    <w:jc w:val="center"/>
                    <w:rPr>
                      <w:rFonts w:ascii="Times New Roman" w:hAnsi="Times New Roman"/>
                      <w:szCs w:val="21"/>
                    </w:rPr>
                  </w:pPr>
                  <w:r>
                    <w:rPr>
                      <w:rFonts w:ascii="Times New Roman" w:hAnsi="Times New Roman"/>
                      <w:szCs w:val="21"/>
                    </w:rPr>
                    <w:t xml:space="preserve">0.01 </w:t>
                  </w:r>
                </w:p>
              </w:tc>
              <w:tc>
                <w:tcPr>
                  <w:tcW w:w="390" w:type="pct"/>
                  <w:vAlign w:val="center"/>
                </w:tcPr>
                <w:p w14:paraId="0430E5EC">
                  <w:pPr>
                    <w:jc w:val="center"/>
                    <w:rPr>
                      <w:rFonts w:ascii="Times New Roman" w:hAnsi="Times New Roman"/>
                      <w:szCs w:val="21"/>
                    </w:rPr>
                  </w:pPr>
                  <w:r>
                    <w:rPr>
                      <w:rFonts w:ascii="Times New Roman" w:hAnsi="Times New Roman"/>
                      <w:szCs w:val="21"/>
                    </w:rPr>
                    <w:t xml:space="preserve">0.02 </w:t>
                  </w:r>
                </w:p>
              </w:tc>
              <w:tc>
                <w:tcPr>
                  <w:tcW w:w="509" w:type="pct"/>
                  <w:vAlign w:val="center"/>
                </w:tcPr>
                <w:p w14:paraId="62F12EBA">
                  <w:pPr>
                    <w:jc w:val="center"/>
                    <w:rPr>
                      <w:rFonts w:ascii="Times New Roman" w:hAnsi="Times New Roman"/>
                      <w:szCs w:val="21"/>
                    </w:rPr>
                  </w:pPr>
                  <w:r>
                    <w:rPr>
                      <w:rFonts w:ascii="Times New Roman" w:hAnsi="Times New Roman"/>
                      <w:szCs w:val="21"/>
                    </w:rPr>
                    <w:t xml:space="preserve">0.42 </w:t>
                  </w:r>
                </w:p>
              </w:tc>
              <w:tc>
                <w:tcPr>
                  <w:tcW w:w="548" w:type="pct"/>
                  <w:vAlign w:val="center"/>
                </w:tcPr>
                <w:p w14:paraId="599A84EA">
                  <w:pPr>
                    <w:jc w:val="center"/>
                    <w:rPr>
                      <w:rFonts w:ascii="Times New Roman" w:hAnsi="Times New Roman"/>
                      <w:szCs w:val="21"/>
                    </w:rPr>
                  </w:pPr>
                  <w:r>
                    <w:rPr>
                      <w:rFonts w:ascii="Times New Roman" w:hAnsi="Times New Roman"/>
                      <w:szCs w:val="21"/>
                    </w:rPr>
                    <w:t xml:space="preserve">0.44 </w:t>
                  </w:r>
                </w:p>
              </w:tc>
              <w:tc>
                <w:tcPr>
                  <w:tcW w:w="449" w:type="pct"/>
                  <w:vAlign w:val="center"/>
                </w:tcPr>
                <w:p w14:paraId="17E9DBB4">
                  <w:pPr>
                    <w:jc w:val="center"/>
                    <w:rPr>
                      <w:rFonts w:ascii="Times New Roman" w:hAnsi="Times New Roman"/>
                      <w:szCs w:val="21"/>
                    </w:rPr>
                  </w:pPr>
                  <w:r>
                    <w:rPr>
                      <w:rFonts w:ascii="Times New Roman" w:hAnsi="Times New Roman"/>
                      <w:szCs w:val="21"/>
                    </w:rPr>
                    <w:t xml:space="preserve">0.12 </w:t>
                  </w:r>
                </w:p>
              </w:tc>
              <w:tc>
                <w:tcPr>
                  <w:tcW w:w="568" w:type="pct"/>
                  <w:vAlign w:val="center"/>
                </w:tcPr>
                <w:p w14:paraId="019E41F1">
                  <w:pPr>
                    <w:jc w:val="center"/>
                    <w:rPr>
                      <w:rFonts w:ascii="Times New Roman" w:hAnsi="Times New Roman"/>
                      <w:szCs w:val="21"/>
                    </w:rPr>
                  </w:pPr>
                  <w:r>
                    <w:rPr>
                      <w:rFonts w:ascii="Times New Roman" w:hAnsi="Times New Roman"/>
                      <w:szCs w:val="21"/>
                    </w:rPr>
                    <w:t xml:space="preserve">2.34 </w:t>
                  </w:r>
                </w:p>
              </w:tc>
              <w:tc>
                <w:tcPr>
                  <w:tcW w:w="568" w:type="pct"/>
                  <w:vAlign w:val="center"/>
                </w:tcPr>
                <w:p w14:paraId="2F545AD9">
                  <w:pPr>
                    <w:jc w:val="center"/>
                    <w:rPr>
                      <w:rFonts w:ascii="Times New Roman" w:hAnsi="Times New Roman"/>
                      <w:szCs w:val="21"/>
                    </w:rPr>
                  </w:pPr>
                  <w:r>
                    <w:rPr>
                      <w:rFonts w:ascii="Times New Roman" w:hAnsi="Times New Roman"/>
                      <w:szCs w:val="21"/>
                    </w:rPr>
                    <w:t>2.45(监督区)</w:t>
                  </w:r>
                </w:p>
              </w:tc>
            </w:tr>
          </w:tbl>
          <w:p w14:paraId="482942DD">
            <w:pPr>
              <w:pStyle w:val="2"/>
              <w:spacing w:after="0" w:line="360" w:lineRule="exact"/>
              <w:ind w:left="0" w:leftChars="0" w:firstLine="0" w:firstLineChars="0"/>
              <w:jc w:val="left"/>
              <w:rPr>
                <w:b/>
                <w:bCs/>
              </w:rPr>
            </w:pPr>
            <w:r>
              <w:t>4</w:t>
            </w:r>
            <w:r>
              <w:rPr>
                <w:b/>
                <w:bCs/>
              </w:rPr>
              <w:t>、主射方向（桥下地面）计算结果</w:t>
            </w:r>
          </w:p>
          <w:p w14:paraId="71F6E203">
            <w:pPr>
              <w:pStyle w:val="2"/>
              <w:spacing w:after="0" w:line="360" w:lineRule="exact"/>
              <w:ind w:left="0" w:leftChars="0"/>
              <w:jc w:val="left"/>
            </w:pPr>
            <w:r>
              <w:t>X射线探伤机主射方向朝向桥面时，主射方向无防护（辐射工作人员位于非主射方向）。</w:t>
            </w:r>
          </w:p>
          <w:p w14:paraId="2749831B">
            <w:pPr>
              <w:pStyle w:val="80"/>
              <w:jc w:val="center"/>
              <w:rPr>
                <w:rFonts w:cs="Times New Roman"/>
              </w:rPr>
            </w:pPr>
            <w:r>
              <w:rPr>
                <w:rFonts w:cs="Times New Roman"/>
              </w:rPr>
              <w:drawing>
                <wp:inline distT="0" distB="0" distL="0" distR="0">
                  <wp:extent cx="2755900" cy="26289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2756120" cy="2629190"/>
                          </a:xfrm>
                          <a:prstGeom prst="rect">
                            <a:avLst/>
                          </a:prstGeom>
                        </pic:spPr>
                      </pic:pic>
                    </a:graphicData>
                  </a:graphic>
                </wp:inline>
              </w:drawing>
            </w:r>
          </w:p>
          <w:p w14:paraId="4A375995">
            <w:pPr>
              <w:pStyle w:val="80"/>
              <w:ind w:firstLine="422"/>
              <w:jc w:val="center"/>
              <w:rPr>
                <w:rFonts w:eastAsia="黑体" w:cs="Times New Roman"/>
                <w:sz w:val="21"/>
                <w:szCs w:val="21"/>
              </w:rPr>
            </w:pPr>
            <w:r>
              <w:rPr>
                <w:rFonts w:eastAsia="黑体" w:cs="Times New Roman"/>
                <w:sz w:val="21"/>
                <w:szCs w:val="21"/>
              </w:rPr>
              <w:t>图</w:t>
            </w:r>
            <w:r>
              <w:rPr>
                <w:rFonts w:cs="Times New Roman"/>
                <w:sz w:val="21"/>
                <w:szCs w:val="21"/>
              </w:rPr>
              <w:t xml:space="preserve">11-1 </w:t>
            </w:r>
            <w:r>
              <w:rPr>
                <w:rFonts w:eastAsia="黑体" w:cs="Times New Roman"/>
                <w:sz w:val="21"/>
                <w:szCs w:val="21"/>
              </w:rPr>
              <w:t xml:space="preserve">桥面探伤计算示意图 </w:t>
            </w:r>
          </w:p>
          <w:p w14:paraId="48747A80">
            <w:pPr>
              <w:pStyle w:val="80"/>
              <w:ind w:firstLine="422"/>
              <w:jc w:val="center"/>
              <w:rPr>
                <w:rFonts w:cs="Times New Roman"/>
                <w:sz w:val="21"/>
                <w:szCs w:val="21"/>
              </w:rPr>
            </w:pPr>
            <w:r>
              <w:rPr>
                <w:rFonts w:cs="Times New Roman"/>
                <w:bCs w:val="0"/>
                <w:sz w:val="21"/>
                <w:szCs w:val="21"/>
              </w:rPr>
              <w:t>表</w:t>
            </w:r>
            <w:r>
              <w:rPr>
                <w:rFonts w:cs="Times New Roman"/>
                <w:sz w:val="21"/>
                <w:szCs w:val="21"/>
              </w:rPr>
              <w:t xml:space="preserve">11-6 </w:t>
            </w:r>
            <w:r>
              <w:rPr>
                <w:rFonts w:cs="Times New Roman"/>
                <w:bCs w:val="0"/>
                <w:sz w:val="21"/>
                <w:szCs w:val="21"/>
              </w:rPr>
              <w:t>本项目探伤机在桥下不同距离处的剂量率计算表（</w:t>
            </w:r>
            <w:r>
              <w:rPr>
                <w:rFonts w:cs="Times New Roman"/>
                <w:sz w:val="21"/>
                <w:szCs w:val="21"/>
              </w:rPr>
              <w:t>μSv/h</w:t>
            </w:r>
            <w:r>
              <w:rPr>
                <w:rFonts w:cs="Times New Roman"/>
                <w:bCs w:val="0"/>
                <w:sz w:val="21"/>
                <w:szCs w:val="21"/>
              </w:rPr>
              <w:t>）</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814"/>
              <w:gridCol w:w="869"/>
              <w:gridCol w:w="2249"/>
              <w:gridCol w:w="2173"/>
              <w:gridCol w:w="2102"/>
            </w:tblGrid>
            <w:tr w14:paraId="51FE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378C6461">
                  <w:pPr>
                    <w:jc w:val="center"/>
                    <w:rPr>
                      <w:rFonts w:ascii="Times New Roman" w:hAnsi="Times New Roman"/>
                      <w:b/>
                      <w:szCs w:val="21"/>
                    </w:rPr>
                  </w:pPr>
                  <w:r>
                    <w:rPr>
                      <w:rFonts w:ascii="Times New Roman" w:hAnsi="Times New Roman"/>
                      <w:b/>
                      <w:szCs w:val="21"/>
                    </w:rPr>
                    <w:t>R1</w:t>
                  </w:r>
                </w:p>
              </w:tc>
              <w:tc>
                <w:tcPr>
                  <w:tcW w:w="814" w:type="dxa"/>
                  <w:vAlign w:val="center"/>
                </w:tcPr>
                <w:p w14:paraId="1FF3BBF3">
                  <w:pPr>
                    <w:adjustRightInd w:val="0"/>
                    <w:snapToGrid w:val="0"/>
                    <w:jc w:val="center"/>
                    <w:rPr>
                      <w:rFonts w:ascii="Times New Roman" w:hAnsi="Times New Roman"/>
                      <w:b/>
                      <w:szCs w:val="21"/>
                    </w:rPr>
                  </w:pPr>
                  <w:r>
                    <w:rPr>
                      <w:rFonts w:ascii="Times New Roman" w:hAnsi="Times New Roman"/>
                      <w:b/>
                      <w:szCs w:val="21"/>
                    </w:rPr>
                    <w:t>R3</w:t>
                  </w:r>
                </w:p>
              </w:tc>
              <w:tc>
                <w:tcPr>
                  <w:tcW w:w="869" w:type="dxa"/>
                  <w:vAlign w:val="center"/>
                </w:tcPr>
                <w:p w14:paraId="647E2388">
                  <w:pPr>
                    <w:adjustRightInd w:val="0"/>
                    <w:snapToGrid w:val="0"/>
                    <w:jc w:val="center"/>
                    <w:rPr>
                      <w:rFonts w:ascii="Times New Roman" w:hAnsi="Times New Roman"/>
                      <w:b/>
                      <w:szCs w:val="21"/>
                    </w:rPr>
                  </w:pPr>
                  <w:r>
                    <w:rPr>
                      <w:rFonts w:ascii="Times New Roman" w:hAnsi="Times New Roman"/>
                      <w:b/>
                      <w:szCs w:val="21"/>
                    </w:rPr>
                    <w:t>H</w:t>
                  </w:r>
                </w:p>
              </w:tc>
              <w:tc>
                <w:tcPr>
                  <w:tcW w:w="2249" w:type="dxa"/>
                  <w:tcBorders>
                    <w:top w:val="single" w:color="auto" w:sz="4" w:space="0"/>
                    <w:left w:val="single" w:color="auto" w:sz="4" w:space="0"/>
                    <w:bottom w:val="single" w:color="auto" w:sz="4" w:space="0"/>
                    <w:right w:val="single" w:color="auto" w:sz="4" w:space="0"/>
                  </w:tcBorders>
                </w:tcPr>
                <w:p w14:paraId="5625F278">
                  <w:pPr>
                    <w:adjustRightInd w:val="0"/>
                    <w:snapToGrid w:val="0"/>
                    <w:jc w:val="center"/>
                    <w:rPr>
                      <w:rFonts w:ascii="Times New Roman" w:hAnsi="Times New Roman"/>
                      <w:b/>
                      <w:szCs w:val="21"/>
                    </w:rPr>
                  </w:pPr>
                  <w:r>
                    <w:rPr>
                      <w:rFonts w:ascii="Times New Roman" w:hAnsi="Times New Roman"/>
                      <w:b/>
                      <w:szCs w:val="21"/>
                    </w:rPr>
                    <w:t>XT1605</w:t>
                  </w:r>
                  <w:r>
                    <w:rPr>
                      <w:rFonts w:ascii="Times New Roman" w:hAnsi="Times New Roman"/>
                      <w:b/>
                      <w:bCs/>
                      <w:szCs w:val="21"/>
                    </w:rPr>
                    <w:t>定向</w:t>
                  </w:r>
                  <w:r>
                    <w:rPr>
                      <w:rFonts w:ascii="Times New Roman" w:hAnsi="Times New Roman"/>
                      <w:b/>
                      <w:szCs w:val="21"/>
                    </w:rPr>
                    <w:t>X</w:t>
                  </w:r>
                  <w:r>
                    <w:rPr>
                      <w:rFonts w:ascii="Times New Roman" w:hAnsi="Times New Roman"/>
                      <w:b/>
                      <w:bCs/>
                      <w:szCs w:val="21"/>
                    </w:rPr>
                    <w:t>射线探伤机剂量率</w:t>
                  </w:r>
                  <w:r>
                    <w:rPr>
                      <w:rFonts w:ascii="Times New Roman" w:hAnsi="Times New Roman"/>
                      <w:b/>
                      <w:szCs w:val="21"/>
                    </w:rPr>
                    <w:t>μSv/h</w:t>
                  </w:r>
                </w:p>
              </w:tc>
              <w:tc>
                <w:tcPr>
                  <w:tcW w:w="2173" w:type="dxa"/>
                  <w:vAlign w:val="center"/>
                </w:tcPr>
                <w:p w14:paraId="08D3CC2D">
                  <w:pPr>
                    <w:adjustRightInd w:val="0"/>
                    <w:snapToGrid w:val="0"/>
                    <w:jc w:val="center"/>
                    <w:rPr>
                      <w:rFonts w:ascii="Times New Roman" w:hAnsi="Times New Roman"/>
                      <w:b/>
                      <w:szCs w:val="21"/>
                    </w:rPr>
                  </w:pPr>
                  <w:r>
                    <w:rPr>
                      <w:rFonts w:ascii="Times New Roman" w:hAnsi="Times New Roman"/>
                      <w:b/>
                      <w:szCs w:val="21"/>
                    </w:rPr>
                    <w:t>XT2505</w:t>
                  </w:r>
                  <w:r>
                    <w:rPr>
                      <w:rFonts w:ascii="Times New Roman" w:hAnsi="Times New Roman"/>
                      <w:b/>
                      <w:bCs/>
                      <w:szCs w:val="21"/>
                    </w:rPr>
                    <w:t>定向</w:t>
                  </w:r>
                  <w:r>
                    <w:rPr>
                      <w:rFonts w:ascii="Times New Roman" w:hAnsi="Times New Roman"/>
                      <w:b/>
                      <w:szCs w:val="21"/>
                    </w:rPr>
                    <w:t>X</w:t>
                  </w:r>
                  <w:r>
                    <w:rPr>
                      <w:rFonts w:ascii="Times New Roman" w:hAnsi="Times New Roman"/>
                      <w:b/>
                      <w:bCs/>
                      <w:szCs w:val="21"/>
                    </w:rPr>
                    <w:t>射线探伤机剂量率</w:t>
                  </w:r>
                  <w:r>
                    <w:rPr>
                      <w:rFonts w:ascii="Times New Roman" w:hAnsi="Times New Roman"/>
                      <w:b/>
                      <w:szCs w:val="21"/>
                    </w:rPr>
                    <w:t>μSv/h</w:t>
                  </w:r>
                </w:p>
              </w:tc>
              <w:tc>
                <w:tcPr>
                  <w:tcW w:w="2102" w:type="dxa"/>
                  <w:vAlign w:val="center"/>
                </w:tcPr>
                <w:p w14:paraId="404C8103">
                  <w:pPr>
                    <w:adjustRightInd w:val="0"/>
                    <w:snapToGrid w:val="0"/>
                    <w:jc w:val="center"/>
                    <w:rPr>
                      <w:rFonts w:ascii="Times New Roman" w:hAnsi="Times New Roman"/>
                      <w:b/>
                      <w:szCs w:val="21"/>
                    </w:rPr>
                  </w:pPr>
                  <w:r>
                    <w:rPr>
                      <w:rFonts w:ascii="Times New Roman" w:hAnsi="Times New Roman"/>
                      <w:b/>
                      <w:szCs w:val="21"/>
                    </w:rPr>
                    <w:t>XT3005</w:t>
                  </w:r>
                  <w:r>
                    <w:rPr>
                      <w:rFonts w:ascii="Times New Roman" w:hAnsi="Times New Roman"/>
                      <w:b/>
                      <w:bCs/>
                      <w:szCs w:val="21"/>
                    </w:rPr>
                    <w:t>定向</w:t>
                  </w:r>
                  <w:r>
                    <w:rPr>
                      <w:rFonts w:ascii="Times New Roman" w:hAnsi="Times New Roman"/>
                      <w:b/>
                      <w:szCs w:val="21"/>
                    </w:rPr>
                    <w:t>X</w:t>
                  </w:r>
                  <w:r>
                    <w:rPr>
                      <w:rFonts w:ascii="Times New Roman" w:hAnsi="Times New Roman"/>
                      <w:b/>
                      <w:bCs/>
                      <w:szCs w:val="21"/>
                    </w:rPr>
                    <w:t>射线探伤机剂量率</w:t>
                  </w:r>
                  <w:r>
                    <w:rPr>
                      <w:rFonts w:ascii="Times New Roman" w:hAnsi="Times New Roman"/>
                      <w:b/>
                      <w:szCs w:val="21"/>
                    </w:rPr>
                    <w:t>μSv/h</w:t>
                  </w:r>
                </w:p>
              </w:tc>
            </w:tr>
            <w:tr w14:paraId="0B27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D08F33E">
                  <w:pPr>
                    <w:widowControl/>
                    <w:jc w:val="center"/>
                    <w:rPr>
                      <w:rFonts w:ascii="Times New Roman" w:hAnsi="Times New Roman"/>
                      <w:kern w:val="0"/>
                      <w:szCs w:val="21"/>
                    </w:rPr>
                  </w:pPr>
                  <w:r>
                    <w:rPr>
                      <w:rFonts w:ascii="Times New Roman" w:hAnsi="Times New Roman"/>
                      <w:szCs w:val="21"/>
                    </w:rPr>
                    <w:t>4</w:t>
                  </w:r>
                </w:p>
              </w:tc>
              <w:tc>
                <w:tcPr>
                  <w:tcW w:w="814" w:type="dxa"/>
                  <w:vAlign w:val="center"/>
                </w:tcPr>
                <w:p w14:paraId="7B68460B">
                  <w:pPr>
                    <w:widowControl/>
                    <w:jc w:val="center"/>
                    <w:rPr>
                      <w:rFonts w:ascii="Times New Roman" w:hAnsi="Times New Roman"/>
                      <w:kern w:val="0"/>
                      <w:szCs w:val="21"/>
                    </w:rPr>
                  </w:pPr>
                  <w:r>
                    <w:rPr>
                      <w:rFonts w:ascii="Times New Roman" w:hAnsi="Times New Roman"/>
                      <w:szCs w:val="21"/>
                    </w:rPr>
                    <w:t xml:space="preserve">1.37 </w:t>
                  </w:r>
                </w:p>
              </w:tc>
              <w:tc>
                <w:tcPr>
                  <w:tcW w:w="869" w:type="dxa"/>
                  <w:vAlign w:val="center"/>
                </w:tcPr>
                <w:p w14:paraId="6A5420DC">
                  <w:pPr>
                    <w:jc w:val="center"/>
                    <w:rPr>
                      <w:rFonts w:ascii="Times New Roman" w:hAnsi="Times New Roman"/>
                      <w:szCs w:val="21"/>
                    </w:rPr>
                  </w:pPr>
                  <w:r>
                    <w:rPr>
                      <w:rFonts w:ascii="Times New Roman" w:hAnsi="Times New Roman"/>
                      <w:szCs w:val="21"/>
                    </w:rPr>
                    <w:t xml:space="preserve">3.76 </w:t>
                  </w:r>
                </w:p>
              </w:tc>
              <w:tc>
                <w:tcPr>
                  <w:tcW w:w="2249" w:type="dxa"/>
                  <w:tcBorders>
                    <w:top w:val="single" w:color="auto" w:sz="4" w:space="0"/>
                    <w:left w:val="single" w:color="auto" w:sz="4" w:space="0"/>
                    <w:bottom w:val="single" w:color="auto" w:sz="4" w:space="0"/>
                    <w:right w:val="single" w:color="auto" w:sz="4" w:space="0"/>
                  </w:tcBorders>
                  <w:vAlign w:val="center"/>
                </w:tcPr>
                <w:p w14:paraId="387D8458">
                  <w:pPr>
                    <w:widowControl/>
                    <w:jc w:val="center"/>
                    <w:rPr>
                      <w:rFonts w:ascii="Times New Roman" w:hAnsi="Times New Roman"/>
                      <w:kern w:val="0"/>
                      <w:szCs w:val="21"/>
                    </w:rPr>
                  </w:pPr>
                  <w:r>
                    <w:rPr>
                      <w:rFonts w:ascii="Times New Roman" w:hAnsi="Times New Roman"/>
                      <w:szCs w:val="21"/>
                    </w:rPr>
                    <w:t xml:space="preserve">103895.67 </w:t>
                  </w:r>
                </w:p>
              </w:tc>
              <w:tc>
                <w:tcPr>
                  <w:tcW w:w="2173" w:type="dxa"/>
                  <w:vAlign w:val="center"/>
                </w:tcPr>
                <w:p w14:paraId="424AF770">
                  <w:pPr>
                    <w:widowControl/>
                    <w:jc w:val="center"/>
                    <w:rPr>
                      <w:rFonts w:ascii="Times New Roman" w:hAnsi="Times New Roman"/>
                      <w:kern w:val="0"/>
                      <w:szCs w:val="21"/>
                    </w:rPr>
                  </w:pPr>
                  <w:r>
                    <w:rPr>
                      <w:rFonts w:ascii="Times New Roman" w:hAnsi="Times New Roman"/>
                      <w:szCs w:val="21"/>
                    </w:rPr>
                    <w:t xml:space="preserve">139848.44 </w:t>
                  </w:r>
                </w:p>
              </w:tc>
              <w:tc>
                <w:tcPr>
                  <w:tcW w:w="2102" w:type="dxa"/>
                  <w:vAlign w:val="center"/>
                </w:tcPr>
                <w:p w14:paraId="51036ADD">
                  <w:pPr>
                    <w:widowControl/>
                    <w:jc w:val="center"/>
                    <w:rPr>
                      <w:rFonts w:ascii="Times New Roman" w:hAnsi="Times New Roman"/>
                      <w:kern w:val="0"/>
                      <w:szCs w:val="21"/>
                    </w:rPr>
                  </w:pPr>
                  <w:r>
                    <w:rPr>
                      <w:rFonts w:ascii="Times New Roman" w:hAnsi="Times New Roman"/>
                      <w:szCs w:val="21"/>
                    </w:rPr>
                    <w:t xml:space="preserve">116635.77 </w:t>
                  </w:r>
                </w:p>
              </w:tc>
            </w:tr>
            <w:tr w14:paraId="0599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05344769">
                  <w:pPr>
                    <w:jc w:val="center"/>
                    <w:rPr>
                      <w:rFonts w:ascii="Times New Roman" w:hAnsi="Times New Roman"/>
                      <w:szCs w:val="21"/>
                    </w:rPr>
                  </w:pPr>
                  <w:r>
                    <w:rPr>
                      <w:rFonts w:ascii="Times New Roman" w:hAnsi="Times New Roman"/>
                      <w:szCs w:val="21"/>
                    </w:rPr>
                    <w:t>5</w:t>
                  </w:r>
                </w:p>
              </w:tc>
              <w:tc>
                <w:tcPr>
                  <w:tcW w:w="814" w:type="dxa"/>
                  <w:vAlign w:val="center"/>
                </w:tcPr>
                <w:p w14:paraId="41A44B54">
                  <w:pPr>
                    <w:jc w:val="center"/>
                    <w:rPr>
                      <w:rFonts w:ascii="Times New Roman" w:hAnsi="Times New Roman"/>
                      <w:szCs w:val="21"/>
                    </w:rPr>
                  </w:pPr>
                  <w:r>
                    <w:rPr>
                      <w:rFonts w:ascii="Times New Roman" w:hAnsi="Times New Roman"/>
                      <w:szCs w:val="21"/>
                    </w:rPr>
                    <w:t xml:space="preserve">1.71 </w:t>
                  </w:r>
                </w:p>
              </w:tc>
              <w:tc>
                <w:tcPr>
                  <w:tcW w:w="869" w:type="dxa"/>
                  <w:vAlign w:val="center"/>
                </w:tcPr>
                <w:p w14:paraId="56EABA98">
                  <w:pPr>
                    <w:jc w:val="center"/>
                    <w:rPr>
                      <w:rFonts w:ascii="Times New Roman" w:hAnsi="Times New Roman"/>
                      <w:szCs w:val="21"/>
                    </w:rPr>
                  </w:pPr>
                  <w:r>
                    <w:rPr>
                      <w:rFonts w:ascii="Times New Roman" w:hAnsi="Times New Roman"/>
                      <w:szCs w:val="21"/>
                    </w:rPr>
                    <w:t xml:space="preserve">4.70 </w:t>
                  </w:r>
                </w:p>
              </w:tc>
              <w:tc>
                <w:tcPr>
                  <w:tcW w:w="2249" w:type="dxa"/>
                  <w:tcBorders>
                    <w:top w:val="single" w:color="auto" w:sz="4" w:space="0"/>
                    <w:left w:val="single" w:color="auto" w:sz="4" w:space="0"/>
                    <w:bottom w:val="single" w:color="auto" w:sz="4" w:space="0"/>
                    <w:right w:val="single" w:color="auto" w:sz="4" w:space="0"/>
                  </w:tcBorders>
                  <w:vAlign w:val="center"/>
                </w:tcPr>
                <w:p w14:paraId="06053456">
                  <w:pPr>
                    <w:jc w:val="center"/>
                    <w:rPr>
                      <w:rFonts w:ascii="Times New Roman" w:hAnsi="Times New Roman"/>
                      <w:szCs w:val="21"/>
                    </w:rPr>
                  </w:pPr>
                  <w:r>
                    <w:rPr>
                      <w:rFonts w:ascii="Times New Roman" w:hAnsi="Times New Roman"/>
                      <w:szCs w:val="21"/>
                    </w:rPr>
                    <w:t xml:space="preserve">66493.23 </w:t>
                  </w:r>
                </w:p>
              </w:tc>
              <w:tc>
                <w:tcPr>
                  <w:tcW w:w="2173" w:type="dxa"/>
                  <w:vAlign w:val="center"/>
                </w:tcPr>
                <w:p w14:paraId="10B575ED">
                  <w:pPr>
                    <w:jc w:val="center"/>
                    <w:rPr>
                      <w:rFonts w:ascii="Times New Roman" w:hAnsi="Times New Roman"/>
                      <w:szCs w:val="21"/>
                    </w:rPr>
                  </w:pPr>
                  <w:r>
                    <w:rPr>
                      <w:rFonts w:ascii="Times New Roman" w:hAnsi="Times New Roman"/>
                      <w:szCs w:val="21"/>
                    </w:rPr>
                    <w:t xml:space="preserve">89503.00 </w:t>
                  </w:r>
                </w:p>
              </w:tc>
              <w:tc>
                <w:tcPr>
                  <w:tcW w:w="2102" w:type="dxa"/>
                  <w:vAlign w:val="center"/>
                </w:tcPr>
                <w:p w14:paraId="1C79BECC">
                  <w:pPr>
                    <w:jc w:val="center"/>
                    <w:rPr>
                      <w:rFonts w:ascii="Times New Roman" w:hAnsi="Times New Roman"/>
                      <w:szCs w:val="21"/>
                    </w:rPr>
                  </w:pPr>
                  <w:r>
                    <w:rPr>
                      <w:rFonts w:ascii="Times New Roman" w:hAnsi="Times New Roman"/>
                      <w:szCs w:val="21"/>
                    </w:rPr>
                    <w:t xml:space="preserve">74646.89 </w:t>
                  </w:r>
                </w:p>
              </w:tc>
            </w:tr>
            <w:tr w14:paraId="688D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42C5437">
                  <w:pPr>
                    <w:jc w:val="center"/>
                    <w:rPr>
                      <w:rFonts w:ascii="Times New Roman" w:hAnsi="Times New Roman"/>
                      <w:szCs w:val="21"/>
                    </w:rPr>
                  </w:pPr>
                  <w:r>
                    <w:rPr>
                      <w:rFonts w:ascii="Times New Roman" w:hAnsi="Times New Roman"/>
                      <w:szCs w:val="21"/>
                    </w:rPr>
                    <w:t>6</w:t>
                  </w:r>
                </w:p>
              </w:tc>
              <w:tc>
                <w:tcPr>
                  <w:tcW w:w="814" w:type="dxa"/>
                  <w:vAlign w:val="center"/>
                </w:tcPr>
                <w:p w14:paraId="13A7AF4E">
                  <w:pPr>
                    <w:jc w:val="center"/>
                    <w:rPr>
                      <w:rFonts w:ascii="Times New Roman" w:hAnsi="Times New Roman"/>
                      <w:szCs w:val="21"/>
                    </w:rPr>
                  </w:pPr>
                  <w:r>
                    <w:rPr>
                      <w:rFonts w:ascii="Times New Roman" w:hAnsi="Times New Roman"/>
                      <w:szCs w:val="21"/>
                    </w:rPr>
                    <w:t xml:space="preserve">2.05 </w:t>
                  </w:r>
                </w:p>
              </w:tc>
              <w:tc>
                <w:tcPr>
                  <w:tcW w:w="869" w:type="dxa"/>
                  <w:vAlign w:val="center"/>
                </w:tcPr>
                <w:p w14:paraId="22FCF757">
                  <w:pPr>
                    <w:jc w:val="center"/>
                    <w:rPr>
                      <w:rFonts w:ascii="Times New Roman" w:hAnsi="Times New Roman"/>
                      <w:szCs w:val="21"/>
                    </w:rPr>
                  </w:pPr>
                  <w:r>
                    <w:rPr>
                      <w:rFonts w:ascii="Times New Roman" w:hAnsi="Times New Roman"/>
                      <w:szCs w:val="21"/>
                    </w:rPr>
                    <w:t xml:space="preserve">5.64 </w:t>
                  </w:r>
                </w:p>
              </w:tc>
              <w:tc>
                <w:tcPr>
                  <w:tcW w:w="2249" w:type="dxa"/>
                  <w:tcBorders>
                    <w:top w:val="single" w:color="auto" w:sz="4" w:space="0"/>
                    <w:left w:val="single" w:color="auto" w:sz="4" w:space="0"/>
                    <w:bottom w:val="single" w:color="auto" w:sz="4" w:space="0"/>
                    <w:right w:val="single" w:color="auto" w:sz="4" w:space="0"/>
                  </w:tcBorders>
                  <w:vAlign w:val="center"/>
                </w:tcPr>
                <w:p w14:paraId="5DA97A54">
                  <w:pPr>
                    <w:jc w:val="center"/>
                    <w:rPr>
                      <w:rFonts w:ascii="Times New Roman" w:hAnsi="Times New Roman"/>
                      <w:szCs w:val="21"/>
                    </w:rPr>
                  </w:pPr>
                  <w:r>
                    <w:rPr>
                      <w:rFonts w:ascii="Times New Roman" w:hAnsi="Times New Roman"/>
                      <w:szCs w:val="21"/>
                    </w:rPr>
                    <w:t xml:space="preserve">46175.85 </w:t>
                  </w:r>
                </w:p>
              </w:tc>
              <w:tc>
                <w:tcPr>
                  <w:tcW w:w="2173" w:type="dxa"/>
                  <w:vAlign w:val="center"/>
                </w:tcPr>
                <w:p w14:paraId="49C6CB6C">
                  <w:pPr>
                    <w:jc w:val="center"/>
                    <w:rPr>
                      <w:rFonts w:ascii="Times New Roman" w:hAnsi="Times New Roman"/>
                      <w:szCs w:val="21"/>
                    </w:rPr>
                  </w:pPr>
                  <w:r>
                    <w:rPr>
                      <w:rFonts w:ascii="Times New Roman" w:hAnsi="Times New Roman"/>
                      <w:szCs w:val="21"/>
                    </w:rPr>
                    <w:t xml:space="preserve">62154.86 </w:t>
                  </w:r>
                </w:p>
              </w:tc>
              <w:tc>
                <w:tcPr>
                  <w:tcW w:w="2102" w:type="dxa"/>
                  <w:vAlign w:val="center"/>
                </w:tcPr>
                <w:p w14:paraId="6A76BF14">
                  <w:pPr>
                    <w:jc w:val="center"/>
                    <w:rPr>
                      <w:rFonts w:ascii="Times New Roman" w:hAnsi="Times New Roman"/>
                      <w:szCs w:val="21"/>
                    </w:rPr>
                  </w:pPr>
                  <w:r>
                    <w:rPr>
                      <w:rFonts w:ascii="Times New Roman" w:hAnsi="Times New Roman"/>
                      <w:szCs w:val="21"/>
                    </w:rPr>
                    <w:t xml:space="preserve">51838.12 </w:t>
                  </w:r>
                </w:p>
              </w:tc>
            </w:tr>
            <w:tr w14:paraId="0EEA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2F907EA">
                  <w:pPr>
                    <w:jc w:val="center"/>
                    <w:rPr>
                      <w:rFonts w:ascii="Times New Roman" w:hAnsi="Times New Roman"/>
                      <w:szCs w:val="21"/>
                    </w:rPr>
                  </w:pPr>
                  <w:r>
                    <w:rPr>
                      <w:rFonts w:ascii="Times New Roman" w:hAnsi="Times New Roman"/>
                      <w:szCs w:val="21"/>
                    </w:rPr>
                    <w:t>7</w:t>
                  </w:r>
                </w:p>
              </w:tc>
              <w:tc>
                <w:tcPr>
                  <w:tcW w:w="814" w:type="dxa"/>
                  <w:vAlign w:val="center"/>
                </w:tcPr>
                <w:p w14:paraId="76B163A3">
                  <w:pPr>
                    <w:jc w:val="center"/>
                    <w:rPr>
                      <w:rFonts w:ascii="Times New Roman" w:hAnsi="Times New Roman"/>
                      <w:szCs w:val="21"/>
                    </w:rPr>
                  </w:pPr>
                  <w:r>
                    <w:rPr>
                      <w:rFonts w:ascii="Times New Roman" w:hAnsi="Times New Roman"/>
                      <w:szCs w:val="21"/>
                    </w:rPr>
                    <w:t xml:space="preserve">2.39 </w:t>
                  </w:r>
                </w:p>
              </w:tc>
              <w:tc>
                <w:tcPr>
                  <w:tcW w:w="869" w:type="dxa"/>
                  <w:vAlign w:val="center"/>
                </w:tcPr>
                <w:p w14:paraId="0E4856EF">
                  <w:pPr>
                    <w:jc w:val="center"/>
                    <w:rPr>
                      <w:rFonts w:ascii="Times New Roman" w:hAnsi="Times New Roman"/>
                      <w:szCs w:val="21"/>
                    </w:rPr>
                  </w:pPr>
                  <w:r>
                    <w:rPr>
                      <w:rFonts w:ascii="Times New Roman" w:hAnsi="Times New Roman"/>
                      <w:szCs w:val="21"/>
                    </w:rPr>
                    <w:t xml:space="preserve">6.58 </w:t>
                  </w:r>
                </w:p>
              </w:tc>
              <w:tc>
                <w:tcPr>
                  <w:tcW w:w="2249" w:type="dxa"/>
                  <w:tcBorders>
                    <w:top w:val="single" w:color="auto" w:sz="4" w:space="0"/>
                    <w:left w:val="single" w:color="auto" w:sz="4" w:space="0"/>
                    <w:bottom w:val="single" w:color="auto" w:sz="4" w:space="0"/>
                    <w:right w:val="single" w:color="auto" w:sz="4" w:space="0"/>
                  </w:tcBorders>
                  <w:vAlign w:val="center"/>
                </w:tcPr>
                <w:p w14:paraId="083BC5E6">
                  <w:pPr>
                    <w:jc w:val="center"/>
                    <w:rPr>
                      <w:rFonts w:ascii="Times New Roman" w:hAnsi="Times New Roman"/>
                      <w:szCs w:val="21"/>
                    </w:rPr>
                  </w:pPr>
                  <w:r>
                    <w:rPr>
                      <w:rFonts w:ascii="Times New Roman" w:hAnsi="Times New Roman"/>
                      <w:szCs w:val="21"/>
                    </w:rPr>
                    <w:t xml:space="preserve">33925.12 </w:t>
                  </w:r>
                </w:p>
              </w:tc>
              <w:tc>
                <w:tcPr>
                  <w:tcW w:w="2173" w:type="dxa"/>
                  <w:vAlign w:val="center"/>
                </w:tcPr>
                <w:p w14:paraId="7823CF6F">
                  <w:pPr>
                    <w:jc w:val="center"/>
                    <w:rPr>
                      <w:rFonts w:ascii="Times New Roman" w:hAnsi="Times New Roman"/>
                      <w:szCs w:val="21"/>
                    </w:rPr>
                  </w:pPr>
                  <w:r>
                    <w:rPr>
                      <w:rFonts w:ascii="Times New Roman" w:hAnsi="Times New Roman"/>
                      <w:szCs w:val="21"/>
                    </w:rPr>
                    <w:t xml:space="preserve">45664.80 </w:t>
                  </w:r>
                </w:p>
              </w:tc>
              <w:tc>
                <w:tcPr>
                  <w:tcW w:w="2102" w:type="dxa"/>
                  <w:vAlign w:val="center"/>
                </w:tcPr>
                <w:p w14:paraId="10D9CF16">
                  <w:pPr>
                    <w:jc w:val="center"/>
                    <w:rPr>
                      <w:rFonts w:ascii="Times New Roman" w:hAnsi="Times New Roman"/>
                      <w:szCs w:val="21"/>
                    </w:rPr>
                  </w:pPr>
                  <w:r>
                    <w:rPr>
                      <w:rFonts w:ascii="Times New Roman" w:hAnsi="Times New Roman"/>
                      <w:szCs w:val="21"/>
                    </w:rPr>
                    <w:t xml:space="preserve">38085.15 </w:t>
                  </w:r>
                </w:p>
              </w:tc>
            </w:tr>
            <w:tr w14:paraId="78D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4A962C25">
                  <w:pPr>
                    <w:jc w:val="center"/>
                    <w:rPr>
                      <w:rFonts w:ascii="Times New Roman" w:hAnsi="Times New Roman"/>
                      <w:szCs w:val="21"/>
                    </w:rPr>
                  </w:pPr>
                  <w:r>
                    <w:rPr>
                      <w:rFonts w:ascii="Times New Roman" w:hAnsi="Times New Roman"/>
                      <w:szCs w:val="21"/>
                    </w:rPr>
                    <w:t>8</w:t>
                  </w:r>
                </w:p>
              </w:tc>
              <w:tc>
                <w:tcPr>
                  <w:tcW w:w="814" w:type="dxa"/>
                  <w:vAlign w:val="center"/>
                </w:tcPr>
                <w:p w14:paraId="7E2857B0">
                  <w:pPr>
                    <w:jc w:val="center"/>
                    <w:rPr>
                      <w:rFonts w:ascii="Times New Roman" w:hAnsi="Times New Roman"/>
                      <w:szCs w:val="21"/>
                    </w:rPr>
                  </w:pPr>
                  <w:r>
                    <w:rPr>
                      <w:rFonts w:ascii="Times New Roman" w:hAnsi="Times New Roman"/>
                      <w:szCs w:val="21"/>
                    </w:rPr>
                    <w:t xml:space="preserve">2.74 </w:t>
                  </w:r>
                </w:p>
              </w:tc>
              <w:tc>
                <w:tcPr>
                  <w:tcW w:w="869" w:type="dxa"/>
                  <w:vAlign w:val="center"/>
                </w:tcPr>
                <w:p w14:paraId="6CB8E961">
                  <w:pPr>
                    <w:jc w:val="center"/>
                    <w:rPr>
                      <w:rFonts w:ascii="Times New Roman" w:hAnsi="Times New Roman"/>
                      <w:szCs w:val="21"/>
                    </w:rPr>
                  </w:pPr>
                  <w:r>
                    <w:rPr>
                      <w:rFonts w:ascii="Times New Roman" w:hAnsi="Times New Roman"/>
                      <w:szCs w:val="21"/>
                    </w:rPr>
                    <w:t xml:space="preserve">7.52 </w:t>
                  </w:r>
                </w:p>
              </w:tc>
              <w:tc>
                <w:tcPr>
                  <w:tcW w:w="2249" w:type="dxa"/>
                  <w:tcBorders>
                    <w:top w:val="single" w:color="auto" w:sz="4" w:space="0"/>
                    <w:left w:val="single" w:color="auto" w:sz="4" w:space="0"/>
                    <w:bottom w:val="single" w:color="auto" w:sz="4" w:space="0"/>
                    <w:right w:val="single" w:color="auto" w:sz="4" w:space="0"/>
                  </w:tcBorders>
                  <w:vAlign w:val="center"/>
                </w:tcPr>
                <w:p w14:paraId="0CDE248E">
                  <w:pPr>
                    <w:jc w:val="center"/>
                    <w:rPr>
                      <w:rFonts w:ascii="Times New Roman" w:hAnsi="Times New Roman"/>
                      <w:szCs w:val="21"/>
                    </w:rPr>
                  </w:pPr>
                  <w:r>
                    <w:rPr>
                      <w:rFonts w:ascii="Times New Roman" w:hAnsi="Times New Roman"/>
                      <w:szCs w:val="21"/>
                    </w:rPr>
                    <w:t xml:space="preserve">25973.92 </w:t>
                  </w:r>
                </w:p>
              </w:tc>
              <w:tc>
                <w:tcPr>
                  <w:tcW w:w="2173" w:type="dxa"/>
                  <w:vAlign w:val="center"/>
                </w:tcPr>
                <w:p w14:paraId="412D07DE">
                  <w:pPr>
                    <w:jc w:val="center"/>
                    <w:rPr>
                      <w:rFonts w:ascii="Times New Roman" w:hAnsi="Times New Roman"/>
                      <w:szCs w:val="21"/>
                    </w:rPr>
                  </w:pPr>
                  <w:r>
                    <w:rPr>
                      <w:rFonts w:ascii="Times New Roman" w:hAnsi="Times New Roman"/>
                      <w:szCs w:val="21"/>
                    </w:rPr>
                    <w:t xml:space="preserve">34962.11 </w:t>
                  </w:r>
                </w:p>
              </w:tc>
              <w:tc>
                <w:tcPr>
                  <w:tcW w:w="2102" w:type="dxa"/>
                  <w:vAlign w:val="center"/>
                </w:tcPr>
                <w:p w14:paraId="7793B6E6">
                  <w:pPr>
                    <w:jc w:val="center"/>
                    <w:rPr>
                      <w:rFonts w:ascii="Times New Roman" w:hAnsi="Times New Roman"/>
                      <w:szCs w:val="21"/>
                    </w:rPr>
                  </w:pPr>
                  <w:r>
                    <w:rPr>
                      <w:rFonts w:ascii="Times New Roman" w:hAnsi="Times New Roman"/>
                      <w:szCs w:val="21"/>
                    </w:rPr>
                    <w:t xml:space="preserve">29158.94 </w:t>
                  </w:r>
                </w:p>
              </w:tc>
            </w:tr>
            <w:tr w14:paraId="14CE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3D64F386">
                  <w:pPr>
                    <w:jc w:val="center"/>
                    <w:rPr>
                      <w:rFonts w:ascii="Times New Roman" w:hAnsi="Times New Roman"/>
                      <w:szCs w:val="21"/>
                    </w:rPr>
                  </w:pPr>
                  <w:r>
                    <w:rPr>
                      <w:rFonts w:ascii="Times New Roman" w:hAnsi="Times New Roman"/>
                      <w:szCs w:val="21"/>
                    </w:rPr>
                    <w:t>10</w:t>
                  </w:r>
                </w:p>
              </w:tc>
              <w:tc>
                <w:tcPr>
                  <w:tcW w:w="814" w:type="dxa"/>
                  <w:vAlign w:val="center"/>
                </w:tcPr>
                <w:p w14:paraId="64DF2748">
                  <w:pPr>
                    <w:jc w:val="center"/>
                    <w:rPr>
                      <w:rFonts w:ascii="Times New Roman" w:hAnsi="Times New Roman"/>
                      <w:szCs w:val="21"/>
                    </w:rPr>
                  </w:pPr>
                  <w:r>
                    <w:rPr>
                      <w:rFonts w:ascii="Times New Roman" w:hAnsi="Times New Roman"/>
                      <w:szCs w:val="21"/>
                    </w:rPr>
                    <w:t xml:space="preserve">3.42 </w:t>
                  </w:r>
                </w:p>
              </w:tc>
              <w:tc>
                <w:tcPr>
                  <w:tcW w:w="869" w:type="dxa"/>
                  <w:vAlign w:val="center"/>
                </w:tcPr>
                <w:p w14:paraId="5FF2D98F">
                  <w:pPr>
                    <w:jc w:val="center"/>
                    <w:rPr>
                      <w:rFonts w:ascii="Times New Roman" w:hAnsi="Times New Roman"/>
                      <w:szCs w:val="21"/>
                    </w:rPr>
                  </w:pPr>
                  <w:r>
                    <w:rPr>
                      <w:rFonts w:ascii="Times New Roman" w:hAnsi="Times New Roman"/>
                      <w:szCs w:val="21"/>
                    </w:rPr>
                    <w:t xml:space="preserve">9.40 </w:t>
                  </w:r>
                </w:p>
              </w:tc>
              <w:tc>
                <w:tcPr>
                  <w:tcW w:w="2249" w:type="dxa"/>
                  <w:tcBorders>
                    <w:top w:val="single" w:color="auto" w:sz="4" w:space="0"/>
                    <w:left w:val="single" w:color="auto" w:sz="4" w:space="0"/>
                    <w:bottom w:val="single" w:color="auto" w:sz="4" w:space="0"/>
                    <w:right w:val="single" w:color="auto" w:sz="4" w:space="0"/>
                  </w:tcBorders>
                  <w:vAlign w:val="center"/>
                </w:tcPr>
                <w:p w14:paraId="02912C14">
                  <w:pPr>
                    <w:jc w:val="center"/>
                    <w:rPr>
                      <w:rFonts w:ascii="Times New Roman" w:hAnsi="Times New Roman"/>
                      <w:szCs w:val="21"/>
                    </w:rPr>
                  </w:pPr>
                  <w:r>
                    <w:rPr>
                      <w:rFonts w:ascii="Times New Roman" w:hAnsi="Times New Roman"/>
                      <w:szCs w:val="21"/>
                    </w:rPr>
                    <w:t xml:space="preserve">16623.31 </w:t>
                  </w:r>
                </w:p>
              </w:tc>
              <w:tc>
                <w:tcPr>
                  <w:tcW w:w="2173" w:type="dxa"/>
                  <w:vAlign w:val="center"/>
                </w:tcPr>
                <w:p w14:paraId="1654A8AD">
                  <w:pPr>
                    <w:jc w:val="center"/>
                    <w:rPr>
                      <w:rFonts w:ascii="Times New Roman" w:hAnsi="Times New Roman"/>
                      <w:szCs w:val="21"/>
                    </w:rPr>
                  </w:pPr>
                  <w:r>
                    <w:rPr>
                      <w:rFonts w:ascii="Times New Roman" w:hAnsi="Times New Roman"/>
                      <w:szCs w:val="21"/>
                    </w:rPr>
                    <w:t xml:space="preserve">22375.75 </w:t>
                  </w:r>
                </w:p>
              </w:tc>
              <w:tc>
                <w:tcPr>
                  <w:tcW w:w="2102" w:type="dxa"/>
                  <w:vAlign w:val="center"/>
                </w:tcPr>
                <w:p w14:paraId="48D7AB2C">
                  <w:pPr>
                    <w:jc w:val="center"/>
                    <w:rPr>
                      <w:rFonts w:ascii="Times New Roman" w:hAnsi="Times New Roman"/>
                      <w:szCs w:val="21"/>
                    </w:rPr>
                  </w:pPr>
                  <w:r>
                    <w:rPr>
                      <w:rFonts w:ascii="Times New Roman" w:hAnsi="Times New Roman"/>
                      <w:szCs w:val="21"/>
                    </w:rPr>
                    <w:t xml:space="preserve">18661.72 </w:t>
                  </w:r>
                </w:p>
              </w:tc>
            </w:tr>
            <w:tr w14:paraId="6723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55402D2F">
                  <w:pPr>
                    <w:jc w:val="center"/>
                    <w:rPr>
                      <w:rFonts w:ascii="Times New Roman" w:hAnsi="Times New Roman"/>
                      <w:szCs w:val="21"/>
                    </w:rPr>
                  </w:pPr>
                  <w:r>
                    <w:rPr>
                      <w:rFonts w:ascii="Times New Roman" w:hAnsi="Times New Roman"/>
                      <w:szCs w:val="21"/>
                    </w:rPr>
                    <w:t>13</w:t>
                  </w:r>
                </w:p>
              </w:tc>
              <w:tc>
                <w:tcPr>
                  <w:tcW w:w="814" w:type="dxa"/>
                  <w:vAlign w:val="center"/>
                </w:tcPr>
                <w:p w14:paraId="1A12415D">
                  <w:pPr>
                    <w:jc w:val="center"/>
                    <w:rPr>
                      <w:rFonts w:ascii="Times New Roman" w:hAnsi="Times New Roman"/>
                      <w:szCs w:val="21"/>
                    </w:rPr>
                  </w:pPr>
                  <w:r>
                    <w:rPr>
                      <w:rFonts w:ascii="Times New Roman" w:hAnsi="Times New Roman"/>
                      <w:szCs w:val="21"/>
                    </w:rPr>
                    <w:t xml:space="preserve">4.45 </w:t>
                  </w:r>
                </w:p>
              </w:tc>
              <w:tc>
                <w:tcPr>
                  <w:tcW w:w="869" w:type="dxa"/>
                  <w:vAlign w:val="center"/>
                </w:tcPr>
                <w:p w14:paraId="496245BB">
                  <w:pPr>
                    <w:jc w:val="center"/>
                    <w:rPr>
                      <w:rFonts w:ascii="Times New Roman" w:hAnsi="Times New Roman"/>
                      <w:szCs w:val="21"/>
                    </w:rPr>
                  </w:pPr>
                  <w:r>
                    <w:rPr>
                      <w:rFonts w:ascii="Times New Roman" w:hAnsi="Times New Roman"/>
                      <w:szCs w:val="21"/>
                    </w:rPr>
                    <w:t xml:space="preserve">12.22 </w:t>
                  </w:r>
                </w:p>
              </w:tc>
              <w:tc>
                <w:tcPr>
                  <w:tcW w:w="2249" w:type="dxa"/>
                  <w:tcBorders>
                    <w:top w:val="single" w:color="auto" w:sz="4" w:space="0"/>
                    <w:left w:val="single" w:color="auto" w:sz="4" w:space="0"/>
                    <w:bottom w:val="single" w:color="auto" w:sz="4" w:space="0"/>
                    <w:right w:val="single" w:color="auto" w:sz="4" w:space="0"/>
                  </w:tcBorders>
                  <w:vAlign w:val="center"/>
                </w:tcPr>
                <w:p w14:paraId="5A19F292">
                  <w:pPr>
                    <w:jc w:val="center"/>
                    <w:rPr>
                      <w:rFonts w:ascii="Times New Roman" w:hAnsi="Times New Roman"/>
                      <w:szCs w:val="21"/>
                    </w:rPr>
                  </w:pPr>
                  <w:r>
                    <w:rPr>
                      <w:rFonts w:ascii="Times New Roman" w:hAnsi="Times New Roman"/>
                      <w:szCs w:val="21"/>
                    </w:rPr>
                    <w:t xml:space="preserve">9836.28 </w:t>
                  </w:r>
                </w:p>
              </w:tc>
              <w:tc>
                <w:tcPr>
                  <w:tcW w:w="2173" w:type="dxa"/>
                  <w:vAlign w:val="center"/>
                </w:tcPr>
                <w:p w14:paraId="307BAA80">
                  <w:pPr>
                    <w:jc w:val="center"/>
                    <w:rPr>
                      <w:rFonts w:ascii="Times New Roman" w:hAnsi="Times New Roman"/>
                      <w:szCs w:val="21"/>
                    </w:rPr>
                  </w:pPr>
                  <w:r>
                    <w:rPr>
                      <w:rFonts w:ascii="Times New Roman" w:hAnsi="Times New Roman"/>
                      <w:szCs w:val="21"/>
                    </w:rPr>
                    <w:t xml:space="preserve">13240.09 </w:t>
                  </w:r>
                </w:p>
              </w:tc>
              <w:tc>
                <w:tcPr>
                  <w:tcW w:w="2102" w:type="dxa"/>
                  <w:vAlign w:val="center"/>
                </w:tcPr>
                <w:p w14:paraId="1348B3B7">
                  <w:pPr>
                    <w:jc w:val="center"/>
                    <w:rPr>
                      <w:rFonts w:ascii="Times New Roman" w:hAnsi="Times New Roman"/>
                      <w:szCs w:val="21"/>
                    </w:rPr>
                  </w:pPr>
                  <w:r>
                    <w:rPr>
                      <w:rFonts w:ascii="Times New Roman" w:hAnsi="Times New Roman"/>
                      <w:szCs w:val="21"/>
                    </w:rPr>
                    <w:t xml:space="preserve">11042.44 </w:t>
                  </w:r>
                </w:p>
              </w:tc>
            </w:tr>
            <w:tr w14:paraId="1D33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4A35BB34">
                  <w:pPr>
                    <w:jc w:val="center"/>
                    <w:rPr>
                      <w:rFonts w:ascii="Times New Roman" w:hAnsi="Times New Roman"/>
                      <w:szCs w:val="21"/>
                    </w:rPr>
                  </w:pPr>
                  <w:r>
                    <w:rPr>
                      <w:rFonts w:ascii="Times New Roman" w:hAnsi="Times New Roman"/>
                      <w:szCs w:val="21"/>
                    </w:rPr>
                    <w:t>14</w:t>
                  </w:r>
                </w:p>
              </w:tc>
              <w:tc>
                <w:tcPr>
                  <w:tcW w:w="814" w:type="dxa"/>
                  <w:vAlign w:val="center"/>
                </w:tcPr>
                <w:p w14:paraId="0A5B8A11">
                  <w:pPr>
                    <w:jc w:val="center"/>
                    <w:rPr>
                      <w:rFonts w:ascii="Times New Roman" w:hAnsi="Times New Roman"/>
                      <w:szCs w:val="21"/>
                    </w:rPr>
                  </w:pPr>
                  <w:r>
                    <w:rPr>
                      <w:rFonts w:ascii="Times New Roman" w:hAnsi="Times New Roman"/>
                      <w:szCs w:val="21"/>
                    </w:rPr>
                    <w:t xml:space="preserve">4.79 </w:t>
                  </w:r>
                </w:p>
              </w:tc>
              <w:tc>
                <w:tcPr>
                  <w:tcW w:w="869" w:type="dxa"/>
                  <w:vAlign w:val="center"/>
                </w:tcPr>
                <w:p w14:paraId="74CC6F49">
                  <w:pPr>
                    <w:jc w:val="center"/>
                    <w:rPr>
                      <w:rFonts w:ascii="Times New Roman" w:hAnsi="Times New Roman"/>
                      <w:szCs w:val="21"/>
                    </w:rPr>
                  </w:pPr>
                  <w:r>
                    <w:rPr>
                      <w:rFonts w:ascii="Times New Roman" w:hAnsi="Times New Roman"/>
                      <w:szCs w:val="21"/>
                    </w:rPr>
                    <w:t xml:space="preserve">13.16 </w:t>
                  </w:r>
                </w:p>
              </w:tc>
              <w:tc>
                <w:tcPr>
                  <w:tcW w:w="2249" w:type="dxa"/>
                  <w:tcBorders>
                    <w:top w:val="single" w:color="auto" w:sz="4" w:space="0"/>
                    <w:left w:val="single" w:color="auto" w:sz="4" w:space="0"/>
                    <w:bottom w:val="single" w:color="auto" w:sz="4" w:space="0"/>
                    <w:right w:val="single" w:color="auto" w:sz="4" w:space="0"/>
                  </w:tcBorders>
                  <w:vAlign w:val="center"/>
                </w:tcPr>
                <w:p w14:paraId="61D63DCD">
                  <w:pPr>
                    <w:jc w:val="center"/>
                    <w:rPr>
                      <w:rFonts w:ascii="Times New Roman" w:hAnsi="Times New Roman"/>
                      <w:szCs w:val="21"/>
                    </w:rPr>
                  </w:pPr>
                  <w:r>
                    <w:rPr>
                      <w:rFonts w:ascii="Times New Roman" w:hAnsi="Times New Roman"/>
                      <w:szCs w:val="21"/>
                    </w:rPr>
                    <w:t xml:space="preserve">8481.28 </w:t>
                  </w:r>
                </w:p>
              </w:tc>
              <w:tc>
                <w:tcPr>
                  <w:tcW w:w="2173" w:type="dxa"/>
                  <w:vAlign w:val="center"/>
                </w:tcPr>
                <w:p w14:paraId="730DCC18">
                  <w:pPr>
                    <w:jc w:val="center"/>
                    <w:rPr>
                      <w:rFonts w:ascii="Times New Roman" w:hAnsi="Times New Roman"/>
                      <w:szCs w:val="21"/>
                    </w:rPr>
                  </w:pPr>
                  <w:r>
                    <w:rPr>
                      <w:rFonts w:ascii="Times New Roman" w:hAnsi="Times New Roman"/>
                      <w:szCs w:val="21"/>
                    </w:rPr>
                    <w:t xml:space="preserve">11416.20 </w:t>
                  </w:r>
                </w:p>
              </w:tc>
              <w:tc>
                <w:tcPr>
                  <w:tcW w:w="2102" w:type="dxa"/>
                  <w:vAlign w:val="center"/>
                </w:tcPr>
                <w:p w14:paraId="735BA0C3">
                  <w:pPr>
                    <w:jc w:val="center"/>
                    <w:rPr>
                      <w:rFonts w:ascii="Times New Roman" w:hAnsi="Times New Roman"/>
                      <w:szCs w:val="21"/>
                    </w:rPr>
                  </w:pPr>
                  <w:r>
                    <w:rPr>
                      <w:rFonts w:ascii="Times New Roman" w:hAnsi="Times New Roman"/>
                      <w:szCs w:val="21"/>
                    </w:rPr>
                    <w:t xml:space="preserve">9521.29 </w:t>
                  </w:r>
                </w:p>
              </w:tc>
            </w:tr>
            <w:tr w14:paraId="4D01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55845166">
                  <w:pPr>
                    <w:jc w:val="center"/>
                    <w:rPr>
                      <w:rFonts w:ascii="Times New Roman" w:hAnsi="Times New Roman"/>
                      <w:szCs w:val="21"/>
                    </w:rPr>
                  </w:pPr>
                  <w:r>
                    <w:rPr>
                      <w:rFonts w:ascii="Times New Roman" w:hAnsi="Times New Roman"/>
                      <w:szCs w:val="21"/>
                    </w:rPr>
                    <w:t>15</w:t>
                  </w:r>
                </w:p>
              </w:tc>
              <w:tc>
                <w:tcPr>
                  <w:tcW w:w="814" w:type="dxa"/>
                  <w:vAlign w:val="center"/>
                </w:tcPr>
                <w:p w14:paraId="50339151">
                  <w:pPr>
                    <w:jc w:val="center"/>
                    <w:rPr>
                      <w:rFonts w:ascii="Times New Roman" w:hAnsi="Times New Roman"/>
                      <w:szCs w:val="21"/>
                    </w:rPr>
                  </w:pPr>
                  <w:r>
                    <w:rPr>
                      <w:rFonts w:ascii="Times New Roman" w:hAnsi="Times New Roman"/>
                      <w:szCs w:val="21"/>
                    </w:rPr>
                    <w:t xml:space="preserve">5.13 </w:t>
                  </w:r>
                </w:p>
              </w:tc>
              <w:tc>
                <w:tcPr>
                  <w:tcW w:w="869" w:type="dxa"/>
                  <w:vAlign w:val="center"/>
                </w:tcPr>
                <w:p w14:paraId="655AB367">
                  <w:pPr>
                    <w:jc w:val="center"/>
                    <w:rPr>
                      <w:rFonts w:ascii="Times New Roman" w:hAnsi="Times New Roman"/>
                      <w:szCs w:val="21"/>
                    </w:rPr>
                  </w:pPr>
                  <w:r>
                    <w:rPr>
                      <w:rFonts w:ascii="Times New Roman" w:hAnsi="Times New Roman"/>
                      <w:szCs w:val="21"/>
                    </w:rPr>
                    <w:t xml:space="preserve">14.10 </w:t>
                  </w:r>
                </w:p>
              </w:tc>
              <w:tc>
                <w:tcPr>
                  <w:tcW w:w="2249" w:type="dxa"/>
                  <w:tcBorders>
                    <w:top w:val="single" w:color="auto" w:sz="4" w:space="0"/>
                    <w:left w:val="single" w:color="auto" w:sz="4" w:space="0"/>
                    <w:bottom w:val="single" w:color="auto" w:sz="4" w:space="0"/>
                    <w:right w:val="single" w:color="auto" w:sz="4" w:space="0"/>
                  </w:tcBorders>
                  <w:vAlign w:val="center"/>
                </w:tcPr>
                <w:p w14:paraId="63A17498">
                  <w:pPr>
                    <w:jc w:val="center"/>
                    <w:rPr>
                      <w:rFonts w:ascii="Times New Roman" w:hAnsi="Times New Roman"/>
                      <w:szCs w:val="21"/>
                    </w:rPr>
                  </w:pPr>
                  <w:r>
                    <w:rPr>
                      <w:rFonts w:ascii="Times New Roman" w:hAnsi="Times New Roman"/>
                      <w:szCs w:val="21"/>
                    </w:rPr>
                    <w:t xml:space="preserve">7388.14 </w:t>
                  </w:r>
                </w:p>
              </w:tc>
              <w:tc>
                <w:tcPr>
                  <w:tcW w:w="2173" w:type="dxa"/>
                  <w:vAlign w:val="center"/>
                </w:tcPr>
                <w:p w14:paraId="4402E6ED">
                  <w:pPr>
                    <w:jc w:val="center"/>
                    <w:rPr>
                      <w:rFonts w:ascii="Times New Roman" w:hAnsi="Times New Roman"/>
                      <w:szCs w:val="21"/>
                    </w:rPr>
                  </w:pPr>
                  <w:r>
                    <w:rPr>
                      <w:rFonts w:ascii="Times New Roman" w:hAnsi="Times New Roman"/>
                      <w:szCs w:val="21"/>
                    </w:rPr>
                    <w:t xml:space="preserve">9944.78 </w:t>
                  </w:r>
                </w:p>
              </w:tc>
              <w:tc>
                <w:tcPr>
                  <w:tcW w:w="2102" w:type="dxa"/>
                  <w:vAlign w:val="center"/>
                </w:tcPr>
                <w:p w14:paraId="3E61E7AB">
                  <w:pPr>
                    <w:jc w:val="center"/>
                    <w:rPr>
                      <w:rFonts w:ascii="Times New Roman" w:hAnsi="Times New Roman"/>
                      <w:szCs w:val="21"/>
                    </w:rPr>
                  </w:pPr>
                  <w:r>
                    <w:rPr>
                      <w:rFonts w:ascii="Times New Roman" w:hAnsi="Times New Roman"/>
                      <w:szCs w:val="21"/>
                    </w:rPr>
                    <w:t xml:space="preserve">8294.10 </w:t>
                  </w:r>
                </w:p>
              </w:tc>
            </w:tr>
            <w:tr w14:paraId="60B9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4649688B">
                  <w:pPr>
                    <w:jc w:val="center"/>
                    <w:rPr>
                      <w:rFonts w:ascii="Times New Roman" w:hAnsi="Times New Roman"/>
                      <w:szCs w:val="21"/>
                    </w:rPr>
                  </w:pPr>
                  <w:r>
                    <w:rPr>
                      <w:rFonts w:ascii="Times New Roman" w:hAnsi="Times New Roman"/>
                      <w:szCs w:val="21"/>
                    </w:rPr>
                    <w:t>18</w:t>
                  </w:r>
                </w:p>
              </w:tc>
              <w:tc>
                <w:tcPr>
                  <w:tcW w:w="814" w:type="dxa"/>
                  <w:vAlign w:val="center"/>
                </w:tcPr>
                <w:p w14:paraId="093C7BBC">
                  <w:pPr>
                    <w:jc w:val="center"/>
                    <w:rPr>
                      <w:rFonts w:ascii="Times New Roman" w:hAnsi="Times New Roman"/>
                      <w:szCs w:val="21"/>
                    </w:rPr>
                  </w:pPr>
                  <w:r>
                    <w:rPr>
                      <w:rFonts w:ascii="Times New Roman" w:hAnsi="Times New Roman"/>
                      <w:szCs w:val="21"/>
                    </w:rPr>
                    <w:t xml:space="preserve">6.16 </w:t>
                  </w:r>
                </w:p>
              </w:tc>
              <w:tc>
                <w:tcPr>
                  <w:tcW w:w="869" w:type="dxa"/>
                  <w:vAlign w:val="center"/>
                </w:tcPr>
                <w:p w14:paraId="7063899A">
                  <w:pPr>
                    <w:jc w:val="center"/>
                    <w:rPr>
                      <w:rFonts w:ascii="Times New Roman" w:hAnsi="Times New Roman"/>
                      <w:szCs w:val="21"/>
                    </w:rPr>
                  </w:pPr>
                  <w:r>
                    <w:rPr>
                      <w:rFonts w:ascii="Times New Roman" w:hAnsi="Times New Roman"/>
                      <w:szCs w:val="21"/>
                    </w:rPr>
                    <w:t xml:space="preserve">16.91 </w:t>
                  </w:r>
                </w:p>
              </w:tc>
              <w:tc>
                <w:tcPr>
                  <w:tcW w:w="2249" w:type="dxa"/>
                  <w:tcBorders>
                    <w:top w:val="single" w:color="auto" w:sz="4" w:space="0"/>
                    <w:left w:val="single" w:color="auto" w:sz="4" w:space="0"/>
                    <w:bottom w:val="single" w:color="auto" w:sz="4" w:space="0"/>
                    <w:right w:val="single" w:color="auto" w:sz="4" w:space="0"/>
                  </w:tcBorders>
                  <w:vAlign w:val="center"/>
                </w:tcPr>
                <w:p w14:paraId="35A2BC87">
                  <w:pPr>
                    <w:jc w:val="center"/>
                    <w:rPr>
                      <w:rFonts w:ascii="Times New Roman" w:hAnsi="Times New Roman"/>
                      <w:szCs w:val="21"/>
                    </w:rPr>
                  </w:pPr>
                  <w:r>
                    <w:rPr>
                      <w:rFonts w:ascii="Times New Roman" w:hAnsi="Times New Roman"/>
                      <w:szCs w:val="21"/>
                    </w:rPr>
                    <w:t xml:space="preserve">5130.65 </w:t>
                  </w:r>
                </w:p>
              </w:tc>
              <w:tc>
                <w:tcPr>
                  <w:tcW w:w="2173" w:type="dxa"/>
                  <w:vAlign w:val="center"/>
                </w:tcPr>
                <w:p w14:paraId="3F2749F4">
                  <w:pPr>
                    <w:jc w:val="center"/>
                    <w:rPr>
                      <w:rFonts w:ascii="Times New Roman" w:hAnsi="Times New Roman"/>
                      <w:szCs w:val="21"/>
                    </w:rPr>
                  </w:pPr>
                  <w:r>
                    <w:rPr>
                      <w:rFonts w:ascii="Times New Roman" w:hAnsi="Times New Roman"/>
                      <w:szCs w:val="21"/>
                    </w:rPr>
                    <w:t xml:space="preserve">6906.10 </w:t>
                  </w:r>
                </w:p>
              </w:tc>
              <w:tc>
                <w:tcPr>
                  <w:tcW w:w="2102" w:type="dxa"/>
                  <w:vAlign w:val="center"/>
                </w:tcPr>
                <w:p w14:paraId="614CF758">
                  <w:pPr>
                    <w:jc w:val="center"/>
                    <w:rPr>
                      <w:rFonts w:ascii="Times New Roman" w:hAnsi="Times New Roman"/>
                      <w:szCs w:val="21"/>
                    </w:rPr>
                  </w:pPr>
                  <w:r>
                    <w:rPr>
                      <w:rFonts w:ascii="Times New Roman" w:hAnsi="Times New Roman"/>
                      <w:szCs w:val="21"/>
                    </w:rPr>
                    <w:t xml:space="preserve">5759.79 </w:t>
                  </w:r>
                </w:p>
              </w:tc>
            </w:tr>
            <w:tr w14:paraId="1CA0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56B0D1F7">
                  <w:pPr>
                    <w:jc w:val="center"/>
                    <w:rPr>
                      <w:rFonts w:ascii="Times New Roman" w:hAnsi="Times New Roman"/>
                      <w:szCs w:val="21"/>
                    </w:rPr>
                  </w:pPr>
                  <w:r>
                    <w:rPr>
                      <w:rFonts w:ascii="Times New Roman" w:hAnsi="Times New Roman"/>
                      <w:szCs w:val="21"/>
                    </w:rPr>
                    <w:t>25</w:t>
                  </w:r>
                </w:p>
              </w:tc>
              <w:tc>
                <w:tcPr>
                  <w:tcW w:w="814" w:type="dxa"/>
                  <w:vAlign w:val="center"/>
                </w:tcPr>
                <w:p w14:paraId="5873E64B">
                  <w:pPr>
                    <w:jc w:val="center"/>
                    <w:rPr>
                      <w:rFonts w:ascii="Times New Roman" w:hAnsi="Times New Roman"/>
                      <w:szCs w:val="21"/>
                    </w:rPr>
                  </w:pPr>
                  <w:r>
                    <w:rPr>
                      <w:rFonts w:ascii="Times New Roman" w:hAnsi="Times New Roman"/>
                      <w:szCs w:val="21"/>
                    </w:rPr>
                    <w:t xml:space="preserve">8.55 </w:t>
                  </w:r>
                </w:p>
              </w:tc>
              <w:tc>
                <w:tcPr>
                  <w:tcW w:w="869" w:type="dxa"/>
                  <w:vAlign w:val="center"/>
                </w:tcPr>
                <w:p w14:paraId="7156A4DC">
                  <w:pPr>
                    <w:jc w:val="center"/>
                    <w:rPr>
                      <w:rFonts w:ascii="Times New Roman" w:hAnsi="Times New Roman"/>
                      <w:szCs w:val="21"/>
                    </w:rPr>
                  </w:pPr>
                  <w:r>
                    <w:rPr>
                      <w:rFonts w:ascii="Times New Roman" w:hAnsi="Times New Roman"/>
                      <w:szCs w:val="21"/>
                    </w:rPr>
                    <w:t xml:space="preserve">23.49 </w:t>
                  </w:r>
                </w:p>
              </w:tc>
              <w:tc>
                <w:tcPr>
                  <w:tcW w:w="2249" w:type="dxa"/>
                  <w:tcBorders>
                    <w:top w:val="single" w:color="auto" w:sz="4" w:space="0"/>
                    <w:left w:val="single" w:color="auto" w:sz="4" w:space="0"/>
                    <w:bottom w:val="single" w:color="auto" w:sz="4" w:space="0"/>
                    <w:right w:val="single" w:color="auto" w:sz="4" w:space="0"/>
                  </w:tcBorders>
                  <w:vAlign w:val="center"/>
                </w:tcPr>
                <w:p w14:paraId="23FF6F0E">
                  <w:pPr>
                    <w:jc w:val="center"/>
                    <w:rPr>
                      <w:rFonts w:ascii="Times New Roman" w:hAnsi="Times New Roman"/>
                      <w:szCs w:val="21"/>
                    </w:rPr>
                  </w:pPr>
                  <w:r>
                    <w:rPr>
                      <w:rFonts w:ascii="Times New Roman" w:hAnsi="Times New Roman"/>
                      <w:szCs w:val="21"/>
                    </w:rPr>
                    <w:t xml:space="preserve">2659.73 </w:t>
                  </w:r>
                </w:p>
              </w:tc>
              <w:tc>
                <w:tcPr>
                  <w:tcW w:w="2173" w:type="dxa"/>
                  <w:vAlign w:val="center"/>
                </w:tcPr>
                <w:p w14:paraId="19542B8E">
                  <w:pPr>
                    <w:jc w:val="center"/>
                    <w:rPr>
                      <w:rFonts w:ascii="Times New Roman" w:hAnsi="Times New Roman"/>
                      <w:szCs w:val="21"/>
                    </w:rPr>
                  </w:pPr>
                  <w:r>
                    <w:rPr>
                      <w:rFonts w:ascii="Times New Roman" w:hAnsi="Times New Roman"/>
                      <w:szCs w:val="21"/>
                    </w:rPr>
                    <w:t xml:space="preserve">3580.12 </w:t>
                  </w:r>
                </w:p>
              </w:tc>
              <w:tc>
                <w:tcPr>
                  <w:tcW w:w="2102" w:type="dxa"/>
                  <w:vAlign w:val="center"/>
                </w:tcPr>
                <w:p w14:paraId="4D17944B">
                  <w:pPr>
                    <w:jc w:val="center"/>
                    <w:rPr>
                      <w:rFonts w:ascii="Times New Roman" w:hAnsi="Times New Roman"/>
                      <w:szCs w:val="21"/>
                    </w:rPr>
                  </w:pPr>
                  <w:r>
                    <w:rPr>
                      <w:rFonts w:ascii="Times New Roman" w:hAnsi="Times New Roman"/>
                      <w:szCs w:val="21"/>
                    </w:rPr>
                    <w:t xml:space="preserve">2985.88 </w:t>
                  </w:r>
                </w:p>
              </w:tc>
            </w:tr>
            <w:tr w14:paraId="7F7F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0DC79DB">
                  <w:pPr>
                    <w:jc w:val="center"/>
                    <w:rPr>
                      <w:rFonts w:ascii="Times New Roman" w:hAnsi="Times New Roman"/>
                      <w:szCs w:val="21"/>
                    </w:rPr>
                  </w:pPr>
                  <w:r>
                    <w:rPr>
                      <w:rFonts w:ascii="Times New Roman" w:hAnsi="Times New Roman"/>
                      <w:szCs w:val="21"/>
                    </w:rPr>
                    <w:t>45</w:t>
                  </w:r>
                </w:p>
              </w:tc>
              <w:tc>
                <w:tcPr>
                  <w:tcW w:w="814" w:type="dxa"/>
                  <w:vAlign w:val="center"/>
                </w:tcPr>
                <w:p w14:paraId="053B9E4E">
                  <w:pPr>
                    <w:jc w:val="center"/>
                    <w:rPr>
                      <w:rFonts w:ascii="Times New Roman" w:hAnsi="Times New Roman"/>
                      <w:szCs w:val="21"/>
                    </w:rPr>
                  </w:pPr>
                  <w:r>
                    <w:rPr>
                      <w:rFonts w:ascii="Times New Roman" w:hAnsi="Times New Roman"/>
                      <w:szCs w:val="21"/>
                    </w:rPr>
                    <w:t xml:space="preserve">15.39 </w:t>
                  </w:r>
                </w:p>
              </w:tc>
              <w:tc>
                <w:tcPr>
                  <w:tcW w:w="869" w:type="dxa"/>
                  <w:vAlign w:val="center"/>
                </w:tcPr>
                <w:p w14:paraId="5B34BE59">
                  <w:pPr>
                    <w:jc w:val="center"/>
                    <w:rPr>
                      <w:rFonts w:ascii="Times New Roman" w:hAnsi="Times New Roman"/>
                      <w:szCs w:val="21"/>
                    </w:rPr>
                  </w:pPr>
                  <w:r>
                    <w:rPr>
                      <w:rFonts w:ascii="Times New Roman" w:hAnsi="Times New Roman"/>
                      <w:szCs w:val="21"/>
                    </w:rPr>
                    <w:t xml:space="preserve">42.29 </w:t>
                  </w:r>
                </w:p>
              </w:tc>
              <w:tc>
                <w:tcPr>
                  <w:tcW w:w="2249" w:type="dxa"/>
                  <w:tcBorders>
                    <w:top w:val="single" w:color="auto" w:sz="4" w:space="0"/>
                    <w:left w:val="single" w:color="auto" w:sz="4" w:space="0"/>
                    <w:bottom w:val="single" w:color="auto" w:sz="4" w:space="0"/>
                    <w:right w:val="single" w:color="auto" w:sz="4" w:space="0"/>
                  </w:tcBorders>
                  <w:vAlign w:val="center"/>
                </w:tcPr>
                <w:p w14:paraId="11773606">
                  <w:pPr>
                    <w:jc w:val="center"/>
                    <w:rPr>
                      <w:rFonts w:ascii="Times New Roman" w:hAnsi="Times New Roman"/>
                      <w:szCs w:val="21"/>
                    </w:rPr>
                  </w:pPr>
                  <w:r>
                    <w:rPr>
                      <w:rFonts w:ascii="Times New Roman" w:hAnsi="Times New Roman"/>
                      <w:szCs w:val="21"/>
                    </w:rPr>
                    <w:t xml:space="preserve">820.90 </w:t>
                  </w:r>
                </w:p>
              </w:tc>
              <w:tc>
                <w:tcPr>
                  <w:tcW w:w="2173" w:type="dxa"/>
                  <w:vAlign w:val="center"/>
                </w:tcPr>
                <w:p w14:paraId="256047EB">
                  <w:pPr>
                    <w:jc w:val="center"/>
                    <w:rPr>
                      <w:rFonts w:ascii="Times New Roman" w:hAnsi="Times New Roman"/>
                      <w:szCs w:val="21"/>
                    </w:rPr>
                  </w:pPr>
                  <w:r>
                    <w:rPr>
                      <w:rFonts w:ascii="Times New Roman" w:hAnsi="Times New Roman"/>
                      <w:szCs w:val="21"/>
                    </w:rPr>
                    <w:t xml:space="preserve">1104.98 </w:t>
                  </w:r>
                </w:p>
              </w:tc>
              <w:tc>
                <w:tcPr>
                  <w:tcW w:w="2102" w:type="dxa"/>
                  <w:vAlign w:val="center"/>
                </w:tcPr>
                <w:p w14:paraId="79B3BDA3">
                  <w:pPr>
                    <w:jc w:val="center"/>
                    <w:rPr>
                      <w:rFonts w:ascii="Times New Roman" w:hAnsi="Times New Roman"/>
                      <w:szCs w:val="21"/>
                    </w:rPr>
                  </w:pPr>
                  <w:r>
                    <w:rPr>
                      <w:rFonts w:ascii="Times New Roman" w:hAnsi="Times New Roman"/>
                      <w:szCs w:val="21"/>
                    </w:rPr>
                    <w:t xml:space="preserve">921.57 </w:t>
                  </w:r>
                </w:p>
              </w:tc>
            </w:tr>
            <w:tr w14:paraId="2552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47B18E08">
                  <w:pPr>
                    <w:jc w:val="center"/>
                    <w:rPr>
                      <w:rFonts w:ascii="Times New Roman" w:hAnsi="Times New Roman"/>
                      <w:szCs w:val="21"/>
                    </w:rPr>
                  </w:pPr>
                  <w:r>
                    <w:rPr>
                      <w:rFonts w:ascii="Times New Roman" w:hAnsi="Times New Roman"/>
                      <w:szCs w:val="21"/>
                    </w:rPr>
                    <w:t>47</w:t>
                  </w:r>
                </w:p>
              </w:tc>
              <w:tc>
                <w:tcPr>
                  <w:tcW w:w="814" w:type="dxa"/>
                  <w:vAlign w:val="center"/>
                </w:tcPr>
                <w:p w14:paraId="01A2A5BF">
                  <w:pPr>
                    <w:jc w:val="center"/>
                    <w:rPr>
                      <w:rFonts w:ascii="Times New Roman" w:hAnsi="Times New Roman"/>
                      <w:szCs w:val="21"/>
                    </w:rPr>
                  </w:pPr>
                  <w:r>
                    <w:rPr>
                      <w:rFonts w:ascii="Times New Roman" w:hAnsi="Times New Roman"/>
                      <w:szCs w:val="21"/>
                    </w:rPr>
                    <w:t xml:space="preserve">16.07 </w:t>
                  </w:r>
                </w:p>
              </w:tc>
              <w:tc>
                <w:tcPr>
                  <w:tcW w:w="869" w:type="dxa"/>
                  <w:vAlign w:val="center"/>
                </w:tcPr>
                <w:p w14:paraId="57BD45E2">
                  <w:pPr>
                    <w:jc w:val="center"/>
                    <w:rPr>
                      <w:rFonts w:ascii="Times New Roman" w:hAnsi="Times New Roman"/>
                      <w:szCs w:val="21"/>
                    </w:rPr>
                  </w:pPr>
                  <w:r>
                    <w:rPr>
                      <w:rFonts w:ascii="Times New Roman" w:hAnsi="Times New Roman"/>
                      <w:szCs w:val="21"/>
                    </w:rPr>
                    <w:t xml:space="preserve">44.17 </w:t>
                  </w:r>
                </w:p>
              </w:tc>
              <w:tc>
                <w:tcPr>
                  <w:tcW w:w="2249" w:type="dxa"/>
                  <w:tcBorders>
                    <w:top w:val="single" w:color="auto" w:sz="4" w:space="0"/>
                    <w:left w:val="single" w:color="auto" w:sz="4" w:space="0"/>
                    <w:bottom w:val="single" w:color="auto" w:sz="4" w:space="0"/>
                    <w:right w:val="single" w:color="auto" w:sz="4" w:space="0"/>
                  </w:tcBorders>
                  <w:vAlign w:val="center"/>
                </w:tcPr>
                <w:p w14:paraId="132EE378">
                  <w:pPr>
                    <w:jc w:val="center"/>
                    <w:rPr>
                      <w:rFonts w:ascii="Times New Roman" w:hAnsi="Times New Roman"/>
                      <w:szCs w:val="21"/>
                    </w:rPr>
                  </w:pPr>
                  <w:r>
                    <w:rPr>
                      <w:rFonts w:ascii="Times New Roman" w:hAnsi="Times New Roman"/>
                      <w:szCs w:val="21"/>
                    </w:rPr>
                    <w:t xml:space="preserve">752.53 </w:t>
                  </w:r>
                </w:p>
              </w:tc>
              <w:tc>
                <w:tcPr>
                  <w:tcW w:w="2173" w:type="dxa"/>
                  <w:vAlign w:val="center"/>
                </w:tcPr>
                <w:p w14:paraId="08D934E9">
                  <w:pPr>
                    <w:jc w:val="center"/>
                    <w:rPr>
                      <w:rFonts w:ascii="Times New Roman" w:hAnsi="Times New Roman"/>
                      <w:szCs w:val="21"/>
                    </w:rPr>
                  </w:pPr>
                  <w:r>
                    <w:rPr>
                      <w:rFonts w:ascii="Times New Roman" w:hAnsi="Times New Roman"/>
                      <w:szCs w:val="21"/>
                    </w:rPr>
                    <w:t xml:space="preserve">1012.94 </w:t>
                  </w:r>
                </w:p>
              </w:tc>
              <w:tc>
                <w:tcPr>
                  <w:tcW w:w="2102" w:type="dxa"/>
                  <w:vAlign w:val="center"/>
                </w:tcPr>
                <w:p w14:paraId="0FCF789C">
                  <w:pPr>
                    <w:jc w:val="center"/>
                    <w:rPr>
                      <w:rFonts w:ascii="Times New Roman" w:hAnsi="Times New Roman"/>
                      <w:szCs w:val="21"/>
                    </w:rPr>
                  </w:pPr>
                  <w:r>
                    <w:rPr>
                      <w:rFonts w:ascii="Times New Roman" w:hAnsi="Times New Roman"/>
                      <w:szCs w:val="21"/>
                    </w:rPr>
                    <w:t xml:space="preserve">844.80 </w:t>
                  </w:r>
                </w:p>
              </w:tc>
            </w:tr>
            <w:tr w14:paraId="63A7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E051219">
                  <w:pPr>
                    <w:jc w:val="center"/>
                    <w:rPr>
                      <w:rFonts w:ascii="Times New Roman" w:hAnsi="Times New Roman"/>
                      <w:szCs w:val="21"/>
                    </w:rPr>
                  </w:pPr>
                  <w:r>
                    <w:rPr>
                      <w:rFonts w:ascii="Times New Roman" w:hAnsi="Times New Roman"/>
                      <w:szCs w:val="21"/>
                    </w:rPr>
                    <w:t>60</w:t>
                  </w:r>
                </w:p>
              </w:tc>
              <w:tc>
                <w:tcPr>
                  <w:tcW w:w="814" w:type="dxa"/>
                  <w:vAlign w:val="center"/>
                </w:tcPr>
                <w:p w14:paraId="53943474">
                  <w:pPr>
                    <w:jc w:val="center"/>
                    <w:rPr>
                      <w:rFonts w:ascii="Times New Roman" w:hAnsi="Times New Roman"/>
                      <w:szCs w:val="21"/>
                    </w:rPr>
                  </w:pPr>
                  <w:r>
                    <w:rPr>
                      <w:rFonts w:ascii="Times New Roman" w:hAnsi="Times New Roman"/>
                      <w:szCs w:val="21"/>
                    </w:rPr>
                    <w:t xml:space="preserve">20.52 </w:t>
                  </w:r>
                </w:p>
              </w:tc>
              <w:tc>
                <w:tcPr>
                  <w:tcW w:w="869" w:type="dxa"/>
                  <w:vAlign w:val="center"/>
                </w:tcPr>
                <w:p w14:paraId="77AD2B37">
                  <w:pPr>
                    <w:jc w:val="center"/>
                    <w:rPr>
                      <w:rFonts w:ascii="Times New Roman" w:hAnsi="Times New Roman"/>
                      <w:szCs w:val="21"/>
                    </w:rPr>
                  </w:pPr>
                  <w:r>
                    <w:rPr>
                      <w:rFonts w:ascii="Times New Roman" w:hAnsi="Times New Roman"/>
                      <w:szCs w:val="21"/>
                    </w:rPr>
                    <w:t xml:space="preserve">56.38 </w:t>
                  </w:r>
                </w:p>
              </w:tc>
              <w:tc>
                <w:tcPr>
                  <w:tcW w:w="2249" w:type="dxa"/>
                  <w:tcBorders>
                    <w:top w:val="single" w:color="auto" w:sz="4" w:space="0"/>
                    <w:left w:val="single" w:color="auto" w:sz="4" w:space="0"/>
                    <w:bottom w:val="single" w:color="auto" w:sz="4" w:space="0"/>
                    <w:right w:val="single" w:color="auto" w:sz="4" w:space="0"/>
                  </w:tcBorders>
                  <w:vAlign w:val="center"/>
                </w:tcPr>
                <w:p w14:paraId="495FDE75">
                  <w:pPr>
                    <w:jc w:val="center"/>
                    <w:rPr>
                      <w:rFonts w:ascii="Times New Roman" w:hAnsi="Times New Roman"/>
                      <w:szCs w:val="21"/>
                    </w:rPr>
                  </w:pPr>
                  <w:r>
                    <w:rPr>
                      <w:rFonts w:ascii="Times New Roman" w:hAnsi="Times New Roman"/>
                      <w:szCs w:val="21"/>
                    </w:rPr>
                    <w:t xml:space="preserve">461.76 </w:t>
                  </w:r>
                </w:p>
              </w:tc>
              <w:tc>
                <w:tcPr>
                  <w:tcW w:w="2173" w:type="dxa"/>
                  <w:vAlign w:val="center"/>
                </w:tcPr>
                <w:p w14:paraId="7DE6038B">
                  <w:pPr>
                    <w:jc w:val="center"/>
                    <w:rPr>
                      <w:rFonts w:ascii="Times New Roman" w:hAnsi="Times New Roman"/>
                      <w:szCs w:val="21"/>
                    </w:rPr>
                  </w:pPr>
                  <w:r>
                    <w:rPr>
                      <w:rFonts w:ascii="Times New Roman" w:hAnsi="Times New Roman"/>
                      <w:szCs w:val="21"/>
                    </w:rPr>
                    <w:t xml:space="preserve">621.55 </w:t>
                  </w:r>
                </w:p>
              </w:tc>
              <w:tc>
                <w:tcPr>
                  <w:tcW w:w="2102" w:type="dxa"/>
                  <w:vAlign w:val="center"/>
                </w:tcPr>
                <w:p w14:paraId="7C22F1EA">
                  <w:pPr>
                    <w:jc w:val="center"/>
                    <w:rPr>
                      <w:rFonts w:ascii="Times New Roman" w:hAnsi="Times New Roman"/>
                      <w:szCs w:val="21"/>
                    </w:rPr>
                  </w:pPr>
                  <w:r>
                    <w:rPr>
                      <w:rFonts w:ascii="Times New Roman" w:hAnsi="Times New Roman"/>
                      <w:szCs w:val="21"/>
                    </w:rPr>
                    <w:t xml:space="preserve">518.38 </w:t>
                  </w:r>
                </w:p>
              </w:tc>
            </w:tr>
            <w:tr w14:paraId="0C6D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2FA9D829">
                  <w:pPr>
                    <w:jc w:val="center"/>
                    <w:rPr>
                      <w:rFonts w:ascii="Times New Roman" w:hAnsi="Times New Roman"/>
                      <w:szCs w:val="21"/>
                    </w:rPr>
                  </w:pPr>
                  <w:r>
                    <w:rPr>
                      <w:rFonts w:ascii="Times New Roman" w:hAnsi="Times New Roman"/>
                      <w:szCs w:val="21"/>
                    </w:rPr>
                    <w:t>90</w:t>
                  </w:r>
                </w:p>
              </w:tc>
              <w:tc>
                <w:tcPr>
                  <w:tcW w:w="814" w:type="dxa"/>
                  <w:vAlign w:val="center"/>
                </w:tcPr>
                <w:p w14:paraId="21D66294">
                  <w:pPr>
                    <w:jc w:val="center"/>
                    <w:rPr>
                      <w:rFonts w:ascii="Times New Roman" w:hAnsi="Times New Roman"/>
                      <w:szCs w:val="21"/>
                    </w:rPr>
                  </w:pPr>
                  <w:r>
                    <w:rPr>
                      <w:rFonts w:ascii="Times New Roman" w:hAnsi="Times New Roman"/>
                      <w:szCs w:val="21"/>
                    </w:rPr>
                    <w:t xml:space="preserve">30.78 </w:t>
                  </w:r>
                </w:p>
              </w:tc>
              <w:tc>
                <w:tcPr>
                  <w:tcW w:w="869" w:type="dxa"/>
                  <w:vAlign w:val="center"/>
                </w:tcPr>
                <w:p w14:paraId="38909EC2">
                  <w:pPr>
                    <w:jc w:val="center"/>
                    <w:rPr>
                      <w:rFonts w:ascii="Times New Roman" w:hAnsi="Times New Roman"/>
                      <w:szCs w:val="21"/>
                    </w:rPr>
                  </w:pPr>
                  <w:r>
                    <w:rPr>
                      <w:rFonts w:ascii="Times New Roman" w:hAnsi="Times New Roman"/>
                      <w:szCs w:val="21"/>
                    </w:rPr>
                    <w:t xml:space="preserve">84.57 </w:t>
                  </w:r>
                </w:p>
              </w:tc>
              <w:tc>
                <w:tcPr>
                  <w:tcW w:w="2249" w:type="dxa"/>
                  <w:tcBorders>
                    <w:top w:val="single" w:color="auto" w:sz="4" w:space="0"/>
                    <w:left w:val="single" w:color="auto" w:sz="4" w:space="0"/>
                    <w:bottom w:val="single" w:color="auto" w:sz="4" w:space="0"/>
                    <w:right w:val="single" w:color="auto" w:sz="4" w:space="0"/>
                  </w:tcBorders>
                  <w:vAlign w:val="center"/>
                </w:tcPr>
                <w:p w14:paraId="1F274DE6">
                  <w:pPr>
                    <w:jc w:val="center"/>
                    <w:rPr>
                      <w:rFonts w:ascii="Times New Roman" w:hAnsi="Times New Roman"/>
                      <w:szCs w:val="21"/>
                    </w:rPr>
                  </w:pPr>
                  <w:r>
                    <w:rPr>
                      <w:rFonts w:ascii="Times New Roman" w:hAnsi="Times New Roman"/>
                      <w:szCs w:val="21"/>
                    </w:rPr>
                    <w:t xml:space="preserve">205.23 </w:t>
                  </w:r>
                </w:p>
              </w:tc>
              <w:tc>
                <w:tcPr>
                  <w:tcW w:w="2173" w:type="dxa"/>
                  <w:vAlign w:val="center"/>
                </w:tcPr>
                <w:p w14:paraId="41E426BA">
                  <w:pPr>
                    <w:jc w:val="center"/>
                    <w:rPr>
                      <w:rFonts w:ascii="Times New Roman" w:hAnsi="Times New Roman"/>
                      <w:szCs w:val="21"/>
                    </w:rPr>
                  </w:pPr>
                  <w:r>
                    <w:rPr>
                      <w:rFonts w:ascii="Times New Roman" w:hAnsi="Times New Roman"/>
                      <w:szCs w:val="21"/>
                    </w:rPr>
                    <w:t xml:space="preserve">276.24 </w:t>
                  </w:r>
                </w:p>
              </w:tc>
              <w:tc>
                <w:tcPr>
                  <w:tcW w:w="2102" w:type="dxa"/>
                  <w:vAlign w:val="center"/>
                </w:tcPr>
                <w:p w14:paraId="68AE93EC">
                  <w:pPr>
                    <w:jc w:val="center"/>
                    <w:rPr>
                      <w:rFonts w:ascii="Times New Roman" w:hAnsi="Times New Roman"/>
                      <w:szCs w:val="21"/>
                    </w:rPr>
                  </w:pPr>
                  <w:r>
                    <w:rPr>
                      <w:rFonts w:ascii="Times New Roman" w:hAnsi="Times New Roman"/>
                      <w:szCs w:val="21"/>
                    </w:rPr>
                    <w:t xml:space="preserve">230.39 </w:t>
                  </w:r>
                </w:p>
              </w:tc>
            </w:tr>
            <w:tr w14:paraId="3529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51B770E">
                  <w:pPr>
                    <w:jc w:val="center"/>
                    <w:rPr>
                      <w:rFonts w:ascii="Times New Roman" w:hAnsi="Times New Roman"/>
                      <w:szCs w:val="21"/>
                    </w:rPr>
                  </w:pPr>
                  <w:r>
                    <w:rPr>
                      <w:rFonts w:ascii="Times New Roman" w:hAnsi="Times New Roman"/>
                      <w:szCs w:val="21"/>
                    </w:rPr>
                    <w:t>100</w:t>
                  </w:r>
                </w:p>
              </w:tc>
              <w:tc>
                <w:tcPr>
                  <w:tcW w:w="814" w:type="dxa"/>
                  <w:vAlign w:val="center"/>
                </w:tcPr>
                <w:p w14:paraId="69B33A83">
                  <w:pPr>
                    <w:jc w:val="center"/>
                    <w:rPr>
                      <w:rFonts w:ascii="Times New Roman" w:hAnsi="Times New Roman"/>
                      <w:szCs w:val="21"/>
                    </w:rPr>
                  </w:pPr>
                  <w:r>
                    <w:rPr>
                      <w:rFonts w:ascii="Times New Roman" w:hAnsi="Times New Roman"/>
                      <w:szCs w:val="21"/>
                    </w:rPr>
                    <w:t xml:space="preserve">34.20 </w:t>
                  </w:r>
                </w:p>
              </w:tc>
              <w:tc>
                <w:tcPr>
                  <w:tcW w:w="869" w:type="dxa"/>
                  <w:vAlign w:val="center"/>
                </w:tcPr>
                <w:p w14:paraId="1BD8990C">
                  <w:pPr>
                    <w:jc w:val="center"/>
                    <w:rPr>
                      <w:rFonts w:ascii="Times New Roman" w:hAnsi="Times New Roman"/>
                      <w:szCs w:val="21"/>
                    </w:rPr>
                  </w:pPr>
                  <w:r>
                    <w:rPr>
                      <w:rFonts w:ascii="Times New Roman" w:hAnsi="Times New Roman"/>
                      <w:szCs w:val="21"/>
                    </w:rPr>
                    <w:t xml:space="preserve">93.97 </w:t>
                  </w:r>
                </w:p>
              </w:tc>
              <w:tc>
                <w:tcPr>
                  <w:tcW w:w="2249" w:type="dxa"/>
                  <w:tcBorders>
                    <w:top w:val="single" w:color="auto" w:sz="4" w:space="0"/>
                    <w:left w:val="single" w:color="auto" w:sz="4" w:space="0"/>
                    <w:bottom w:val="single" w:color="auto" w:sz="4" w:space="0"/>
                    <w:right w:val="single" w:color="auto" w:sz="4" w:space="0"/>
                  </w:tcBorders>
                  <w:vAlign w:val="center"/>
                </w:tcPr>
                <w:p w14:paraId="5F741296">
                  <w:pPr>
                    <w:jc w:val="center"/>
                    <w:rPr>
                      <w:rFonts w:ascii="Times New Roman" w:hAnsi="Times New Roman"/>
                      <w:szCs w:val="21"/>
                    </w:rPr>
                  </w:pPr>
                  <w:r>
                    <w:rPr>
                      <w:rFonts w:ascii="Times New Roman" w:hAnsi="Times New Roman"/>
                      <w:szCs w:val="21"/>
                    </w:rPr>
                    <w:t xml:space="preserve">166.23 </w:t>
                  </w:r>
                </w:p>
              </w:tc>
              <w:tc>
                <w:tcPr>
                  <w:tcW w:w="2173" w:type="dxa"/>
                  <w:vAlign w:val="center"/>
                </w:tcPr>
                <w:p w14:paraId="02F9EB4C">
                  <w:pPr>
                    <w:jc w:val="center"/>
                    <w:rPr>
                      <w:rFonts w:ascii="Times New Roman" w:hAnsi="Times New Roman"/>
                      <w:szCs w:val="21"/>
                    </w:rPr>
                  </w:pPr>
                  <w:r>
                    <w:rPr>
                      <w:rFonts w:ascii="Times New Roman" w:hAnsi="Times New Roman"/>
                      <w:szCs w:val="21"/>
                    </w:rPr>
                    <w:t xml:space="preserve">223.76 </w:t>
                  </w:r>
                </w:p>
              </w:tc>
              <w:tc>
                <w:tcPr>
                  <w:tcW w:w="2102" w:type="dxa"/>
                  <w:vAlign w:val="center"/>
                </w:tcPr>
                <w:p w14:paraId="48C47E2D">
                  <w:pPr>
                    <w:jc w:val="center"/>
                    <w:rPr>
                      <w:rFonts w:ascii="Times New Roman" w:hAnsi="Times New Roman"/>
                      <w:szCs w:val="21"/>
                    </w:rPr>
                  </w:pPr>
                  <w:r>
                    <w:rPr>
                      <w:rFonts w:ascii="Times New Roman" w:hAnsi="Times New Roman"/>
                      <w:szCs w:val="21"/>
                    </w:rPr>
                    <w:t xml:space="preserve">186.62 </w:t>
                  </w:r>
                </w:p>
              </w:tc>
            </w:tr>
            <w:tr w14:paraId="4C65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1624558">
                  <w:pPr>
                    <w:jc w:val="center"/>
                    <w:rPr>
                      <w:rFonts w:ascii="Times New Roman" w:hAnsi="Times New Roman"/>
                      <w:szCs w:val="21"/>
                    </w:rPr>
                  </w:pPr>
                  <w:r>
                    <w:rPr>
                      <w:rFonts w:ascii="Times New Roman" w:hAnsi="Times New Roman"/>
                      <w:szCs w:val="21"/>
                    </w:rPr>
                    <w:t>115</w:t>
                  </w:r>
                </w:p>
              </w:tc>
              <w:tc>
                <w:tcPr>
                  <w:tcW w:w="814" w:type="dxa"/>
                  <w:vAlign w:val="center"/>
                </w:tcPr>
                <w:p w14:paraId="020B083B">
                  <w:pPr>
                    <w:jc w:val="center"/>
                    <w:rPr>
                      <w:rFonts w:ascii="Times New Roman" w:hAnsi="Times New Roman"/>
                      <w:szCs w:val="21"/>
                    </w:rPr>
                  </w:pPr>
                  <w:r>
                    <w:rPr>
                      <w:rFonts w:ascii="Times New Roman" w:hAnsi="Times New Roman"/>
                      <w:szCs w:val="21"/>
                    </w:rPr>
                    <w:t xml:space="preserve">39.33 </w:t>
                  </w:r>
                </w:p>
              </w:tc>
              <w:tc>
                <w:tcPr>
                  <w:tcW w:w="869" w:type="dxa"/>
                  <w:vAlign w:val="center"/>
                </w:tcPr>
                <w:p w14:paraId="7C4768F1">
                  <w:pPr>
                    <w:jc w:val="center"/>
                    <w:rPr>
                      <w:rFonts w:ascii="Times New Roman" w:hAnsi="Times New Roman"/>
                      <w:szCs w:val="21"/>
                    </w:rPr>
                  </w:pPr>
                  <w:r>
                    <w:rPr>
                      <w:rFonts w:ascii="Times New Roman" w:hAnsi="Times New Roman"/>
                      <w:szCs w:val="21"/>
                    </w:rPr>
                    <w:t xml:space="preserve">108.06 </w:t>
                  </w:r>
                </w:p>
              </w:tc>
              <w:tc>
                <w:tcPr>
                  <w:tcW w:w="2249" w:type="dxa"/>
                  <w:tcBorders>
                    <w:top w:val="single" w:color="auto" w:sz="4" w:space="0"/>
                    <w:left w:val="single" w:color="auto" w:sz="4" w:space="0"/>
                    <w:bottom w:val="single" w:color="auto" w:sz="4" w:space="0"/>
                    <w:right w:val="single" w:color="auto" w:sz="4" w:space="0"/>
                  </w:tcBorders>
                  <w:vAlign w:val="center"/>
                </w:tcPr>
                <w:p w14:paraId="5A91D785">
                  <w:pPr>
                    <w:jc w:val="center"/>
                    <w:rPr>
                      <w:rFonts w:ascii="Times New Roman" w:hAnsi="Times New Roman"/>
                      <w:szCs w:val="21"/>
                    </w:rPr>
                  </w:pPr>
                  <w:r>
                    <w:rPr>
                      <w:rFonts w:ascii="Times New Roman" w:hAnsi="Times New Roman"/>
                      <w:szCs w:val="21"/>
                    </w:rPr>
                    <w:t xml:space="preserve">125.70 </w:t>
                  </w:r>
                </w:p>
              </w:tc>
              <w:tc>
                <w:tcPr>
                  <w:tcW w:w="2173" w:type="dxa"/>
                  <w:vAlign w:val="center"/>
                </w:tcPr>
                <w:p w14:paraId="2805DE5D">
                  <w:pPr>
                    <w:jc w:val="center"/>
                    <w:rPr>
                      <w:rFonts w:ascii="Times New Roman" w:hAnsi="Times New Roman"/>
                      <w:szCs w:val="21"/>
                    </w:rPr>
                  </w:pPr>
                  <w:r>
                    <w:rPr>
                      <w:rFonts w:ascii="Times New Roman" w:hAnsi="Times New Roman"/>
                      <w:szCs w:val="21"/>
                    </w:rPr>
                    <w:t xml:space="preserve">169.19 </w:t>
                  </w:r>
                </w:p>
              </w:tc>
              <w:tc>
                <w:tcPr>
                  <w:tcW w:w="2102" w:type="dxa"/>
                  <w:vAlign w:val="center"/>
                </w:tcPr>
                <w:p w14:paraId="04304F7C">
                  <w:pPr>
                    <w:jc w:val="center"/>
                    <w:rPr>
                      <w:rFonts w:ascii="Times New Roman" w:hAnsi="Times New Roman"/>
                      <w:szCs w:val="21"/>
                    </w:rPr>
                  </w:pPr>
                  <w:r>
                    <w:rPr>
                      <w:rFonts w:ascii="Times New Roman" w:hAnsi="Times New Roman"/>
                      <w:szCs w:val="21"/>
                    </w:rPr>
                    <w:t xml:space="preserve">141.11 </w:t>
                  </w:r>
                </w:p>
              </w:tc>
            </w:tr>
            <w:tr w14:paraId="5046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7EA5DE67">
                  <w:pPr>
                    <w:jc w:val="center"/>
                    <w:rPr>
                      <w:rFonts w:ascii="Times New Roman" w:hAnsi="Times New Roman"/>
                      <w:szCs w:val="21"/>
                    </w:rPr>
                  </w:pPr>
                  <w:r>
                    <w:rPr>
                      <w:rFonts w:ascii="Times New Roman" w:hAnsi="Times New Roman"/>
                      <w:szCs w:val="21"/>
                    </w:rPr>
                    <w:t>120</w:t>
                  </w:r>
                </w:p>
              </w:tc>
              <w:tc>
                <w:tcPr>
                  <w:tcW w:w="814" w:type="dxa"/>
                  <w:vAlign w:val="center"/>
                </w:tcPr>
                <w:p w14:paraId="3C5202BD">
                  <w:pPr>
                    <w:jc w:val="center"/>
                    <w:rPr>
                      <w:rFonts w:ascii="Times New Roman" w:hAnsi="Times New Roman"/>
                      <w:szCs w:val="21"/>
                    </w:rPr>
                  </w:pPr>
                  <w:r>
                    <w:rPr>
                      <w:rFonts w:ascii="Times New Roman" w:hAnsi="Times New Roman"/>
                      <w:szCs w:val="21"/>
                    </w:rPr>
                    <w:t xml:space="preserve">41.04 </w:t>
                  </w:r>
                </w:p>
              </w:tc>
              <w:tc>
                <w:tcPr>
                  <w:tcW w:w="869" w:type="dxa"/>
                  <w:vAlign w:val="center"/>
                </w:tcPr>
                <w:p w14:paraId="313FE71A">
                  <w:pPr>
                    <w:jc w:val="center"/>
                    <w:rPr>
                      <w:rFonts w:ascii="Times New Roman" w:hAnsi="Times New Roman"/>
                      <w:szCs w:val="21"/>
                    </w:rPr>
                  </w:pPr>
                  <w:r>
                    <w:rPr>
                      <w:rFonts w:ascii="Times New Roman" w:hAnsi="Times New Roman"/>
                      <w:szCs w:val="21"/>
                    </w:rPr>
                    <w:t xml:space="preserve">112.76 </w:t>
                  </w:r>
                </w:p>
              </w:tc>
              <w:tc>
                <w:tcPr>
                  <w:tcW w:w="2249" w:type="dxa"/>
                  <w:tcBorders>
                    <w:top w:val="single" w:color="auto" w:sz="4" w:space="0"/>
                    <w:left w:val="single" w:color="auto" w:sz="4" w:space="0"/>
                    <w:bottom w:val="single" w:color="auto" w:sz="4" w:space="0"/>
                    <w:right w:val="single" w:color="auto" w:sz="4" w:space="0"/>
                  </w:tcBorders>
                  <w:vAlign w:val="center"/>
                </w:tcPr>
                <w:p w14:paraId="7B918D22">
                  <w:pPr>
                    <w:jc w:val="center"/>
                    <w:rPr>
                      <w:rFonts w:ascii="Times New Roman" w:hAnsi="Times New Roman"/>
                      <w:szCs w:val="21"/>
                    </w:rPr>
                  </w:pPr>
                  <w:r>
                    <w:rPr>
                      <w:rFonts w:ascii="Times New Roman" w:hAnsi="Times New Roman"/>
                      <w:szCs w:val="21"/>
                    </w:rPr>
                    <w:t xml:space="preserve">115.44 </w:t>
                  </w:r>
                </w:p>
              </w:tc>
              <w:tc>
                <w:tcPr>
                  <w:tcW w:w="2173" w:type="dxa"/>
                  <w:vAlign w:val="center"/>
                </w:tcPr>
                <w:p w14:paraId="19E05680">
                  <w:pPr>
                    <w:jc w:val="center"/>
                    <w:rPr>
                      <w:rFonts w:ascii="Times New Roman" w:hAnsi="Times New Roman"/>
                      <w:szCs w:val="21"/>
                    </w:rPr>
                  </w:pPr>
                  <w:r>
                    <w:rPr>
                      <w:rFonts w:ascii="Times New Roman" w:hAnsi="Times New Roman"/>
                      <w:szCs w:val="21"/>
                    </w:rPr>
                    <w:t xml:space="preserve">155.39 </w:t>
                  </w:r>
                </w:p>
              </w:tc>
              <w:tc>
                <w:tcPr>
                  <w:tcW w:w="2102" w:type="dxa"/>
                  <w:vAlign w:val="center"/>
                </w:tcPr>
                <w:p w14:paraId="4E633DCC">
                  <w:pPr>
                    <w:jc w:val="center"/>
                    <w:rPr>
                      <w:rFonts w:ascii="Times New Roman" w:hAnsi="Times New Roman"/>
                      <w:szCs w:val="21"/>
                    </w:rPr>
                  </w:pPr>
                  <w:r>
                    <w:rPr>
                      <w:rFonts w:ascii="Times New Roman" w:hAnsi="Times New Roman"/>
                      <w:szCs w:val="21"/>
                    </w:rPr>
                    <w:t xml:space="preserve">129.60 </w:t>
                  </w:r>
                </w:p>
              </w:tc>
            </w:tr>
            <w:tr w14:paraId="602A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3F42DAA6">
                  <w:pPr>
                    <w:jc w:val="center"/>
                    <w:rPr>
                      <w:rFonts w:ascii="Times New Roman" w:hAnsi="Times New Roman"/>
                      <w:szCs w:val="21"/>
                    </w:rPr>
                  </w:pPr>
                  <w:r>
                    <w:rPr>
                      <w:rFonts w:ascii="Times New Roman" w:hAnsi="Times New Roman"/>
                      <w:szCs w:val="21"/>
                    </w:rPr>
                    <w:t>150</w:t>
                  </w:r>
                </w:p>
              </w:tc>
              <w:tc>
                <w:tcPr>
                  <w:tcW w:w="814" w:type="dxa"/>
                  <w:vAlign w:val="center"/>
                </w:tcPr>
                <w:p w14:paraId="02CADC30">
                  <w:pPr>
                    <w:jc w:val="center"/>
                    <w:rPr>
                      <w:rFonts w:ascii="Times New Roman" w:hAnsi="Times New Roman"/>
                      <w:szCs w:val="21"/>
                    </w:rPr>
                  </w:pPr>
                  <w:r>
                    <w:rPr>
                      <w:rFonts w:ascii="Times New Roman" w:hAnsi="Times New Roman"/>
                      <w:szCs w:val="21"/>
                    </w:rPr>
                    <w:t xml:space="preserve">51.30 </w:t>
                  </w:r>
                </w:p>
              </w:tc>
              <w:tc>
                <w:tcPr>
                  <w:tcW w:w="869" w:type="dxa"/>
                  <w:vAlign w:val="center"/>
                </w:tcPr>
                <w:p w14:paraId="3B6DD4A9">
                  <w:pPr>
                    <w:jc w:val="center"/>
                    <w:rPr>
                      <w:rFonts w:ascii="Times New Roman" w:hAnsi="Times New Roman"/>
                      <w:szCs w:val="21"/>
                    </w:rPr>
                  </w:pPr>
                  <w:r>
                    <w:rPr>
                      <w:rFonts w:ascii="Times New Roman" w:hAnsi="Times New Roman"/>
                      <w:szCs w:val="21"/>
                    </w:rPr>
                    <w:t xml:space="preserve">140.95 </w:t>
                  </w:r>
                </w:p>
              </w:tc>
              <w:tc>
                <w:tcPr>
                  <w:tcW w:w="2249" w:type="dxa"/>
                  <w:tcBorders>
                    <w:top w:val="single" w:color="auto" w:sz="4" w:space="0"/>
                    <w:left w:val="single" w:color="auto" w:sz="4" w:space="0"/>
                    <w:bottom w:val="single" w:color="auto" w:sz="4" w:space="0"/>
                    <w:right w:val="single" w:color="auto" w:sz="4" w:space="0"/>
                  </w:tcBorders>
                  <w:vAlign w:val="center"/>
                </w:tcPr>
                <w:p w14:paraId="7F842C36">
                  <w:pPr>
                    <w:jc w:val="center"/>
                    <w:rPr>
                      <w:rFonts w:ascii="Times New Roman" w:hAnsi="Times New Roman"/>
                      <w:szCs w:val="21"/>
                    </w:rPr>
                  </w:pPr>
                  <w:r>
                    <w:rPr>
                      <w:rFonts w:ascii="Times New Roman" w:hAnsi="Times New Roman"/>
                      <w:szCs w:val="21"/>
                    </w:rPr>
                    <w:t xml:space="preserve">73.88 </w:t>
                  </w:r>
                </w:p>
              </w:tc>
              <w:tc>
                <w:tcPr>
                  <w:tcW w:w="2173" w:type="dxa"/>
                  <w:vAlign w:val="center"/>
                </w:tcPr>
                <w:p w14:paraId="0CA11C24">
                  <w:pPr>
                    <w:jc w:val="center"/>
                    <w:rPr>
                      <w:rFonts w:ascii="Times New Roman" w:hAnsi="Times New Roman"/>
                      <w:szCs w:val="21"/>
                    </w:rPr>
                  </w:pPr>
                  <w:r>
                    <w:rPr>
                      <w:rFonts w:ascii="Times New Roman" w:hAnsi="Times New Roman"/>
                      <w:szCs w:val="21"/>
                    </w:rPr>
                    <w:t xml:space="preserve">99.45 </w:t>
                  </w:r>
                </w:p>
              </w:tc>
              <w:tc>
                <w:tcPr>
                  <w:tcW w:w="2102" w:type="dxa"/>
                  <w:vAlign w:val="center"/>
                </w:tcPr>
                <w:p w14:paraId="1BC142C2">
                  <w:pPr>
                    <w:jc w:val="center"/>
                    <w:rPr>
                      <w:rFonts w:ascii="Times New Roman" w:hAnsi="Times New Roman"/>
                      <w:szCs w:val="21"/>
                    </w:rPr>
                  </w:pPr>
                  <w:r>
                    <w:rPr>
                      <w:rFonts w:ascii="Times New Roman" w:hAnsi="Times New Roman"/>
                      <w:szCs w:val="21"/>
                    </w:rPr>
                    <w:t xml:space="preserve">82.94 </w:t>
                  </w:r>
                </w:p>
              </w:tc>
            </w:tr>
            <w:tr w14:paraId="3317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58848FD">
                  <w:pPr>
                    <w:jc w:val="center"/>
                    <w:rPr>
                      <w:rFonts w:ascii="Times New Roman" w:hAnsi="Times New Roman"/>
                      <w:szCs w:val="21"/>
                    </w:rPr>
                  </w:pPr>
                  <w:r>
                    <w:rPr>
                      <w:rFonts w:ascii="Times New Roman" w:hAnsi="Times New Roman"/>
                      <w:szCs w:val="21"/>
                    </w:rPr>
                    <w:t>250</w:t>
                  </w:r>
                </w:p>
              </w:tc>
              <w:tc>
                <w:tcPr>
                  <w:tcW w:w="814" w:type="dxa"/>
                  <w:vAlign w:val="center"/>
                </w:tcPr>
                <w:p w14:paraId="3864FD82">
                  <w:pPr>
                    <w:jc w:val="center"/>
                    <w:rPr>
                      <w:rFonts w:ascii="Times New Roman" w:hAnsi="Times New Roman"/>
                      <w:szCs w:val="21"/>
                    </w:rPr>
                  </w:pPr>
                  <w:r>
                    <w:rPr>
                      <w:rFonts w:ascii="Times New Roman" w:hAnsi="Times New Roman"/>
                      <w:szCs w:val="21"/>
                    </w:rPr>
                    <w:t xml:space="preserve">85.50 </w:t>
                  </w:r>
                </w:p>
              </w:tc>
              <w:tc>
                <w:tcPr>
                  <w:tcW w:w="869" w:type="dxa"/>
                  <w:vAlign w:val="center"/>
                </w:tcPr>
                <w:p w14:paraId="155E37C6">
                  <w:pPr>
                    <w:jc w:val="center"/>
                    <w:rPr>
                      <w:rFonts w:ascii="Times New Roman" w:hAnsi="Times New Roman"/>
                      <w:szCs w:val="21"/>
                    </w:rPr>
                  </w:pPr>
                  <w:r>
                    <w:rPr>
                      <w:rFonts w:ascii="Times New Roman" w:hAnsi="Times New Roman"/>
                      <w:szCs w:val="21"/>
                    </w:rPr>
                    <w:t xml:space="preserve">234.92 </w:t>
                  </w:r>
                </w:p>
              </w:tc>
              <w:tc>
                <w:tcPr>
                  <w:tcW w:w="2249" w:type="dxa"/>
                  <w:tcBorders>
                    <w:top w:val="single" w:color="auto" w:sz="4" w:space="0"/>
                    <w:left w:val="single" w:color="auto" w:sz="4" w:space="0"/>
                    <w:bottom w:val="single" w:color="auto" w:sz="4" w:space="0"/>
                    <w:right w:val="single" w:color="auto" w:sz="4" w:space="0"/>
                  </w:tcBorders>
                  <w:vAlign w:val="center"/>
                </w:tcPr>
                <w:p w14:paraId="5A8E6EB6">
                  <w:pPr>
                    <w:jc w:val="center"/>
                    <w:rPr>
                      <w:rFonts w:ascii="Times New Roman" w:hAnsi="Times New Roman"/>
                      <w:szCs w:val="21"/>
                    </w:rPr>
                  </w:pPr>
                  <w:r>
                    <w:rPr>
                      <w:rFonts w:ascii="Times New Roman" w:hAnsi="Times New Roman"/>
                      <w:szCs w:val="21"/>
                    </w:rPr>
                    <w:t xml:space="preserve">26.60 </w:t>
                  </w:r>
                </w:p>
              </w:tc>
              <w:tc>
                <w:tcPr>
                  <w:tcW w:w="2173" w:type="dxa"/>
                  <w:vAlign w:val="center"/>
                </w:tcPr>
                <w:p w14:paraId="253A1668">
                  <w:pPr>
                    <w:jc w:val="center"/>
                    <w:rPr>
                      <w:rFonts w:ascii="Times New Roman" w:hAnsi="Times New Roman"/>
                      <w:szCs w:val="21"/>
                    </w:rPr>
                  </w:pPr>
                  <w:r>
                    <w:rPr>
                      <w:rFonts w:ascii="Times New Roman" w:hAnsi="Times New Roman"/>
                      <w:szCs w:val="21"/>
                    </w:rPr>
                    <w:t xml:space="preserve">35.80 </w:t>
                  </w:r>
                </w:p>
              </w:tc>
              <w:tc>
                <w:tcPr>
                  <w:tcW w:w="2102" w:type="dxa"/>
                  <w:vAlign w:val="center"/>
                </w:tcPr>
                <w:p w14:paraId="407A68E6">
                  <w:pPr>
                    <w:jc w:val="center"/>
                    <w:rPr>
                      <w:rFonts w:ascii="Times New Roman" w:hAnsi="Times New Roman"/>
                      <w:szCs w:val="21"/>
                    </w:rPr>
                  </w:pPr>
                  <w:r>
                    <w:rPr>
                      <w:rFonts w:ascii="Times New Roman" w:hAnsi="Times New Roman"/>
                      <w:szCs w:val="21"/>
                    </w:rPr>
                    <w:t xml:space="preserve">29.86 </w:t>
                  </w:r>
                </w:p>
              </w:tc>
            </w:tr>
            <w:tr w14:paraId="25F2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A2FF29B">
                  <w:pPr>
                    <w:jc w:val="center"/>
                    <w:rPr>
                      <w:rFonts w:ascii="Times New Roman" w:hAnsi="Times New Roman"/>
                      <w:szCs w:val="21"/>
                    </w:rPr>
                  </w:pPr>
                  <w:r>
                    <w:rPr>
                      <w:rFonts w:ascii="Times New Roman" w:hAnsi="Times New Roman"/>
                      <w:szCs w:val="21"/>
                    </w:rPr>
                    <w:t>332</w:t>
                  </w:r>
                </w:p>
              </w:tc>
              <w:tc>
                <w:tcPr>
                  <w:tcW w:w="814" w:type="dxa"/>
                  <w:vAlign w:val="center"/>
                </w:tcPr>
                <w:p w14:paraId="3C7ADAEF">
                  <w:pPr>
                    <w:jc w:val="center"/>
                    <w:rPr>
                      <w:rFonts w:ascii="Times New Roman" w:hAnsi="Times New Roman"/>
                      <w:szCs w:val="21"/>
                    </w:rPr>
                  </w:pPr>
                  <w:r>
                    <w:rPr>
                      <w:rFonts w:ascii="Times New Roman" w:hAnsi="Times New Roman"/>
                      <w:szCs w:val="21"/>
                    </w:rPr>
                    <w:t xml:space="preserve">113.55 </w:t>
                  </w:r>
                </w:p>
              </w:tc>
              <w:tc>
                <w:tcPr>
                  <w:tcW w:w="869" w:type="dxa"/>
                  <w:vAlign w:val="center"/>
                </w:tcPr>
                <w:p w14:paraId="502DC642">
                  <w:pPr>
                    <w:jc w:val="center"/>
                    <w:rPr>
                      <w:rFonts w:ascii="Times New Roman" w:hAnsi="Times New Roman"/>
                      <w:szCs w:val="21"/>
                    </w:rPr>
                  </w:pPr>
                  <w:r>
                    <w:rPr>
                      <w:rFonts w:ascii="Times New Roman" w:hAnsi="Times New Roman"/>
                      <w:szCs w:val="21"/>
                    </w:rPr>
                    <w:t xml:space="preserve">311.98 </w:t>
                  </w:r>
                </w:p>
              </w:tc>
              <w:tc>
                <w:tcPr>
                  <w:tcW w:w="2249" w:type="dxa"/>
                  <w:tcBorders>
                    <w:top w:val="single" w:color="auto" w:sz="4" w:space="0"/>
                    <w:left w:val="single" w:color="auto" w:sz="4" w:space="0"/>
                    <w:bottom w:val="single" w:color="auto" w:sz="4" w:space="0"/>
                    <w:right w:val="single" w:color="auto" w:sz="4" w:space="0"/>
                  </w:tcBorders>
                  <w:vAlign w:val="center"/>
                </w:tcPr>
                <w:p w14:paraId="071BBE1A">
                  <w:pPr>
                    <w:jc w:val="center"/>
                    <w:rPr>
                      <w:rFonts w:ascii="Times New Roman" w:hAnsi="Times New Roman"/>
                      <w:szCs w:val="21"/>
                    </w:rPr>
                  </w:pPr>
                  <w:r>
                    <w:rPr>
                      <w:rFonts w:ascii="Times New Roman" w:hAnsi="Times New Roman"/>
                      <w:szCs w:val="21"/>
                    </w:rPr>
                    <w:t xml:space="preserve">15.08 </w:t>
                  </w:r>
                </w:p>
              </w:tc>
              <w:tc>
                <w:tcPr>
                  <w:tcW w:w="2173" w:type="dxa"/>
                  <w:vAlign w:val="center"/>
                </w:tcPr>
                <w:p w14:paraId="4E58A30B">
                  <w:pPr>
                    <w:jc w:val="center"/>
                    <w:rPr>
                      <w:rFonts w:ascii="Times New Roman" w:hAnsi="Times New Roman"/>
                      <w:szCs w:val="21"/>
                    </w:rPr>
                  </w:pPr>
                  <w:r>
                    <w:rPr>
                      <w:rFonts w:ascii="Times New Roman" w:hAnsi="Times New Roman"/>
                      <w:szCs w:val="21"/>
                    </w:rPr>
                    <w:t xml:space="preserve">20.30 </w:t>
                  </w:r>
                </w:p>
              </w:tc>
              <w:tc>
                <w:tcPr>
                  <w:tcW w:w="2102" w:type="dxa"/>
                  <w:vAlign w:val="center"/>
                </w:tcPr>
                <w:p w14:paraId="3973AE4B">
                  <w:pPr>
                    <w:jc w:val="center"/>
                    <w:rPr>
                      <w:rFonts w:ascii="Times New Roman" w:hAnsi="Times New Roman"/>
                      <w:szCs w:val="21"/>
                    </w:rPr>
                  </w:pPr>
                  <w:r>
                    <w:rPr>
                      <w:rFonts w:ascii="Times New Roman" w:hAnsi="Times New Roman"/>
                      <w:szCs w:val="21"/>
                    </w:rPr>
                    <w:t xml:space="preserve">16.93 </w:t>
                  </w:r>
                </w:p>
              </w:tc>
            </w:tr>
            <w:tr w14:paraId="531C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5BF9F15C">
                  <w:pPr>
                    <w:jc w:val="center"/>
                    <w:rPr>
                      <w:rFonts w:ascii="Times New Roman" w:hAnsi="Times New Roman"/>
                      <w:szCs w:val="21"/>
                    </w:rPr>
                  </w:pPr>
                  <w:r>
                    <w:rPr>
                      <w:rFonts w:ascii="Times New Roman" w:hAnsi="Times New Roman"/>
                      <w:szCs w:val="21"/>
                    </w:rPr>
                    <w:t>333</w:t>
                  </w:r>
                </w:p>
              </w:tc>
              <w:tc>
                <w:tcPr>
                  <w:tcW w:w="814" w:type="dxa"/>
                  <w:vAlign w:val="center"/>
                </w:tcPr>
                <w:p w14:paraId="1EAD46AB">
                  <w:pPr>
                    <w:jc w:val="center"/>
                    <w:rPr>
                      <w:rFonts w:ascii="Times New Roman" w:hAnsi="Times New Roman"/>
                      <w:szCs w:val="21"/>
                    </w:rPr>
                  </w:pPr>
                  <w:r>
                    <w:rPr>
                      <w:rFonts w:ascii="Times New Roman" w:hAnsi="Times New Roman"/>
                      <w:szCs w:val="21"/>
                    </w:rPr>
                    <w:t xml:space="preserve">113.89 </w:t>
                  </w:r>
                </w:p>
              </w:tc>
              <w:tc>
                <w:tcPr>
                  <w:tcW w:w="869" w:type="dxa"/>
                  <w:vAlign w:val="center"/>
                </w:tcPr>
                <w:p w14:paraId="787CC557">
                  <w:pPr>
                    <w:jc w:val="center"/>
                    <w:rPr>
                      <w:rFonts w:ascii="Times New Roman" w:hAnsi="Times New Roman"/>
                      <w:szCs w:val="21"/>
                    </w:rPr>
                  </w:pPr>
                  <w:r>
                    <w:rPr>
                      <w:rFonts w:ascii="Times New Roman" w:hAnsi="Times New Roman"/>
                      <w:szCs w:val="21"/>
                    </w:rPr>
                    <w:t xml:space="preserve">312.92 </w:t>
                  </w:r>
                </w:p>
              </w:tc>
              <w:tc>
                <w:tcPr>
                  <w:tcW w:w="2249" w:type="dxa"/>
                  <w:tcBorders>
                    <w:top w:val="single" w:color="auto" w:sz="4" w:space="0"/>
                    <w:left w:val="single" w:color="auto" w:sz="4" w:space="0"/>
                    <w:bottom w:val="single" w:color="auto" w:sz="4" w:space="0"/>
                    <w:right w:val="single" w:color="auto" w:sz="4" w:space="0"/>
                  </w:tcBorders>
                  <w:vAlign w:val="center"/>
                </w:tcPr>
                <w:p w14:paraId="65AB95C9">
                  <w:pPr>
                    <w:jc w:val="center"/>
                    <w:rPr>
                      <w:rFonts w:ascii="Times New Roman" w:hAnsi="Times New Roman"/>
                      <w:szCs w:val="21"/>
                    </w:rPr>
                  </w:pPr>
                  <w:r>
                    <w:rPr>
                      <w:rFonts w:ascii="Times New Roman" w:hAnsi="Times New Roman"/>
                      <w:szCs w:val="21"/>
                    </w:rPr>
                    <w:t>14.99（控制区）</w:t>
                  </w:r>
                </w:p>
              </w:tc>
              <w:tc>
                <w:tcPr>
                  <w:tcW w:w="2173" w:type="dxa"/>
                  <w:vAlign w:val="center"/>
                </w:tcPr>
                <w:p w14:paraId="029E318A">
                  <w:pPr>
                    <w:jc w:val="center"/>
                    <w:rPr>
                      <w:rFonts w:ascii="Times New Roman" w:hAnsi="Times New Roman"/>
                      <w:szCs w:val="21"/>
                    </w:rPr>
                  </w:pPr>
                  <w:r>
                    <w:rPr>
                      <w:rFonts w:ascii="Times New Roman" w:hAnsi="Times New Roman"/>
                      <w:szCs w:val="21"/>
                    </w:rPr>
                    <w:t xml:space="preserve">20.18 </w:t>
                  </w:r>
                </w:p>
              </w:tc>
              <w:tc>
                <w:tcPr>
                  <w:tcW w:w="2102" w:type="dxa"/>
                  <w:vAlign w:val="center"/>
                </w:tcPr>
                <w:p w14:paraId="09DF35BB">
                  <w:pPr>
                    <w:jc w:val="center"/>
                    <w:rPr>
                      <w:rFonts w:ascii="Times New Roman" w:hAnsi="Times New Roman"/>
                      <w:szCs w:val="21"/>
                    </w:rPr>
                  </w:pPr>
                  <w:r>
                    <w:rPr>
                      <w:rFonts w:ascii="Times New Roman" w:hAnsi="Times New Roman"/>
                      <w:szCs w:val="21"/>
                    </w:rPr>
                    <w:t xml:space="preserve">16.83 </w:t>
                  </w:r>
                </w:p>
              </w:tc>
            </w:tr>
            <w:tr w14:paraId="64C9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9FEB3F8">
                  <w:pPr>
                    <w:jc w:val="center"/>
                    <w:rPr>
                      <w:rFonts w:ascii="Times New Roman" w:hAnsi="Times New Roman"/>
                      <w:szCs w:val="21"/>
                    </w:rPr>
                  </w:pPr>
                  <w:r>
                    <w:rPr>
                      <w:rFonts w:ascii="Times New Roman" w:hAnsi="Times New Roman"/>
                      <w:szCs w:val="21"/>
                    </w:rPr>
                    <w:t>350</w:t>
                  </w:r>
                </w:p>
              </w:tc>
              <w:tc>
                <w:tcPr>
                  <w:tcW w:w="814" w:type="dxa"/>
                  <w:vAlign w:val="center"/>
                </w:tcPr>
                <w:p w14:paraId="5B4AE432">
                  <w:pPr>
                    <w:jc w:val="center"/>
                    <w:rPr>
                      <w:rFonts w:ascii="Times New Roman" w:hAnsi="Times New Roman"/>
                      <w:szCs w:val="21"/>
                    </w:rPr>
                  </w:pPr>
                  <w:r>
                    <w:rPr>
                      <w:rFonts w:ascii="Times New Roman" w:hAnsi="Times New Roman"/>
                      <w:szCs w:val="21"/>
                    </w:rPr>
                    <w:t xml:space="preserve">119.71 </w:t>
                  </w:r>
                </w:p>
              </w:tc>
              <w:tc>
                <w:tcPr>
                  <w:tcW w:w="869" w:type="dxa"/>
                  <w:vAlign w:val="center"/>
                </w:tcPr>
                <w:p w14:paraId="6321275B">
                  <w:pPr>
                    <w:jc w:val="center"/>
                    <w:rPr>
                      <w:rFonts w:ascii="Times New Roman" w:hAnsi="Times New Roman"/>
                      <w:szCs w:val="21"/>
                    </w:rPr>
                  </w:pPr>
                  <w:r>
                    <w:rPr>
                      <w:rFonts w:ascii="Times New Roman" w:hAnsi="Times New Roman"/>
                      <w:szCs w:val="21"/>
                    </w:rPr>
                    <w:t xml:space="preserve">328.89 </w:t>
                  </w:r>
                </w:p>
              </w:tc>
              <w:tc>
                <w:tcPr>
                  <w:tcW w:w="2249" w:type="dxa"/>
                  <w:tcBorders>
                    <w:top w:val="single" w:color="auto" w:sz="4" w:space="0"/>
                    <w:left w:val="single" w:color="auto" w:sz="4" w:space="0"/>
                    <w:bottom w:val="single" w:color="auto" w:sz="4" w:space="0"/>
                    <w:right w:val="single" w:color="auto" w:sz="4" w:space="0"/>
                  </w:tcBorders>
                  <w:vAlign w:val="center"/>
                </w:tcPr>
                <w:p w14:paraId="09EFBC0F">
                  <w:pPr>
                    <w:jc w:val="center"/>
                    <w:rPr>
                      <w:rFonts w:ascii="Times New Roman" w:hAnsi="Times New Roman"/>
                      <w:szCs w:val="21"/>
                    </w:rPr>
                  </w:pPr>
                  <w:r>
                    <w:rPr>
                      <w:rFonts w:ascii="Times New Roman" w:hAnsi="Times New Roman"/>
                      <w:szCs w:val="21"/>
                    </w:rPr>
                    <w:t xml:space="preserve">13.57 </w:t>
                  </w:r>
                </w:p>
              </w:tc>
              <w:tc>
                <w:tcPr>
                  <w:tcW w:w="2173" w:type="dxa"/>
                  <w:vAlign w:val="center"/>
                </w:tcPr>
                <w:p w14:paraId="4D0E3170">
                  <w:pPr>
                    <w:jc w:val="center"/>
                    <w:rPr>
                      <w:rFonts w:ascii="Times New Roman" w:hAnsi="Times New Roman"/>
                      <w:szCs w:val="21"/>
                    </w:rPr>
                  </w:pPr>
                  <w:r>
                    <w:rPr>
                      <w:rFonts w:ascii="Times New Roman" w:hAnsi="Times New Roman"/>
                      <w:szCs w:val="21"/>
                    </w:rPr>
                    <w:t xml:space="preserve">18.27 </w:t>
                  </w:r>
                </w:p>
              </w:tc>
              <w:tc>
                <w:tcPr>
                  <w:tcW w:w="2102" w:type="dxa"/>
                  <w:vAlign w:val="center"/>
                </w:tcPr>
                <w:p w14:paraId="348B730D">
                  <w:pPr>
                    <w:jc w:val="center"/>
                    <w:rPr>
                      <w:rFonts w:ascii="Times New Roman" w:hAnsi="Times New Roman"/>
                      <w:szCs w:val="21"/>
                    </w:rPr>
                  </w:pPr>
                  <w:r>
                    <w:rPr>
                      <w:rFonts w:ascii="Times New Roman" w:hAnsi="Times New Roman"/>
                      <w:szCs w:val="21"/>
                    </w:rPr>
                    <w:t xml:space="preserve">15.23 </w:t>
                  </w:r>
                </w:p>
              </w:tc>
            </w:tr>
            <w:tr w14:paraId="37D3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204C39BC">
                  <w:pPr>
                    <w:jc w:val="center"/>
                    <w:rPr>
                      <w:rFonts w:ascii="Times New Roman" w:hAnsi="Times New Roman"/>
                      <w:szCs w:val="21"/>
                    </w:rPr>
                  </w:pPr>
                  <w:r>
                    <w:rPr>
                      <w:rFonts w:ascii="Times New Roman" w:hAnsi="Times New Roman"/>
                      <w:szCs w:val="21"/>
                    </w:rPr>
                    <w:t>353</w:t>
                  </w:r>
                </w:p>
              </w:tc>
              <w:tc>
                <w:tcPr>
                  <w:tcW w:w="814" w:type="dxa"/>
                  <w:vAlign w:val="center"/>
                </w:tcPr>
                <w:p w14:paraId="274F9AC5">
                  <w:pPr>
                    <w:jc w:val="center"/>
                    <w:rPr>
                      <w:rFonts w:ascii="Times New Roman" w:hAnsi="Times New Roman"/>
                      <w:szCs w:val="21"/>
                    </w:rPr>
                  </w:pPr>
                  <w:r>
                    <w:rPr>
                      <w:rFonts w:ascii="Times New Roman" w:hAnsi="Times New Roman"/>
                      <w:szCs w:val="21"/>
                    </w:rPr>
                    <w:t xml:space="preserve">120.73 </w:t>
                  </w:r>
                </w:p>
              </w:tc>
              <w:tc>
                <w:tcPr>
                  <w:tcW w:w="869" w:type="dxa"/>
                  <w:vAlign w:val="center"/>
                </w:tcPr>
                <w:p w14:paraId="33F13742">
                  <w:pPr>
                    <w:jc w:val="center"/>
                    <w:rPr>
                      <w:rFonts w:ascii="Times New Roman" w:hAnsi="Times New Roman"/>
                      <w:szCs w:val="21"/>
                    </w:rPr>
                  </w:pPr>
                  <w:r>
                    <w:rPr>
                      <w:rFonts w:ascii="Times New Roman" w:hAnsi="Times New Roman"/>
                      <w:szCs w:val="21"/>
                    </w:rPr>
                    <w:t xml:space="preserve">331.71 </w:t>
                  </w:r>
                </w:p>
              </w:tc>
              <w:tc>
                <w:tcPr>
                  <w:tcW w:w="2249" w:type="dxa"/>
                  <w:tcBorders>
                    <w:top w:val="single" w:color="auto" w:sz="4" w:space="0"/>
                    <w:left w:val="single" w:color="auto" w:sz="4" w:space="0"/>
                    <w:bottom w:val="single" w:color="auto" w:sz="4" w:space="0"/>
                    <w:right w:val="single" w:color="auto" w:sz="4" w:space="0"/>
                  </w:tcBorders>
                  <w:vAlign w:val="center"/>
                </w:tcPr>
                <w:p w14:paraId="47E1A196">
                  <w:pPr>
                    <w:jc w:val="center"/>
                    <w:rPr>
                      <w:rFonts w:ascii="Times New Roman" w:hAnsi="Times New Roman"/>
                      <w:szCs w:val="21"/>
                    </w:rPr>
                  </w:pPr>
                  <w:r>
                    <w:rPr>
                      <w:rFonts w:ascii="Times New Roman" w:hAnsi="Times New Roman"/>
                      <w:szCs w:val="21"/>
                    </w:rPr>
                    <w:t xml:space="preserve">13.34 </w:t>
                  </w:r>
                </w:p>
              </w:tc>
              <w:tc>
                <w:tcPr>
                  <w:tcW w:w="2173" w:type="dxa"/>
                  <w:vAlign w:val="center"/>
                </w:tcPr>
                <w:p w14:paraId="3600E3B1">
                  <w:pPr>
                    <w:jc w:val="center"/>
                    <w:rPr>
                      <w:rFonts w:ascii="Times New Roman" w:hAnsi="Times New Roman"/>
                      <w:szCs w:val="21"/>
                    </w:rPr>
                  </w:pPr>
                  <w:r>
                    <w:rPr>
                      <w:rFonts w:ascii="Times New Roman" w:hAnsi="Times New Roman"/>
                      <w:szCs w:val="21"/>
                    </w:rPr>
                    <w:t xml:space="preserve">17.96 </w:t>
                  </w:r>
                </w:p>
              </w:tc>
              <w:tc>
                <w:tcPr>
                  <w:tcW w:w="2102" w:type="dxa"/>
                  <w:vAlign w:val="center"/>
                </w:tcPr>
                <w:p w14:paraId="5B2BBBDD">
                  <w:pPr>
                    <w:jc w:val="center"/>
                    <w:rPr>
                      <w:rFonts w:ascii="Times New Roman" w:hAnsi="Times New Roman"/>
                      <w:szCs w:val="21"/>
                    </w:rPr>
                  </w:pPr>
                  <w:r>
                    <w:rPr>
                      <w:rFonts w:ascii="Times New Roman" w:hAnsi="Times New Roman"/>
                      <w:szCs w:val="21"/>
                    </w:rPr>
                    <w:t>14.98（控制区）</w:t>
                  </w:r>
                </w:p>
              </w:tc>
            </w:tr>
            <w:tr w14:paraId="459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34D37BF0">
                  <w:pPr>
                    <w:jc w:val="center"/>
                    <w:rPr>
                      <w:rFonts w:ascii="Times New Roman" w:hAnsi="Times New Roman"/>
                      <w:szCs w:val="21"/>
                    </w:rPr>
                  </w:pPr>
                  <w:r>
                    <w:rPr>
                      <w:rFonts w:ascii="Times New Roman" w:hAnsi="Times New Roman"/>
                      <w:szCs w:val="21"/>
                    </w:rPr>
                    <w:t>390</w:t>
                  </w:r>
                </w:p>
              </w:tc>
              <w:tc>
                <w:tcPr>
                  <w:tcW w:w="814" w:type="dxa"/>
                  <w:vAlign w:val="center"/>
                </w:tcPr>
                <w:p w14:paraId="3046857F">
                  <w:pPr>
                    <w:jc w:val="center"/>
                    <w:rPr>
                      <w:rFonts w:ascii="Times New Roman" w:hAnsi="Times New Roman"/>
                      <w:szCs w:val="21"/>
                    </w:rPr>
                  </w:pPr>
                  <w:r>
                    <w:rPr>
                      <w:rFonts w:ascii="Times New Roman" w:hAnsi="Times New Roman"/>
                      <w:szCs w:val="21"/>
                    </w:rPr>
                    <w:t xml:space="preserve">133.39 </w:t>
                  </w:r>
                </w:p>
              </w:tc>
              <w:tc>
                <w:tcPr>
                  <w:tcW w:w="869" w:type="dxa"/>
                  <w:vAlign w:val="center"/>
                </w:tcPr>
                <w:p w14:paraId="1C7C34C7">
                  <w:pPr>
                    <w:jc w:val="center"/>
                    <w:rPr>
                      <w:rFonts w:ascii="Times New Roman" w:hAnsi="Times New Roman"/>
                      <w:szCs w:val="21"/>
                    </w:rPr>
                  </w:pPr>
                  <w:r>
                    <w:rPr>
                      <w:rFonts w:ascii="Times New Roman" w:hAnsi="Times New Roman"/>
                      <w:szCs w:val="21"/>
                    </w:rPr>
                    <w:t xml:space="preserve">366.48 </w:t>
                  </w:r>
                </w:p>
              </w:tc>
              <w:tc>
                <w:tcPr>
                  <w:tcW w:w="2249" w:type="dxa"/>
                  <w:tcBorders>
                    <w:top w:val="single" w:color="auto" w:sz="4" w:space="0"/>
                    <w:left w:val="single" w:color="auto" w:sz="4" w:space="0"/>
                    <w:bottom w:val="single" w:color="auto" w:sz="4" w:space="0"/>
                    <w:right w:val="single" w:color="auto" w:sz="4" w:space="0"/>
                  </w:tcBorders>
                  <w:vAlign w:val="center"/>
                </w:tcPr>
                <w:p w14:paraId="64016F63">
                  <w:pPr>
                    <w:jc w:val="center"/>
                    <w:rPr>
                      <w:rFonts w:ascii="Times New Roman" w:hAnsi="Times New Roman"/>
                      <w:szCs w:val="21"/>
                    </w:rPr>
                  </w:pPr>
                  <w:r>
                    <w:rPr>
                      <w:rFonts w:ascii="Times New Roman" w:hAnsi="Times New Roman"/>
                      <w:szCs w:val="21"/>
                    </w:rPr>
                    <w:t xml:space="preserve">10.93 </w:t>
                  </w:r>
                </w:p>
              </w:tc>
              <w:tc>
                <w:tcPr>
                  <w:tcW w:w="2173" w:type="dxa"/>
                  <w:vAlign w:val="center"/>
                </w:tcPr>
                <w:p w14:paraId="261B128A">
                  <w:pPr>
                    <w:jc w:val="center"/>
                    <w:rPr>
                      <w:rFonts w:ascii="Times New Roman" w:hAnsi="Times New Roman"/>
                      <w:szCs w:val="21"/>
                    </w:rPr>
                  </w:pPr>
                  <w:r>
                    <w:rPr>
                      <w:rFonts w:ascii="Times New Roman" w:hAnsi="Times New Roman"/>
                      <w:szCs w:val="21"/>
                    </w:rPr>
                    <w:t>14.71（控制区）</w:t>
                  </w:r>
                </w:p>
              </w:tc>
              <w:tc>
                <w:tcPr>
                  <w:tcW w:w="2102" w:type="dxa"/>
                  <w:vAlign w:val="center"/>
                </w:tcPr>
                <w:p w14:paraId="77A30F59">
                  <w:pPr>
                    <w:jc w:val="center"/>
                    <w:rPr>
                      <w:rFonts w:ascii="Times New Roman" w:hAnsi="Times New Roman"/>
                      <w:szCs w:val="21"/>
                    </w:rPr>
                  </w:pPr>
                  <w:r>
                    <w:rPr>
                      <w:rFonts w:ascii="Times New Roman" w:hAnsi="Times New Roman"/>
                      <w:szCs w:val="21"/>
                    </w:rPr>
                    <w:t xml:space="preserve">12.27 </w:t>
                  </w:r>
                </w:p>
              </w:tc>
            </w:tr>
            <w:tr w14:paraId="5327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5B490447">
                  <w:pPr>
                    <w:jc w:val="center"/>
                    <w:rPr>
                      <w:rFonts w:ascii="Times New Roman" w:hAnsi="Times New Roman"/>
                      <w:szCs w:val="21"/>
                    </w:rPr>
                  </w:pPr>
                  <w:r>
                    <w:rPr>
                      <w:rFonts w:ascii="Times New Roman" w:hAnsi="Times New Roman"/>
                      <w:szCs w:val="21"/>
                    </w:rPr>
                    <w:t>500</w:t>
                  </w:r>
                </w:p>
              </w:tc>
              <w:tc>
                <w:tcPr>
                  <w:tcW w:w="814" w:type="dxa"/>
                  <w:vAlign w:val="center"/>
                </w:tcPr>
                <w:p w14:paraId="1B36063D">
                  <w:pPr>
                    <w:jc w:val="center"/>
                    <w:rPr>
                      <w:rFonts w:ascii="Times New Roman" w:hAnsi="Times New Roman"/>
                      <w:szCs w:val="21"/>
                    </w:rPr>
                  </w:pPr>
                  <w:r>
                    <w:rPr>
                      <w:rFonts w:ascii="Times New Roman" w:hAnsi="Times New Roman"/>
                      <w:szCs w:val="21"/>
                    </w:rPr>
                    <w:t xml:space="preserve">171.01 </w:t>
                  </w:r>
                </w:p>
              </w:tc>
              <w:tc>
                <w:tcPr>
                  <w:tcW w:w="869" w:type="dxa"/>
                  <w:vAlign w:val="center"/>
                </w:tcPr>
                <w:p w14:paraId="029A21F6">
                  <w:pPr>
                    <w:jc w:val="center"/>
                    <w:rPr>
                      <w:rFonts w:ascii="Times New Roman" w:hAnsi="Times New Roman"/>
                      <w:szCs w:val="21"/>
                    </w:rPr>
                  </w:pPr>
                  <w:r>
                    <w:rPr>
                      <w:rFonts w:ascii="Times New Roman" w:hAnsi="Times New Roman"/>
                      <w:szCs w:val="21"/>
                    </w:rPr>
                    <w:t xml:space="preserve">469.85 </w:t>
                  </w:r>
                </w:p>
              </w:tc>
              <w:tc>
                <w:tcPr>
                  <w:tcW w:w="2249" w:type="dxa"/>
                  <w:tcBorders>
                    <w:top w:val="single" w:color="auto" w:sz="4" w:space="0"/>
                    <w:left w:val="single" w:color="auto" w:sz="4" w:space="0"/>
                    <w:bottom w:val="single" w:color="auto" w:sz="4" w:space="0"/>
                    <w:right w:val="single" w:color="auto" w:sz="4" w:space="0"/>
                  </w:tcBorders>
                  <w:vAlign w:val="center"/>
                </w:tcPr>
                <w:p w14:paraId="6E159F00">
                  <w:pPr>
                    <w:jc w:val="center"/>
                    <w:rPr>
                      <w:rFonts w:ascii="Times New Roman" w:hAnsi="Times New Roman"/>
                      <w:szCs w:val="21"/>
                    </w:rPr>
                  </w:pPr>
                  <w:r>
                    <w:rPr>
                      <w:rFonts w:ascii="Times New Roman" w:hAnsi="Times New Roman"/>
                      <w:szCs w:val="21"/>
                    </w:rPr>
                    <w:t xml:space="preserve">6.65 </w:t>
                  </w:r>
                </w:p>
              </w:tc>
              <w:tc>
                <w:tcPr>
                  <w:tcW w:w="2173" w:type="dxa"/>
                  <w:vAlign w:val="center"/>
                </w:tcPr>
                <w:p w14:paraId="4E81AB87">
                  <w:pPr>
                    <w:jc w:val="center"/>
                    <w:rPr>
                      <w:rFonts w:ascii="Times New Roman" w:hAnsi="Times New Roman"/>
                      <w:szCs w:val="21"/>
                    </w:rPr>
                  </w:pPr>
                  <w:r>
                    <w:rPr>
                      <w:rFonts w:ascii="Times New Roman" w:hAnsi="Times New Roman"/>
                      <w:szCs w:val="21"/>
                    </w:rPr>
                    <w:t xml:space="preserve">8.95 </w:t>
                  </w:r>
                </w:p>
              </w:tc>
              <w:tc>
                <w:tcPr>
                  <w:tcW w:w="2102" w:type="dxa"/>
                  <w:vAlign w:val="center"/>
                </w:tcPr>
                <w:p w14:paraId="5F9E336E">
                  <w:pPr>
                    <w:jc w:val="center"/>
                    <w:rPr>
                      <w:rFonts w:ascii="Times New Roman" w:hAnsi="Times New Roman"/>
                      <w:szCs w:val="21"/>
                    </w:rPr>
                  </w:pPr>
                  <w:r>
                    <w:rPr>
                      <w:rFonts w:ascii="Times New Roman" w:hAnsi="Times New Roman"/>
                      <w:szCs w:val="21"/>
                    </w:rPr>
                    <w:t xml:space="preserve">7.46 </w:t>
                  </w:r>
                </w:p>
              </w:tc>
            </w:tr>
            <w:tr w14:paraId="61B4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3F50A7FA">
                  <w:pPr>
                    <w:jc w:val="center"/>
                    <w:rPr>
                      <w:rFonts w:ascii="Times New Roman" w:hAnsi="Times New Roman"/>
                      <w:szCs w:val="21"/>
                    </w:rPr>
                  </w:pPr>
                  <w:r>
                    <w:rPr>
                      <w:rFonts w:ascii="Times New Roman" w:hAnsi="Times New Roman"/>
                      <w:szCs w:val="21"/>
                    </w:rPr>
                    <w:t>700</w:t>
                  </w:r>
                </w:p>
              </w:tc>
              <w:tc>
                <w:tcPr>
                  <w:tcW w:w="814" w:type="dxa"/>
                  <w:vAlign w:val="center"/>
                </w:tcPr>
                <w:p w14:paraId="1448EDCD">
                  <w:pPr>
                    <w:jc w:val="center"/>
                    <w:rPr>
                      <w:rFonts w:ascii="Times New Roman" w:hAnsi="Times New Roman"/>
                      <w:szCs w:val="21"/>
                    </w:rPr>
                  </w:pPr>
                  <w:r>
                    <w:rPr>
                      <w:rFonts w:ascii="Times New Roman" w:hAnsi="Times New Roman"/>
                      <w:szCs w:val="21"/>
                    </w:rPr>
                    <w:t xml:space="preserve">239.41 </w:t>
                  </w:r>
                </w:p>
              </w:tc>
              <w:tc>
                <w:tcPr>
                  <w:tcW w:w="869" w:type="dxa"/>
                  <w:vAlign w:val="center"/>
                </w:tcPr>
                <w:p w14:paraId="4CD78BFE">
                  <w:pPr>
                    <w:jc w:val="center"/>
                    <w:rPr>
                      <w:rFonts w:ascii="Times New Roman" w:hAnsi="Times New Roman"/>
                      <w:szCs w:val="21"/>
                    </w:rPr>
                  </w:pPr>
                  <w:r>
                    <w:rPr>
                      <w:rFonts w:ascii="Times New Roman" w:hAnsi="Times New Roman"/>
                      <w:szCs w:val="21"/>
                    </w:rPr>
                    <w:t xml:space="preserve">657.78 </w:t>
                  </w:r>
                </w:p>
              </w:tc>
              <w:tc>
                <w:tcPr>
                  <w:tcW w:w="2249" w:type="dxa"/>
                  <w:tcBorders>
                    <w:top w:val="single" w:color="auto" w:sz="4" w:space="0"/>
                    <w:left w:val="single" w:color="auto" w:sz="4" w:space="0"/>
                    <w:bottom w:val="single" w:color="auto" w:sz="4" w:space="0"/>
                    <w:right w:val="single" w:color="auto" w:sz="4" w:space="0"/>
                  </w:tcBorders>
                  <w:vAlign w:val="center"/>
                </w:tcPr>
                <w:p w14:paraId="042263CC">
                  <w:pPr>
                    <w:jc w:val="center"/>
                    <w:rPr>
                      <w:rFonts w:ascii="Times New Roman" w:hAnsi="Times New Roman"/>
                      <w:szCs w:val="21"/>
                    </w:rPr>
                  </w:pPr>
                  <w:r>
                    <w:rPr>
                      <w:rFonts w:ascii="Times New Roman" w:hAnsi="Times New Roman"/>
                      <w:szCs w:val="21"/>
                    </w:rPr>
                    <w:t xml:space="preserve">3.39 </w:t>
                  </w:r>
                </w:p>
              </w:tc>
              <w:tc>
                <w:tcPr>
                  <w:tcW w:w="2173" w:type="dxa"/>
                  <w:vAlign w:val="center"/>
                </w:tcPr>
                <w:p w14:paraId="365B3864">
                  <w:pPr>
                    <w:jc w:val="center"/>
                    <w:rPr>
                      <w:rFonts w:ascii="Times New Roman" w:hAnsi="Times New Roman"/>
                      <w:szCs w:val="21"/>
                    </w:rPr>
                  </w:pPr>
                  <w:r>
                    <w:rPr>
                      <w:rFonts w:ascii="Times New Roman" w:hAnsi="Times New Roman"/>
                      <w:szCs w:val="21"/>
                    </w:rPr>
                    <w:t xml:space="preserve">4.57 </w:t>
                  </w:r>
                </w:p>
              </w:tc>
              <w:tc>
                <w:tcPr>
                  <w:tcW w:w="2102" w:type="dxa"/>
                  <w:vAlign w:val="center"/>
                </w:tcPr>
                <w:p w14:paraId="648F1F68">
                  <w:pPr>
                    <w:jc w:val="center"/>
                    <w:rPr>
                      <w:rFonts w:ascii="Times New Roman" w:hAnsi="Times New Roman"/>
                      <w:szCs w:val="21"/>
                    </w:rPr>
                  </w:pPr>
                  <w:r>
                    <w:rPr>
                      <w:rFonts w:ascii="Times New Roman" w:hAnsi="Times New Roman"/>
                      <w:szCs w:val="21"/>
                    </w:rPr>
                    <w:t xml:space="preserve">3.81 </w:t>
                  </w:r>
                </w:p>
              </w:tc>
            </w:tr>
            <w:tr w14:paraId="0422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C3B0F2C">
                  <w:pPr>
                    <w:jc w:val="center"/>
                    <w:rPr>
                      <w:rFonts w:ascii="Times New Roman" w:hAnsi="Times New Roman"/>
                      <w:szCs w:val="21"/>
                    </w:rPr>
                  </w:pPr>
                  <w:r>
                    <w:rPr>
                      <w:rFonts w:ascii="Times New Roman" w:hAnsi="Times New Roman"/>
                      <w:szCs w:val="21"/>
                    </w:rPr>
                    <w:t>816</w:t>
                  </w:r>
                </w:p>
              </w:tc>
              <w:tc>
                <w:tcPr>
                  <w:tcW w:w="814" w:type="dxa"/>
                  <w:vAlign w:val="center"/>
                </w:tcPr>
                <w:p w14:paraId="30C2027F">
                  <w:pPr>
                    <w:jc w:val="center"/>
                    <w:rPr>
                      <w:rFonts w:ascii="Times New Roman" w:hAnsi="Times New Roman"/>
                      <w:szCs w:val="21"/>
                    </w:rPr>
                  </w:pPr>
                  <w:r>
                    <w:rPr>
                      <w:rFonts w:ascii="Times New Roman" w:hAnsi="Times New Roman"/>
                      <w:szCs w:val="21"/>
                    </w:rPr>
                    <w:t xml:space="preserve">279.09 </w:t>
                  </w:r>
                </w:p>
              </w:tc>
              <w:tc>
                <w:tcPr>
                  <w:tcW w:w="869" w:type="dxa"/>
                  <w:vAlign w:val="center"/>
                </w:tcPr>
                <w:p w14:paraId="1DE69130">
                  <w:pPr>
                    <w:jc w:val="center"/>
                    <w:rPr>
                      <w:rFonts w:ascii="Times New Roman" w:hAnsi="Times New Roman"/>
                      <w:szCs w:val="21"/>
                    </w:rPr>
                  </w:pPr>
                  <w:r>
                    <w:rPr>
                      <w:rFonts w:ascii="Times New Roman" w:hAnsi="Times New Roman"/>
                      <w:szCs w:val="21"/>
                    </w:rPr>
                    <w:t xml:space="preserve">766.79 </w:t>
                  </w:r>
                </w:p>
              </w:tc>
              <w:tc>
                <w:tcPr>
                  <w:tcW w:w="2249" w:type="dxa"/>
                  <w:tcBorders>
                    <w:top w:val="single" w:color="auto" w:sz="4" w:space="0"/>
                    <w:left w:val="single" w:color="auto" w:sz="4" w:space="0"/>
                    <w:bottom w:val="single" w:color="auto" w:sz="4" w:space="0"/>
                    <w:right w:val="single" w:color="auto" w:sz="4" w:space="0"/>
                  </w:tcBorders>
                  <w:vAlign w:val="center"/>
                </w:tcPr>
                <w:p w14:paraId="315CAA1E">
                  <w:pPr>
                    <w:jc w:val="center"/>
                    <w:rPr>
                      <w:rFonts w:ascii="Times New Roman" w:hAnsi="Times New Roman"/>
                      <w:szCs w:val="21"/>
                    </w:rPr>
                  </w:pPr>
                  <w:r>
                    <w:rPr>
                      <w:rFonts w:ascii="Times New Roman" w:hAnsi="Times New Roman"/>
                      <w:szCs w:val="21"/>
                    </w:rPr>
                    <w:t xml:space="preserve">2.50 </w:t>
                  </w:r>
                </w:p>
              </w:tc>
              <w:tc>
                <w:tcPr>
                  <w:tcW w:w="2173" w:type="dxa"/>
                  <w:vAlign w:val="center"/>
                </w:tcPr>
                <w:p w14:paraId="4AF705E8">
                  <w:pPr>
                    <w:jc w:val="center"/>
                    <w:rPr>
                      <w:rFonts w:ascii="Times New Roman" w:hAnsi="Times New Roman"/>
                      <w:szCs w:val="21"/>
                    </w:rPr>
                  </w:pPr>
                  <w:r>
                    <w:rPr>
                      <w:rFonts w:ascii="Times New Roman" w:hAnsi="Times New Roman"/>
                      <w:szCs w:val="21"/>
                    </w:rPr>
                    <w:t xml:space="preserve">3.36 </w:t>
                  </w:r>
                </w:p>
              </w:tc>
              <w:tc>
                <w:tcPr>
                  <w:tcW w:w="2102" w:type="dxa"/>
                  <w:vAlign w:val="center"/>
                </w:tcPr>
                <w:p w14:paraId="01AA7A4A">
                  <w:pPr>
                    <w:jc w:val="center"/>
                    <w:rPr>
                      <w:rFonts w:ascii="Times New Roman" w:hAnsi="Times New Roman"/>
                      <w:szCs w:val="21"/>
                    </w:rPr>
                  </w:pPr>
                  <w:r>
                    <w:rPr>
                      <w:rFonts w:ascii="Times New Roman" w:hAnsi="Times New Roman"/>
                      <w:szCs w:val="21"/>
                    </w:rPr>
                    <w:t xml:space="preserve">2.80 </w:t>
                  </w:r>
                </w:p>
              </w:tc>
            </w:tr>
            <w:tr w14:paraId="24E5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2ACC50ED">
                  <w:pPr>
                    <w:jc w:val="center"/>
                    <w:rPr>
                      <w:rFonts w:ascii="Times New Roman" w:hAnsi="Times New Roman"/>
                      <w:szCs w:val="21"/>
                    </w:rPr>
                  </w:pPr>
                  <w:r>
                    <w:rPr>
                      <w:rFonts w:ascii="Times New Roman" w:hAnsi="Times New Roman"/>
                      <w:szCs w:val="21"/>
                    </w:rPr>
                    <w:t>817</w:t>
                  </w:r>
                </w:p>
              </w:tc>
              <w:tc>
                <w:tcPr>
                  <w:tcW w:w="814" w:type="dxa"/>
                  <w:vAlign w:val="center"/>
                </w:tcPr>
                <w:p w14:paraId="7B496468">
                  <w:pPr>
                    <w:jc w:val="center"/>
                    <w:rPr>
                      <w:rFonts w:ascii="Times New Roman" w:hAnsi="Times New Roman"/>
                      <w:szCs w:val="21"/>
                    </w:rPr>
                  </w:pPr>
                  <w:r>
                    <w:rPr>
                      <w:rFonts w:ascii="Times New Roman" w:hAnsi="Times New Roman"/>
                      <w:szCs w:val="21"/>
                    </w:rPr>
                    <w:t xml:space="preserve">279.43 </w:t>
                  </w:r>
                </w:p>
              </w:tc>
              <w:tc>
                <w:tcPr>
                  <w:tcW w:w="869" w:type="dxa"/>
                  <w:vAlign w:val="center"/>
                </w:tcPr>
                <w:p w14:paraId="499DF64F">
                  <w:pPr>
                    <w:jc w:val="center"/>
                    <w:rPr>
                      <w:rFonts w:ascii="Times New Roman" w:hAnsi="Times New Roman"/>
                      <w:szCs w:val="21"/>
                    </w:rPr>
                  </w:pPr>
                  <w:r>
                    <w:rPr>
                      <w:rFonts w:ascii="Times New Roman" w:hAnsi="Times New Roman"/>
                      <w:szCs w:val="21"/>
                    </w:rPr>
                    <w:t xml:space="preserve">767.73 </w:t>
                  </w:r>
                </w:p>
              </w:tc>
              <w:tc>
                <w:tcPr>
                  <w:tcW w:w="2249" w:type="dxa"/>
                  <w:tcBorders>
                    <w:top w:val="single" w:color="auto" w:sz="4" w:space="0"/>
                    <w:left w:val="single" w:color="auto" w:sz="4" w:space="0"/>
                    <w:bottom w:val="single" w:color="auto" w:sz="4" w:space="0"/>
                    <w:right w:val="single" w:color="auto" w:sz="4" w:space="0"/>
                  </w:tcBorders>
                  <w:vAlign w:val="center"/>
                </w:tcPr>
                <w:p w14:paraId="4BFF14FB">
                  <w:pPr>
                    <w:jc w:val="center"/>
                    <w:rPr>
                      <w:rFonts w:ascii="Times New Roman" w:hAnsi="Times New Roman"/>
                      <w:szCs w:val="21"/>
                    </w:rPr>
                  </w:pPr>
                  <w:r>
                    <w:rPr>
                      <w:rFonts w:ascii="Times New Roman" w:hAnsi="Times New Roman"/>
                      <w:szCs w:val="21"/>
                    </w:rPr>
                    <w:t>2.49（监督区）</w:t>
                  </w:r>
                </w:p>
              </w:tc>
              <w:tc>
                <w:tcPr>
                  <w:tcW w:w="2173" w:type="dxa"/>
                  <w:vAlign w:val="center"/>
                </w:tcPr>
                <w:p w14:paraId="13D4CAB0">
                  <w:pPr>
                    <w:jc w:val="center"/>
                    <w:rPr>
                      <w:rFonts w:ascii="Times New Roman" w:hAnsi="Times New Roman"/>
                      <w:szCs w:val="21"/>
                    </w:rPr>
                  </w:pPr>
                  <w:r>
                    <w:rPr>
                      <w:rFonts w:ascii="Times New Roman" w:hAnsi="Times New Roman"/>
                      <w:szCs w:val="21"/>
                    </w:rPr>
                    <w:t xml:space="preserve">3.35 </w:t>
                  </w:r>
                </w:p>
              </w:tc>
              <w:tc>
                <w:tcPr>
                  <w:tcW w:w="2102" w:type="dxa"/>
                  <w:vAlign w:val="center"/>
                </w:tcPr>
                <w:p w14:paraId="65706BD2">
                  <w:pPr>
                    <w:jc w:val="center"/>
                    <w:rPr>
                      <w:rFonts w:ascii="Times New Roman" w:hAnsi="Times New Roman"/>
                      <w:szCs w:val="21"/>
                    </w:rPr>
                  </w:pPr>
                  <w:r>
                    <w:rPr>
                      <w:rFonts w:ascii="Times New Roman" w:hAnsi="Times New Roman"/>
                      <w:szCs w:val="21"/>
                    </w:rPr>
                    <w:t xml:space="preserve">2.80 </w:t>
                  </w:r>
                </w:p>
              </w:tc>
            </w:tr>
            <w:tr w14:paraId="163D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0AB10D19">
                  <w:pPr>
                    <w:widowControl/>
                    <w:jc w:val="center"/>
                    <w:rPr>
                      <w:rFonts w:ascii="Times New Roman" w:hAnsi="Times New Roman"/>
                      <w:kern w:val="0"/>
                      <w:szCs w:val="21"/>
                    </w:rPr>
                  </w:pPr>
                  <w:r>
                    <w:rPr>
                      <w:rFonts w:ascii="Times New Roman" w:hAnsi="Times New Roman"/>
                      <w:szCs w:val="21"/>
                    </w:rPr>
                    <w:t>850</w:t>
                  </w:r>
                </w:p>
              </w:tc>
              <w:tc>
                <w:tcPr>
                  <w:tcW w:w="814" w:type="dxa"/>
                  <w:vAlign w:val="center"/>
                </w:tcPr>
                <w:p w14:paraId="45503CB7">
                  <w:pPr>
                    <w:jc w:val="center"/>
                    <w:rPr>
                      <w:rFonts w:ascii="Times New Roman" w:hAnsi="Times New Roman"/>
                      <w:szCs w:val="21"/>
                    </w:rPr>
                  </w:pPr>
                  <w:r>
                    <w:rPr>
                      <w:rFonts w:ascii="Times New Roman" w:hAnsi="Times New Roman"/>
                      <w:szCs w:val="21"/>
                    </w:rPr>
                    <w:t xml:space="preserve">290.72 </w:t>
                  </w:r>
                </w:p>
              </w:tc>
              <w:tc>
                <w:tcPr>
                  <w:tcW w:w="869" w:type="dxa"/>
                  <w:vAlign w:val="center"/>
                </w:tcPr>
                <w:p w14:paraId="32362102">
                  <w:pPr>
                    <w:jc w:val="center"/>
                    <w:rPr>
                      <w:rFonts w:ascii="Times New Roman" w:hAnsi="Times New Roman"/>
                      <w:szCs w:val="21"/>
                    </w:rPr>
                  </w:pPr>
                  <w:r>
                    <w:rPr>
                      <w:rFonts w:ascii="Times New Roman" w:hAnsi="Times New Roman"/>
                      <w:szCs w:val="21"/>
                    </w:rPr>
                    <w:t xml:space="preserve">798.74 </w:t>
                  </w:r>
                </w:p>
              </w:tc>
              <w:tc>
                <w:tcPr>
                  <w:tcW w:w="2249" w:type="dxa"/>
                  <w:tcBorders>
                    <w:top w:val="single" w:color="auto" w:sz="4" w:space="0"/>
                    <w:left w:val="single" w:color="auto" w:sz="4" w:space="0"/>
                    <w:bottom w:val="single" w:color="auto" w:sz="4" w:space="0"/>
                    <w:right w:val="single" w:color="auto" w:sz="4" w:space="0"/>
                  </w:tcBorders>
                  <w:vAlign w:val="center"/>
                </w:tcPr>
                <w:p w14:paraId="619D0C1C">
                  <w:pPr>
                    <w:jc w:val="center"/>
                    <w:rPr>
                      <w:rFonts w:ascii="Times New Roman" w:hAnsi="Times New Roman"/>
                      <w:szCs w:val="21"/>
                    </w:rPr>
                  </w:pPr>
                  <w:r>
                    <w:rPr>
                      <w:rFonts w:ascii="Times New Roman" w:hAnsi="Times New Roman"/>
                      <w:szCs w:val="21"/>
                    </w:rPr>
                    <w:t xml:space="preserve">2.30 </w:t>
                  </w:r>
                </w:p>
              </w:tc>
              <w:tc>
                <w:tcPr>
                  <w:tcW w:w="2173" w:type="dxa"/>
                  <w:vAlign w:val="center"/>
                </w:tcPr>
                <w:p w14:paraId="60E68BD3">
                  <w:pPr>
                    <w:jc w:val="center"/>
                    <w:rPr>
                      <w:rFonts w:ascii="Times New Roman" w:hAnsi="Times New Roman"/>
                      <w:szCs w:val="21"/>
                    </w:rPr>
                  </w:pPr>
                  <w:r>
                    <w:rPr>
                      <w:rFonts w:ascii="Times New Roman" w:hAnsi="Times New Roman"/>
                      <w:szCs w:val="21"/>
                    </w:rPr>
                    <w:t xml:space="preserve">3.10 </w:t>
                  </w:r>
                </w:p>
              </w:tc>
              <w:tc>
                <w:tcPr>
                  <w:tcW w:w="2102" w:type="dxa"/>
                  <w:vAlign w:val="center"/>
                </w:tcPr>
                <w:p w14:paraId="078F0EF3">
                  <w:pPr>
                    <w:jc w:val="center"/>
                    <w:rPr>
                      <w:rFonts w:ascii="Times New Roman" w:hAnsi="Times New Roman"/>
                      <w:szCs w:val="21"/>
                    </w:rPr>
                  </w:pPr>
                  <w:r>
                    <w:rPr>
                      <w:rFonts w:ascii="Times New Roman" w:hAnsi="Times New Roman"/>
                      <w:szCs w:val="21"/>
                    </w:rPr>
                    <w:t xml:space="preserve">2.58 </w:t>
                  </w:r>
                </w:p>
              </w:tc>
            </w:tr>
            <w:tr w14:paraId="5470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42E65C95">
                  <w:pPr>
                    <w:jc w:val="center"/>
                    <w:rPr>
                      <w:rFonts w:ascii="Times New Roman" w:hAnsi="Times New Roman"/>
                      <w:szCs w:val="21"/>
                    </w:rPr>
                  </w:pPr>
                  <w:r>
                    <w:rPr>
                      <w:rFonts w:ascii="Times New Roman" w:hAnsi="Times New Roman"/>
                      <w:szCs w:val="21"/>
                    </w:rPr>
                    <w:t>865</w:t>
                  </w:r>
                </w:p>
              </w:tc>
              <w:tc>
                <w:tcPr>
                  <w:tcW w:w="814" w:type="dxa"/>
                  <w:vAlign w:val="center"/>
                </w:tcPr>
                <w:p w14:paraId="1A7A9088">
                  <w:pPr>
                    <w:jc w:val="center"/>
                    <w:rPr>
                      <w:rFonts w:ascii="Times New Roman" w:hAnsi="Times New Roman"/>
                      <w:szCs w:val="21"/>
                    </w:rPr>
                  </w:pPr>
                  <w:r>
                    <w:rPr>
                      <w:rFonts w:ascii="Times New Roman" w:hAnsi="Times New Roman"/>
                      <w:szCs w:val="21"/>
                    </w:rPr>
                    <w:t xml:space="preserve">295.85 </w:t>
                  </w:r>
                </w:p>
              </w:tc>
              <w:tc>
                <w:tcPr>
                  <w:tcW w:w="869" w:type="dxa"/>
                  <w:vAlign w:val="center"/>
                </w:tcPr>
                <w:p w14:paraId="6B07610F">
                  <w:pPr>
                    <w:jc w:val="center"/>
                    <w:rPr>
                      <w:rFonts w:ascii="Times New Roman" w:hAnsi="Times New Roman"/>
                      <w:szCs w:val="21"/>
                    </w:rPr>
                  </w:pPr>
                  <w:r>
                    <w:rPr>
                      <w:rFonts w:ascii="Times New Roman" w:hAnsi="Times New Roman"/>
                      <w:szCs w:val="21"/>
                    </w:rPr>
                    <w:t xml:space="preserve">812.83 </w:t>
                  </w:r>
                </w:p>
              </w:tc>
              <w:tc>
                <w:tcPr>
                  <w:tcW w:w="2249" w:type="dxa"/>
                  <w:tcBorders>
                    <w:top w:val="single" w:color="auto" w:sz="4" w:space="0"/>
                    <w:left w:val="single" w:color="auto" w:sz="4" w:space="0"/>
                    <w:bottom w:val="single" w:color="auto" w:sz="4" w:space="0"/>
                    <w:right w:val="single" w:color="auto" w:sz="4" w:space="0"/>
                  </w:tcBorders>
                  <w:vAlign w:val="center"/>
                </w:tcPr>
                <w:p w14:paraId="15236A5F">
                  <w:pPr>
                    <w:jc w:val="center"/>
                    <w:rPr>
                      <w:rFonts w:ascii="Times New Roman" w:hAnsi="Times New Roman"/>
                      <w:szCs w:val="21"/>
                    </w:rPr>
                  </w:pPr>
                  <w:r>
                    <w:rPr>
                      <w:rFonts w:ascii="Times New Roman" w:hAnsi="Times New Roman"/>
                      <w:szCs w:val="21"/>
                    </w:rPr>
                    <w:t xml:space="preserve">2.22 </w:t>
                  </w:r>
                </w:p>
              </w:tc>
              <w:tc>
                <w:tcPr>
                  <w:tcW w:w="2173" w:type="dxa"/>
                  <w:vAlign w:val="center"/>
                </w:tcPr>
                <w:p w14:paraId="0AB483F9">
                  <w:pPr>
                    <w:jc w:val="center"/>
                    <w:rPr>
                      <w:rFonts w:ascii="Times New Roman" w:hAnsi="Times New Roman"/>
                      <w:szCs w:val="21"/>
                    </w:rPr>
                  </w:pPr>
                  <w:r>
                    <w:rPr>
                      <w:rFonts w:ascii="Times New Roman" w:hAnsi="Times New Roman"/>
                      <w:szCs w:val="21"/>
                    </w:rPr>
                    <w:t xml:space="preserve">2.99 </w:t>
                  </w:r>
                </w:p>
              </w:tc>
              <w:tc>
                <w:tcPr>
                  <w:tcW w:w="2102" w:type="dxa"/>
                  <w:vAlign w:val="center"/>
                </w:tcPr>
                <w:p w14:paraId="4A37A98B">
                  <w:pPr>
                    <w:jc w:val="center"/>
                    <w:rPr>
                      <w:rFonts w:ascii="Times New Roman" w:hAnsi="Times New Roman"/>
                      <w:szCs w:val="21"/>
                    </w:rPr>
                  </w:pPr>
                  <w:r>
                    <w:rPr>
                      <w:rFonts w:ascii="Times New Roman" w:hAnsi="Times New Roman"/>
                      <w:szCs w:val="21"/>
                    </w:rPr>
                    <w:t>2.49（监督区）</w:t>
                  </w:r>
                </w:p>
              </w:tc>
            </w:tr>
            <w:tr w14:paraId="6937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6BD34E34">
                  <w:pPr>
                    <w:jc w:val="center"/>
                    <w:rPr>
                      <w:rFonts w:ascii="Times New Roman" w:hAnsi="Times New Roman"/>
                      <w:szCs w:val="21"/>
                    </w:rPr>
                  </w:pPr>
                  <w:r>
                    <w:rPr>
                      <w:rFonts w:ascii="Times New Roman" w:hAnsi="Times New Roman"/>
                      <w:szCs w:val="21"/>
                    </w:rPr>
                    <w:t>900</w:t>
                  </w:r>
                </w:p>
              </w:tc>
              <w:tc>
                <w:tcPr>
                  <w:tcW w:w="814" w:type="dxa"/>
                  <w:vAlign w:val="center"/>
                </w:tcPr>
                <w:p w14:paraId="246C11CF">
                  <w:pPr>
                    <w:jc w:val="center"/>
                    <w:rPr>
                      <w:rFonts w:ascii="Times New Roman" w:hAnsi="Times New Roman"/>
                      <w:szCs w:val="21"/>
                    </w:rPr>
                  </w:pPr>
                  <w:r>
                    <w:rPr>
                      <w:rFonts w:ascii="Times New Roman" w:hAnsi="Times New Roman"/>
                      <w:szCs w:val="21"/>
                    </w:rPr>
                    <w:t xml:space="preserve">307.82 </w:t>
                  </w:r>
                </w:p>
              </w:tc>
              <w:tc>
                <w:tcPr>
                  <w:tcW w:w="869" w:type="dxa"/>
                  <w:vAlign w:val="center"/>
                </w:tcPr>
                <w:p w14:paraId="60F401D9">
                  <w:pPr>
                    <w:jc w:val="center"/>
                    <w:rPr>
                      <w:rFonts w:ascii="Times New Roman" w:hAnsi="Times New Roman"/>
                      <w:szCs w:val="21"/>
                    </w:rPr>
                  </w:pPr>
                  <w:r>
                    <w:rPr>
                      <w:rFonts w:ascii="Times New Roman" w:hAnsi="Times New Roman"/>
                      <w:szCs w:val="21"/>
                    </w:rPr>
                    <w:t xml:space="preserve">845.72 </w:t>
                  </w:r>
                </w:p>
              </w:tc>
              <w:tc>
                <w:tcPr>
                  <w:tcW w:w="2249" w:type="dxa"/>
                  <w:tcBorders>
                    <w:top w:val="single" w:color="auto" w:sz="4" w:space="0"/>
                    <w:left w:val="single" w:color="auto" w:sz="4" w:space="0"/>
                    <w:bottom w:val="single" w:color="auto" w:sz="4" w:space="0"/>
                    <w:right w:val="single" w:color="auto" w:sz="4" w:space="0"/>
                  </w:tcBorders>
                  <w:vAlign w:val="center"/>
                </w:tcPr>
                <w:p w14:paraId="0BF7BEE5">
                  <w:pPr>
                    <w:jc w:val="center"/>
                    <w:rPr>
                      <w:rFonts w:ascii="Times New Roman" w:hAnsi="Times New Roman"/>
                      <w:szCs w:val="21"/>
                    </w:rPr>
                  </w:pPr>
                  <w:r>
                    <w:rPr>
                      <w:rFonts w:ascii="Times New Roman" w:hAnsi="Times New Roman"/>
                      <w:szCs w:val="21"/>
                    </w:rPr>
                    <w:t xml:space="preserve">2.05 </w:t>
                  </w:r>
                </w:p>
              </w:tc>
              <w:tc>
                <w:tcPr>
                  <w:tcW w:w="2173" w:type="dxa"/>
                  <w:vAlign w:val="center"/>
                </w:tcPr>
                <w:p w14:paraId="3A632199">
                  <w:pPr>
                    <w:jc w:val="center"/>
                    <w:rPr>
                      <w:rFonts w:ascii="Times New Roman" w:hAnsi="Times New Roman"/>
                      <w:szCs w:val="21"/>
                    </w:rPr>
                  </w:pPr>
                  <w:r>
                    <w:rPr>
                      <w:rFonts w:ascii="Times New Roman" w:hAnsi="Times New Roman"/>
                      <w:szCs w:val="21"/>
                    </w:rPr>
                    <w:t xml:space="preserve">2.76 </w:t>
                  </w:r>
                </w:p>
              </w:tc>
              <w:tc>
                <w:tcPr>
                  <w:tcW w:w="2102" w:type="dxa"/>
                  <w:vAlign w:val="center"/>
                </w:tcPr>
                <w:p w14:paraId="080CAC39">
                  <w:pPr>
                    <w:jc w:val="center"/>
                    <w:rPr>
                      <w:rFonts w:ascii="Times New Roman" w:hAnsi="Times New Roman"/>
                      <w:szCs w:val="21"/>
                    </w:rPr>
                  </w:pPr>
                  <w:r>
                    <w:rPr>
                      <w:rFonts w:ascii="Times New Roman" w:hAnsi="Times New Roman"/>
                      <w:szCs w:val="21"/>
                    </w:rPr>
                    <w:t xml:space="preserve">2.30 </w:t>
                  </w:r>
                </w:p>
              </w:tc>
            </w:tr>
            <w:tr w14:paraId="6423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14:paraId="1A9AE6FD">
                  <w:pPr>
                    <w:jc w:val="center"/>
                    <w:rPr>
                      <w:rFonts w:ascii="Times New Roman" w:hAnsi="Times New Roman"/>
                      <w:szCs w:val="21"/>
                    </w:rPr>
                  </w:pPr>
                  <w:r>
                    <w:rPr>
                      <w:rFonts w:ascii="Times New Roman" w:hAnsi="Times New Roman"/>
                      <w:szCs w:val="21"/>
                    </w:rPr>
                    <w:t>950</w:t>
                  </w:r>
                </w:p>
              </w:tc>
              <w:tc>
                <w:tcPr>
                  <w:tcW w:w="814" w:type="dxa"/>
                  <w:vAlign w:val="center"/>
                </w:tcPr>
                <w:p w14:paraId="439C4037">
                  <w:pPr>
                    <w:jc w:val="center"/>
                    <w:rPr>
                      <w:rFonts w:ascii="Times New Roman" w:hAnsi="Times New Roman"/>
                      <w:szCs w:val="21"/>
                    </w:rPr>
                  </w:pPr>
                  <w:r>
                    <w:rPr>
                      <w:rFonts w:ascii="Times New Roman" w:hAnsi="Times New Roman"/>
                      <w:szCs w:val="21"/>
                    </w:rPr>
                    <w:t xml:space="preserve">324.92 </w:t>
                  </w:r>
                </w:p>
              </w:tc>
              <w:tc>
                <w:tcPr>
                  <w:tcW w:w="869" w:type="dxa"/>
                  <w:vAlign w:val="center"/>
                </w:tcPr>
                <w:p w14:paraId="5C5862AF">
                  <w:pPr>
                    <w:jc w:val="center"/>
                    <w:rPr>
                      <w:rFonts w:ascii="Times New Roman" w:hAnsi="Times New Roman"/>
                      <w:szCs w:val="21"/>
                    </w:rPr>
                  </w:pPr>
                  <w:r>
                    <w:rPr>
                      <w:rFonts w:ascii="Times New Roman" w:hAnsi="Times New Roman"/>
                      <w:szCs w:val="21"/>
                    </w:rPr>
                    <w:t xml:space="preserve">892.71 </w:t>
                  </w:r>
                </w:p>
              </w:tc>
              <w:tc>
                <w:tcPr>
                  <w:tcW w:w="2249" w:type="dxa"/>
                  <w:tcBorders>
                    <w:top w:val="single" w:color="auto" w:sz="4" w:space="0"/>
                    <w:left w:val="single" w:color="auto" w:sz="4" w:space="0"/>
                    <w:bottom w:val="single" w:color="auto" w:sz="4" w:space="0"/>
                    <w:right w:val="single" w:color="auto" w:sz="4" w:space="0"/>
                  </w:tcBorders>
                  <w:vAlign w:val="center"/>
                </w:tcPr>
                <w:p w14:paraId="45CEB235">
                  <w:pPr>
                    <w:jc w:val="center"/>
                    <w:rPr>
                      <w:rFonts w:ascii="Times New Roman" w:hAnsi="Times New Roman"/>
                      <w:szCs w:val="21"/>
                    </w:rPr>
                  </w:pPr>
                  <w:r>
                    <w:rPr>
                      <w:rFonts w:ascii="Times New Roman" w:hAnsi="Times New Roman"/>
                      <w:szCs w:val="21"/>
                    </w:rPr>
                    <w:t xml:space="preserve">1.84 </w:t>
                  </w:r>
                </w:p>
              </w:tc>
              <w:tc>
                <w:tcPr>
                  <w:tcW w:w="2173" w:type="dxa"/>
                  <w:vAlign w:val="center"/>
                </w:tcPr>
                <w:p w14:paraId="259784E8">
                  <w:pPr>
                    <w:jc w:val="center"/>
                    <w:rPr>
                      <w:rFonts w:ascii="Times New Roman" w:hAnsi="Times New Roman"/>
                      <w:szCs w:val="21"/>
                    </w:rPr>
                  </w:pPr>
                  <w:r>
                    <w:rPr>
                      <w:rFonts w:ascii="Times New Roman" w:hAnsi="Times New Roman"/>
                      <w:szCs w:val="21"/>
                    </w:rPr>
                    <w:t>2.48（监督区）</w:t>
                  </w:r>
                </w:p>
              </w:tc>
              <w:tc>
                <w:tcPr>
                  <w:tcW w:w="2102" w:type="dxa"/>
                  <w:vAlign w:val="center"/>
                </w:tcPr>
                <w:p w14:paraId="40D2701A">
                  <w:pPr>
                    <w:jc w:val="center"/>
                    <w:rPr>
                      <w:rFonts w:ascii="Times New Roman" w:hAnsi="Times New Roman"/>
                      <w:szCs w:val="21"/>
                    </w:rPr>
                  </w:pPr>
                  <w:r>
                    <w:rPr>
                      <w:rFonts w:ascii="Times New Roman" w:hAnsi="Times New Roman"/>
                      <w:szCs w:val="21"/>
                    </w:rPr>
                    <w:t xml:space="preserve">2.07 </w:t>
                  </w:r>
                </w:p>
              </w:tc>
            </w:tr>
          </w:tbl>
          <w:p w14:paraId="404B5FDA">
            <w:pPr>
              <w:adjustRightInd w:val="0"/>
              <w:snapToGrid w:val="0"/>
              <w:spacing w:before="120" w:beforeLines="50" w:line="360" w:lineRule="auto"/>
              <w:ind w:firstLine="482" w:firstLineChars="200"/>
              <w:rPr>
                <w:rFonts w:ascii="Times New Roman" w:hAnsi="Times New Roman"/>
                <w:b/>
                <w:bCs/>
              </w:rPr>
            </w:pPr>
            <w:r>
              <w:rPr>
                <w:rFonts w:ascii="Times New Roman" w:hAnsi="Times New Roman"/>
                <w:b/>
                <w:sz w:val="24"/>
              </w:rPr>
              <w:t>5、</w:t>
            </w:r>
            <w:r>
              <w:rPr>
                <w:rFonts w:ascii="Times New Roman" w:hAnsi="Times New Roman"/>
                <w:b/>
                <w:bCs/>
              </w:rPr>
              <w:t>理论计算结果</w:t>
            </w:r>
          </w:p>
          <w:p w14:paraId="26A91227">
            <w:pPr>
              <w:adjustRightInd w:val="0"/>
              <w:snapToGrid w:val="0"/>
              <w:spacing w:line="360" w:lineRule="auto"/>
              <w:ind w:firstLine="420" w:firstLineChars="200"/>
              <w:rPr>
                <w:rFonts w:ascii="Times New Roman" w:hAnsi="Times New Roman"/>
              </w:rPr>
            </w:pPr>
            <w:r>
              <w:rPr>
                <w:rFonts w:ascii="Times New Roman" w:hAnsi="Times New Roman"/>
              </w:rPr>
              <w:t>本项目野外（室外）探伤是根据探伤对象材料及厚度等实际情况选用相应的探伤机，且每次探伤作业仅限单台探伤机开机操作，将野外（室外）探伤作业设备的相关参数带入公式（1）～（5），可估算出不同管电压条件下探伤机探伤时</w:t>
            </w:r>
          </w:p>
          <w:p w14:paraId="3F2A217C">
            <w:pPr>
              <w:adjustRightInd w:val="0"/>
              <w:snapToGrid w:val="0"/>
              <w:spacing w:line="360" w:lineRule="auto"/>
              <w:ind w:firstLine="420" w:firstLineChars="200"/>
              <w:rPr>
                <w:rFonts w:ascii="Times New Roman" w:hAnsi="Times New Roman"/>
              </w:rPr>
            </w:pPr>
            <w:r>
              <w:rPr>
                <w:rFonts w:ascii="Times New Roman" w:hAnsi="Times New Roman"/>
              </w:rPr>
              <w:t>控制区和监督区的边界范围，具体见表11-7。</w:t>
            </w:r>
          </w:p>
          <w:p w14:paraId="4E53582E">
            <w:pPr>
              <w:adjustRightInd w:val="0"/>
              <w:snapToGrid w:val="0"/>
              <w:jc w:val="center"/>
              <w:rPr>
                <w:rFonts w:ascii="Times New Roman" w:hAnsi="Times New Roman"/>
                <w:b/>
                <w:bCs/>
              </w:rPr>
            </w:pPr>
            <w:r>
              <w:rPr>
                <w:rFonts w:ascii="Times New Roman" w:hAnsi="Times New Roman"/>
                <w:b/>
                <w:bCs/>
              </w:rPr>
              <w:t>表</w:t>
            </w:r>
            <w:r>
              <w:rPr>
                <w:rFonts w:ascii="Times New Roman" w:hAnsi="Times New Roman"/>
              </w:rPr>
              <w:t xml:space="preserve">11-7 </w:t>
            </w:r>
            <w:r>
              <w:rPr>
                <w:rFonts w:ascii="Times New Roman" w:hAnsi="Times New Roman"/>
                <w:b/>
                <w:bCs/>
              </w:rPr>
              <w:t>本项目野外（室外）探伤控制区与监督区边界范围估算结果表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209"/>
              <w:gridCol w:w="2209"/>
              <w:gridCol w:w="2209"/>
            </w:tblGrid>
            <w:tr w14:paraId="1699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6E6AB726">
                  <w:pPr>
                    <w:pStyle w:val="2"/>
                    <w:spacing w:after="0"/>
                    <w:ind w:left="0" w:leftChars="0" w:firstLine="0" w:firstLineChars="0"/>
                    <w:jc w:val="center"/>
                  </w:pPr>
                  <w:r>
                    <w:rPr>
                      <w:b/>
                      <w:bCs/>
                      <w:szCs w:val="21"/>
                    </w:rPr>
                    <w:t>探伤机型号</w:t>
                  </w:r>
                </w:p>
              </w:tc>
              <w:tc>
                <w:tcPr>
                  <w:tcW w:w="2209" w:type="dxa"/>
                </w:tcPr>
                <w:p w14:paraId="0F010FDD">
                  <w:pPr>
                    <w:pStyle w:val="2"/>
                    <w:spacing w:after="0"/>
                    <w:ind w:left="0" w:leftChars="0" w:firstLine="0" w:firstLineChars="0"/>
                    <w:jc w:val="center"/>
                  </w:pPr>
                  <w:r>
                    <w:rPr>
                      <w:b/>
                      <w:bCs/>
                      <w:szCs w:val="21"/>
                    </w:rPr>
                    <w:t>射线类型</w:t>
                  </w:r>
                </w:p>
              </w:tc>
              <w:tc>
                <w:tcPr>
                  <w:tcW w:w="2209" w:type="dxa"/>
                </w:tcPr>
                <w:p w14:paraId="36CA49DB">
                  <w:pPr>
                    <w:pStyle w:val="2"/>
                    <w:spacing w:after="0"/>
                    <w:ind w:left="0" w:leftChars="0" w:firstLine="0" w:firstLineChars="0"/>
                    <w:jc w:val="center"/>
                  </w:pPr>
                  <w:r>
                    <w:rPr>
                      <w:b/>
                      <w:bCs/>
                      <w:szCs w:val="21"/>
                    </w:rPr>
                    <w:t>控制区范围（</w:t>
                  </w:r>
                  <w:r>
                    <w:rPr>
                      <w:szCs w:val="21"/>
                    </w:rPr>
                    <w:t>m</w:t>
                  </w:r>
                  <w:r>
                    <w:rPr>
                      <w:b/>
                      <w:bCs/>
                      <w:szCs w:val="21"/>
                    </w:rPr>
                    <w:t>）</w:t>
                  </w:r>
                </w:p>
              </w:tc>
              <w:tc>
                <w:tcPr>
                  <w:tcW w:w="2209" w:type="dxa"/>
                </w:tcPr>
                <w:p w14:paraId="098035B9">
                  <w:pPr>
                    <w:pStyle w:val="2"/>
                    <w:spacing w:after="0"/>
                    <w:ind w:left="0" w:leftChars="0" w:firstLine="0" w:firstLineChars="0"/>
                    <w:jc w:val="center"/>
                  </w:pPr>
                  <w:r>
                    <w:rPr>
                      <w:b/>
                      <w:bCs/>
                      <w:szCs w:val="21"/>
                    </w:rPr>
                    <w:t>监督区范围（</w:t>
                  </w:r>
                  <w:r>
                    <w:rPr>
                      <w:szCs w:val="21"/>
                    </w:rPr>
                    <w:t>m</w:t>
                  </w:r>
                  <w:r>
                    <w:rPr>
                      <w:b/>
                      <w:bCs/>
                      <w:szCs w:val="21"/>
                    </w:rPr>
                    <w:t>）</w:t>
                  </w:r>
                </w:p>
              </w:tc>
            </w:tr>
            <w:tr w14:paraId="506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1ED73933">
                  <w:pPr>
                    <w:jc w:val="center"/>
                    <w:rPr>
                      <w:rFonts w:ascii="Times New Roman" w:hAnsi="Times New Roman"/>
                    </w:rPr>
                  </w:pPr>
                  <w:r>
                    <w:rPr>
                      <w:rFonts w:ascii="Times New Roman" w:hAnsi="Times New Roman"/>
                    </w:rPr>
                    <w:t>XT1605D</w:t>
                  </w:r>
                  <w:r>
                    <w:rPr>
                      <w:rFonts w:ascii="Times New Roman" w:hAnsi="Times New Roman"/>
                      <w:szCs w:val="21"/>
                    </w:rPr>
                    <w:t>定向X射线探伤机</w:t>
                  </w:r>
                </w:p>
              </w:tc>
              <w:tc>
                <w:tcPr>
                  <w:tcW w:w="2209" w:type="dxa"/>
                  <w:vAlign w:val="center"/>
                </w:tcPr>
                <w:p w14:paraId="41BA1BFD">
                  <w:pPr>
                    <w:pStyle w:val="2"/>
                    <w:spacing w:after="0"/>
                    <w:ind w:left="0" w:leftChars="0" w:firstLine="0" w:firstLineChars="0"/>
                    <w:jc w:val="center"/>
                  </w:pPr>
                  <w:r>
                    <w:rPr>
                      <w:szCs w:val="21"/>
                    </w:rPr>
                    <w:t>主射方向（10mm铅当量铅屏风屏蔽）</w:t>
                  </w:r>
                </w:p>
              </w:tc>
              <w:tc>
                <w:tcPr>
                  <w:tcW w:w="2209" w:type="dxa"/>
                  <w:vAlign w:val="center"/>
                </w:tcPr>
                <w:p w14:paraId="1BD0972C">
                  <w:pPr>
                    <w:pStyle w:val="2"/>
                    <w:spacing w:after="0"/>
                    <w:ind w:left="0" w:leftChars="0" w:firstLine="0" w:firstLineChars="0"/>
                    <w:jc w:val="center"/>
                  </w:pPr>
                  <w:r>
                    <w:t>6</w:t>
                  </w:r>
                </w:p>
              </w:tc>
              <w:tc>
                <w:tcPr>
                  <w:tcW w:w="2209" w:type="dxa"/>
                  <w:vAlign w:val="center"/>
                </w:tcPr>
                <w:p w14:paraId="2C4439CB">
                  <w:pPr>
                    <w:pStyle w:val="2"/>
                    <w:spacing w:after="0"/>
                    <w:ind w:left="0" w:leftChars="0" w:firstLine="0" w:firstLineChars="0"/>
                    <w:jc w:val="center"/>
                    <w:rPr>
                      <w:szCs w:val="21"/>
                    </w:rPr>
                  </w:pPr>
                  <w:r>
                    <w:rPr>
                      <w:szCs w:val="21"/>
                    </w:rPr>
                    <w:t>6~14</w:t>
                  </w:r>
                </w:p>
              </w:tc>
            </w:tr>
            <w:tr w14:paraId="6BF5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0ABC9551">
                  <w:pPr>
                    <w:jc w:val="center"/>
                    <w:rPr>
                      <w:rFonts w:ascii="Times New Roman" w:hAnsi="Times New Roman"/>
                    </w:rPr>
                  </w:pPr>
                </w:p>
              </w:tc>
              <w:tc>
                <w:tcPr>
                  <w:tcW w:w="2209" w:type="dxa"/>
                  <w:vAlign w:val="center"/>
                </w:tcPr>
                <w:p w14:paraId="7FB90037">
                  <w:pPr>
                    <w:pStyle w:val="2"/>
                    <w:spacing w:after="0"/>
                    <w:ind w:left="0" w:leftChars="0" w:firstLine="0" w:firstLineChars="0"/>
                    <w:jc w:val="center"/>
                    <w:rPr>
                      <w:szCs w:val="21"/>
                    </w:rPr>
                  </w:pPr>
                  <w:r>
                    <w:rPr>
                      <w:szCs w:val="21"/>
                    </w:rPr>
                    <w:t>非主射方向（5mm铅当量铅屏风屏蔽）</w:t>
                  </w:r>
                </w:p>
              </w:tc>
              <w:tc>
                <w:tcPr>
                  <w:tcW w:w="2209" w:type="dxa"/>
                  <w:vAlign w:val="center"/>
                </w:tcPr>
                <w:p w14:paraId="774A3C3B">
                  <w:pPr>
                    <w:pStyle w:val="2"/>
                    <w:spacing w:after="0"/>
                    <w:ind w:left="0" w:leftChars="0" w:firstLine="0" w:firstLineChars="0"/>
                    <w:jc w:val="center"/>
                  </w:pPr>
                  <w:r>
                    <w:t>2</w:t>
                  </w:r>
                </w:p>
              </w:tc>
              <w:tc>
                <w:tcPr>
                  <w:tcW w:w="2209" w:type="dxa"/>
                  <w:vAlign w:val="center"/>
                </w:tcPr>
                <w:p w14:paraId="75F5A62E">
                  <w:pPr>
                    <w:pStyle w:val="2"/>
                    <w:spacing w:after="0"/>
                    <w:ind w:left="0" w:leftChars="0" w:firstLine="0" w:firstLineChars="0"/>
                    <w:jc w:val="center"/>
                    <w:rPr>
                      <w:szCs w:val="21"/>
                    </w:rPr>
                  </w:pPr>
                  <w:r>
                    <w:rPr>
                      <w:szCs w:val="21"/>
                    </w:rPr>
                    <w:t>2~5</w:t>
                  </w:r>
                </w:p>
              </w:tc>
            </w:tr>
            <w:tr w14:paraId="5888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387B4F15">
                  <w:pPr>
                    <w:jc w:val="center"/>
                    <w:rPr>
                      <w:rFonts w:ascii="Times New Roman" w:hAnsi="Times New Roman"/>
                    </w:rPr>
                  </w:pPr>
                </w:p>
              </w:tc>
              <w:tc>
                <w:tcPr>
                  <w:tcW w:w="2209" w:type="dxa"/>
                  <w:vAlign w:val="center"/>
                </w:tcPr>
                <w:p w14:paraId="6D95B683">
                  <w:pPr>
                    <w:pStyle w:val="2"/>
                    <w:spacing w:after="0"/>
                    <w:ind w:left="0" w:leftChars="0" w:firstLine="0" w:firstLineChars="0"/>
                    <w:jc w:val="center"/>
                    <w:rPr>
                      <w:szCs w:val="21"/>
                    </w:rPr>
                  </w:pPr>
                  <w:r>
                    <w:rPr>
                      <w:szCs w:val="21"/>
                    </w:rPr>
                    <w:t>主射方向（桥下，无防护）</w:t>
                  </w:r>
                </w:p>
              </w:tc>
              <w:tc>
                <w:tcPr>
                  <w:tcW w:w="2209" w:type="dxa"/>
                  <w:vAlign w:val="center"/>
                </w:tcPr>
                <w:p w14:paraId="2387B049">
                  <w:pPr>
                    <w:pStyle w:val="2"/>
                    <w:spacing w:after="0"/>
                    <w:ind w:left="0" w:leftChars="0" w:firstLine="0" w:firstLineChars="0"/>
                    <w:jc w:val="center"/>
                  </w:pPr>
                  <w:r>
                    <w:t>114</w:t>
                  </w:r>
                </w:p>
              </w:tc>
              <w:tc>
                <w:tcPr>
                  <w:tcW w:w="2209" w:type="dxa"/>
                  <w:vAlign w:val="center"/>
                </w:tcPr>
                <w:p w14:paraId="27829B31">
                  <w:pPr>
                    <w:pStyle w:val="2"/>
                    <w:spacing w:after="0"/>
                    <w:ind w:left="0" w:leftChars="0" w:firstLine="0" w:firstLineChars="0"/>
                    <w:jc w:val="center"/>
                    <w:rPr>
                      <w:szCs w:val="21"/>
                    </w:rPr>
                  </w:pPr>
                  <w:r>
                    <w:rPr>
                      <w:szCs w:val="21"/>
                    </w:rPr>
                    <w:t>114~280</w:t>
                  </w:r>
                </w:p>
              </w:tc>
            </w:tr>
            <w:tr w14:paraId="45ED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Align w:val="center"/>
                </w:tcPr>
                <w:p w14:paraId="6FF8A8C2">
                  <w:pPr>
                    <w:jc w:val="center"/>
                    <w:rPr>
                      <w:rFonts w:ascii="Times New Roman" w:hAnsi="Times New Roman"/>
                    </w:rPr>
                  </w:pPr>
                  <w:r>
                    <w:rPr>
                      <w:rFonts w:ascii="Times New Roman" w:hAnsi="Times New Roman"/>
                      <w:bCs/>
                      <w:szCs w:val="21"/>
                    </w:rPr>
                    <w:t>XXH2005C</w:t>
                  </w:r>
                  <w:r>
                    <w:rPr>
                      <w:rFonts w:ascii="Times New Roman" w:hAnsi="Times New Roman"/>
                      <w:szCs w:val="21"/>
                    </w:rPr>
                    <w:t>周向X射线探伤机</w:t>
                  </w:r>
                </w:p>
              </w:tc>
              <w:tc>
                <w:tcPr>
                  <w:tcW w:w="2209" w:type="dxa"/>
                  <w:vAlign w:val="center"/>
                </w:tcPr>
                <w:p w14:paraId="316F010E">
                  <w:pPr>
                    <w:pStyle w:val="2"/>
                    <w:spacing w:after="0"/>
                    <w:ind w:left="0" w:leftChars="0" w:firstLine="0" w:firstLineChars="0"/>
                    <w:jc w:val="center"/>
                    <w:rPr>
                      <w:szCs w:val="21"/>
                    </w:rPr>
                  </w:pPr>
                  <w:r>
                    <w:rPr>
                      <w:szCs w:val="21"/>
                    </w:rPr>
                    <w:t>各方向（10mm铅当量铅屏风屏蔽）</w:t>
                  </w:r>
                </w:p>
              </w:tc>
              <w:tc>
                <w:tcPr>
                  <w:tcW w:w="2209" w:type="dxa"/>
                  <w:vAlign w:val="center"/>
                </w:tcPr>
                <w:p w14:paraId="0A884331">
                  <w:pPr>
                    <w:pStyle w:val="2"/>
                    <w:spacing w:after="0"/>
                    <w:ind w:left="0" w:leftChars="0" w:firstLine="0" w:firstLineChars="0"/>
                    <w:jc w:val="center"/>
                  </w:pPr>
                  <w:r>
                    <w:t>6</w:t>
                  </w:r>
                </w:p>
              </w:tc>
              <w:tc>
                <w:tcPr>
                  <w:tcW w:w="2209" w:type="dxa"/>
                  <w:vAlign w:val="center"/>
                </w:tcPr>
                <w:p w14:paraId="28865EC2">
                  <w:pPr>
                    <w:pStyle w:val="2"/>
                    <w:spacing w:after="0"/>
                    <w:ind w:left="0" w:leftChars="0" w:firstLine="0" w:firstLineChars="0"/>
                    <w:jc w:val="center"/>
                    <w:rPr>
                      <w:szCs w:val="21"/>
                    </w:rPr>
                  </w:pPr>
                  <w:r>
                    <w:rPr>
                      <w:szCs w:val="21"/>
                    </w:rPr>
                    <w:t>6~14</w:t>
                  </w:r>
                </w:p>
              </w:tc>
            </w:tr>
            <w:tr w14:paraId="47A8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Align w:val="center"/>
                </w:tcPr>
                <w:p w14:paraId="2BB1AC46">
                  <w:pPr>
                    <w:jc w:val="center"/>
                    <w:rPr>
                      <w:rFonts w:ascii="Times New Roman" w:hAnsi="Times New Roman"/>
                      <w:bCs/>
                      <w:szCs w:val="21"/>
                    </w:rPr>
                  </w:pPr>
                  <w:r>
                    <w:rPr>
                      <w:rFonts w:ascii="Times New Roman" w:hAnsi="Times New Roman"/>
                      <w:bCs/>
                      <w:szCs w:val="21"/>
                    </w:rPr>
                    <w:t>XT2505C</w:t>
                  </w:r>
                  <w:r>
                    <w:rPr>
                      <w:rFonts w:ascii="Times New Roman" w:hAnsi="Times New Roman"/>
                      <w:szCs w:val="21"/>
                    </w:rPr>
                    <w:t>周向X射线探伤机</w:t>
                  </w:r>
                </w:p>
              </w:tc>
              <w:tc>
                <w:tcPr>
                  <w:tcW w:w="2209" w:type="dxa"/>
                  <w:vAlign w:val="center"/>
                </w:tcPr>
                <w:p w14:paraId="5A2AD271">
                  <w:pPr>
                    <w:pStyle w:val="2"/>
                    <w:spacing w:after="0"/>
                    <w:ind w:left="0" w:leftChars="0" w:firstLine="0" w:firstLineChars="0"/>
                    <w:jc w:val="center"/>
                    <w:rPr>
                      <w:szCs w:val="21"/>
                    </w:rPr>
                  </w:pPr>
                  <w:r>
                    <w:rPr>
                      <w:szCs w:val="21"/>
                    </w:rPr>
                    <w:t>各方向（10mm铅当量铅屏风屏蔽）</w:t>
                  </w:r>
                </w:p>
              </w:tc>
              <w:tc>
                <w:tcPr>
                  <w:tcW w:w="2209" w:type="dxa"/>
                  <w:vAlign w:val="center"/>
                </w:tcPr>
                <w:p w14:paraId="37D83129">
                  <w:pPr>
                    <w:pStyle w:val="2"/>
                    <w:spacing w:after="0"/>
                    <w:ind w:left="0" w:leftChars="0" w:firstLine="0" w:firstLineChars="0"/>
                    <w:jc w:val="center"/>
                  </w:pPr>
                  <w:r>
                    <w:t>8</w:t>
                  </w:r>
                </w:p>
              </w:tc>
              <w:tc>
                <w:tcPr>
                  <w:tcW w:w="2209" w:type="dxa"/>
                  <w:vAlign w:val="center"/>
                </w:tcPr>
                <w:p w14:paraId="7BE2D240">
                  <w:pPr>
                    <w:pStyle w:val="2"/>
                    <w:spacing w:after="0"/>
                    <w:ind w:left="0" w:leftChars="0" w:firstLine="0" w:firstLineChars="0"/>
                    <w:jc w:val="center"/>
                    <w:rPr>
                      <w:szCs w:val="21"/>
                    </w:rPr>
                  </w:pPr>
                  <w:r>
                    <w:rPr>
                      <w:szCs w:val="21"/>
                    </w:rPr>
                    <w:t>8～18</w:t>
                  </w:r>
                </w:p>
              </w:tc>
            </w:tr>
            <w:tr w14:paraId="6288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0346B899">
                  <w:pPr>
                    <w:jc w:val="center"/>
                    <w:rPr>
                      <w:rFonts w:ascii="Times New Roman" w:hAnsi="Times New Roman"/>
                      <w:szCs w:val="21"/>
                    </w:rPr>
                  </w:pPr>
                  <w:r>
                    <w:rPr>
                      <w:rFonts w:ascii="Times New Roman" w:hAnsi="Times New Roman"/>
                    </w:rPr>
                    <w:t>XT2505D</w:t>
                  </w:r>
                  <w:r>
                    <w:rPr>
                      <w:rFonts w:ascii="Times New Roman" w:hAnsi="Times New Roman"/>
                      <w:szCs w:val="21"/>
                    </w:rPr>
                    <w:t>定向X射线探伤机</w:t>
                  </w:r>
                </w:p>
              </w:tc>
              <w:tc>
                <w:tcPr>
                  <w:tcW w:w="2209" w:type="dxa"/>
                  <w:vAlign w:val="center"/>
                </w:tcPr>
                <w:p w14:paraId="4B246B0C">
                  <w:pPr>
                    <w:pStyle w:val="2"/>
                    <w:spacing w:after="0"/>
                    <w:ind w:left="0" w:leftChars="0" w:firstLine="0" w:firstLineChars="0"/>
                    <w:jc w:val="center"/>
                  </w:pPr>
                  <w:r>
                    <w:rPr>
                      <w:szCs w:val="21"/>
                    </w:rPr>
                    <w:t>主射方向（10mm铅当量铅屏风屏蔽）</w:t>
                  </w:r>
                </w:p>
              </w:tc>
              <w:tc>
                <w:tcPr>
                  <w:tcW w:w="2209" w:type="dxa"/>
                  <w:vAlign w:val="center"/>
                </w:tcPr>
                <w:p w14:paraId="4F2B7E4F">
                  <w:pPr>
                    <w:pStyle w:val="2"/>
                    <w:spacing w:after="0"/>
                    <w:ind w:left="0" w:leftChars="0" w:firstLine="0" w:firstLineChars="0"/>
                    <w:jc w:val="center"/>
                  </w:pPr>
                  <w:r>
                    <w:t>8</w:t>
                  </w:r>
                </w:p>
              </w:tc>
              <w:tc>
                <w:tcPr>
                  <w:tcW w:w="2209" w:type="dxa"/>
                  <w:vAlign w:val="center"/>
                </w:tcPr>
                <w:p w14:paraId="52996A19">
                  <w:pPr>
                    <w:pStyle w:val="2"/>
                    <w:spacing w:after="0"/>
                    <w:ind w:left="0" w:leftChars="0" w:firstLine="0" w:firstLineChars="0"/>
                    <w:jc w:val="center"/>
                  </w:pPr>
                  <w:r>
                    <w:rPr>
                      <w:szCs w:val="21"/>
                    </w:rPr>
                    <w:t>8～18</w:t>
                  </w:r>
                </w:p>
              </w:tc>
            </w:tr>
            <w:tr w14:paraId="2B5D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1E23D761">
                  <w:pPr>
                    <w:jc w:val="center"/>
                    <w:rPr>
                      <w:rFonts w:ascii="Times New Roman" w:hAnsi="Times New Roman"/>
                    </w:rPr>
                  </w:pPr>
                </w:p>
              </w:tc>
              <w:tc>
                <w:tcPr>
                  <w:tcW w:w="2209" w:type="dxa"/>
                  <w:vAlign w:val="center"/>
                </w:tcPr>
                <w:p w14:paraId="600A5AA2">
                  <w:pPr>
                    <w:pStyle w:val="2"/>
                    <w:spacing w:after="0"/>
                    <w:ind w:left="0" w:leftChars="0" w:firstLine="0" w:firstLineChars="0"/>
                    <w:jc w:val="center"/>
                    <w:rPr>
                      <w:szCs w:val="21"/>
                    </w:rPr>
                  </w:pPr>
                  <w:r>
                    <w:rPr>
                      <w:szCs w:val="21"/>
                    </w:rPr>
                    <w:t>非主射方向（5mm铅当量铅屏风屏蔽）</w:t>
                  </w:r>
                </w:p>
              </w:tc>
              <w:tc>
                <w:tcPr>
                  <w:tcW w:w="2209" w:type="dxa"/>
                  <w:vAlign w:val="center"/>
                </w:tcPr>
                <w:p w14:paraId="0843F41D">
                  <w:pPr>
                    <w:pStyle w:val="2"/>
                    <w:spacing w:after="0"/>
                    <w:ind w:left="0" w:leftChars="0" w:firstLine="0" w:firstLineChars="0"/>
                    <w:jc w:val="center"/>
                  </w:pPr>
                  <w:r>
                    <w:t>13</w:t>
                  </w:r>
                </w:p>
              </w:tc>
              <w:tc>
                <w:tcPr>
                  <w:tcW w:w="2209" w:type="dxa"/>
                  <w:vAlign w:val="center"/>
                </w:tcPr>
                <w:p w14:paraId="31F8A84B">
                  <w:pPr>
                    <w:pStyle w:val="2"/>
                    <w:spacing w:after="0"/>
                    <w:ind w:left="0" w:leftChars="0" w:firstLine="0" w:firstLineChars="0"/>
                    <w:jc w:val="center"/>
                  </w:pPr>
                  <w:r>
                    <w:rPr>
                      <w:szCs w:val="21"/>
                    </w:rPr>
                    <w:t>13～32</w:t>
                  </w:r>
                </w:p>
              </w:tc>
            </w:tr>
            <w:tr w14:paraId="6C54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2EF15B7E">
                  <w:pPr>
                    <w:jc w:val="center"/>
                    <w:rPr>
                      <w:rFonts w:ascii="Times New Roman" w:hAnsi="Times New Roman"/>
                    </w:rPr>
                  </w:pPr>
                </w:p>
              </w:tc>
              <w:tc>
                <w:tcPr>
                  <w:tcW w:w="2209" w:type="dxa"/>
                  <w:vAlign w:val="center"/>
                </w:tcPr>
                <w:p w14:paraId="7C4FBEC5">
                  <w:pPr>
                    <w:pStyle w:val="2"/>
                    <w:spacing w:after="0"/>
                    <w:ind w:left="0" w:leftChars="0" w:firstLine="0" w:firstLineChars="0"/>
                    <w:jc w:val="center"/>
                    <w:rPr>
                      <w:szCs w:val="21"/>
                    </w:rPr>
                  </w:pPr>
                  <w:r>
                    <w:rPr>
                      <w:szCs w:val="21"/>
                    </w:rPr>
                    <w:t>主射方向（桥下，无防护）</w:t>
                  </w:r>
                </w:p>
              </w:tc>
              <w:tc>
                <w:tcPr>
                  <w:tcW w:w="2209" w:type="dxa"/>
                  <w:vAlign w:val="center"/>
                </w:tcPr>
                <w:p w14:paraId="1A568F25">
                  <w:pPr>
                    <w:pStyle w:val="2"/>
                    <w:spacing w:after="0"/>
                    <w:ind w:left="0" w:leftChars="0" w:firstLine="0" w:firstLineChars="0"/>
                    <w:jc w:val="center"/>
                  </w:pPr>
                  <w:r>
                    <w:t>134</w:t>
                  </w:r>
                </w:p>
              </w:tc>
              <w:tc>
                <w:tcPr>
                  <w:tcW w:w="2209" w:type="dxa"/>
                  <w:vAlign w:val="center"/>
                </w:tcPr>
                <w:p w14:paraId="05BE306C">
                  <w:pPr>
                    <w:pStyle w:val="2"/>
                    <w:spacing w:after="0"/>
                    <w:ind w:left="0" w:leftChars="0" w:firstLine="0" w:firstLineChars="0"/>
                    <w:jc w:val="center"/>
                  </w:pPr>
                  <w:r>
                    <w:rPr>
                      <w:szCs w:val="21"/>
                    </w:rPr>
                    <w:t>134～325</w:t>
                  </w:r>
                </w:p>
              </w:tc>
            </w:tr>
            <w:tr w14:paraId="0325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376BD9AF">
                  <w:pPr>
                    <w:jc w:val="center"/>
                    <w:rPr>
                      <w:rFonts w:ascii="Times New Roman" w:hAnsi="Times New Roman"/>
                      <w:szCs w:val="21"/>
                    </w:rPr>
                  </w:pPr>
                  <w:r>
                    <w:rPr>
                      <w:rFonts w:ascii="Times New Roman" w:hAnsi="Times New Roman"/>
                    </w:rPr>
                    <w:t>XT3005D</w:t>
                  </w:r>
                  <w:r>
                    <w:rPr>
                      <w:rFonts w:ascii="Times New Roman" w:hAnsi="Times New Roman"/>
                      <w:szCs w:val="21"/>
                    </w:rPr>
                    <w:t>定向X射线探伤机</w:t>
                  </w:r>
                </w:p>
              </w:tc>
              <w:tc>
                <w:tcPr>
                  <w:tcW w:w="2209" w:type="dxa"/>
                  <w:vAlign w:val="center"/>
                </w:tcPr>
                <w:p w14:paraId="3F8AE7BD">
                  <w:pPr>
                    <w:pStyle w:val="2"/>
                    <w:spacing w:after="0"/>
                    <w:ind w:left="0" w:leftChars="0" w:firstLine="0" w:firstLineChars="0"/>
                    <w:jc w:val="center"/>
                  </w:pPr>
                  <w:r>
                    <w:rPr>
                      <w:szCs w:val="21"/>
                    </w:rPr>
                    <w:t>主射方向（10mm铅当量铅屏风屏蔽）</w:t>
                  </w:r>
                </w:p>
              </w:tc>
              <w:tc>
                <w:tcPr>
                  <w:tcW w:w="2209" w:type="dxa"/>
                  <w:vAlign w:val="center"/>
                </w:tcPr>
                <w:p w14:paraId="4EE91D58">
                  <w:pPr>
                    <w:pStyle w:val="2"/>
                    <w:spacing w:after="0"/>
                    <w:ind w:left="0" w:leftChars="0" w:firstLine="0" w:firstLineChars="0"/>
                    <w:jc w:val="center"/>
                  </w:pPr>
                  <w:r>
                    <w:t>47</w:t>
                  </w:r>
                </w:p>
              </w:tc>
              <w:tc>
                <w:tcPr>
                  <w:tcW w:w="2209" w:type="dxa"/>
                  <w:vAlign w:val="center"/>
                </w:tcPr>
                <w:p w14:paraId="60179115">
                  <w:pPr>
                    <w:pStyle w:val="2"/>
                    <w:spacing w:after="0"/>
                    <w:ind w:left="0" w:leftChars="0" w:firstLine="0" w:firstLineChars="0"/>
                    <w:jc w:val="center"/>
                  </w:pPr>
                  <w:r>
                    <w:rPr>
                      <w:szCs w:val="21"/>
                    </w:rPr>
                    <w:t>47～115</w:t>
                  </w:r>
                </w:p>
              </w:tc>
            </w:tr>
            <w:tr w14:paraId="1E87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5AD720EA">
                  <w:pPr>
                    <w:jc w:val="center"/>
                    <w:rPr>
                      <w:rFonts w:ascii="Times New Roman" w:hAnsi="Times New Roman"/>
                    </w:rPr>
                  </w:pPr>
                </w:p>
              </w:tc>
              <w:tc>
                <w:tcPr>
                  <w:tcW w:w="2209" w:type="dxa"/>
                  <w:vAlign w:val="center"/>
                </w:tcPr>
                <w:p w14:paraId="0A169CFC">
                  <w:pPr>
                    <w:pStyle w:val="2"/>
                    <w:spacing w:after="0"/>
                    <w:ind w:left="0" w:leftChars="0" w:firstLine="0" w:firstLineChars="0"/>
                    <w:jc w:val="center"/>
                    <w:rPr>
                      <w:szCs w:val="21"/>
                    </w:rPr>
                  </w:pPr>
                  <w:r>
                    <w:rPr>
                      <w:szCs w:val="21"/>
                    </w:rPr>
                    <w:t>非主射方向（5mm铅当量铅屏风屏蔽）</w:t>
                  </w:r>
                </w:p>
              </w:tc>
              <w:tc>
                <w:tcPr>
                  <w:tcW w:w="2209" w:type="dxa"/>
                  <w:vAlign w:val="center"/>
                </w:tcPr>
                <w:p w14:paraId="20913036">
                  <w:pPr>
                    <w:pStyle w:val="2"/>
                    <w:spacing w:after="0"/>
                    <w:ind w:left="0" w:leftChars="0" w:firstLine="0" w:firstLineChars="0"/>
                    <w:jc w:val="center"/>
                  </w:pPr>
                  <w:r>
                    <w:t>31</w:t>
                  </w:r>
                </w:p>
              </w:tc>
              <w:tc>
                <w:tcPr>
                  <w:tcW w:w="2209" w:type="dxa"/>
                  <w:vAlign w:val="center"/>
                </w:tcPr>
                <w:p w14:paraId="7CF35816">
                  <w:pPr>
                    <w:pStyle w:val="2"/>
                    <w:spacing w:after="0"/>
                    <w:ind w:left="0" w:leftChars="0" w:firstLine="0" w:firstLineChars="0"/>
                    <w:jc w:val="center"/>
                  </w:pPr>
                  <w:r>
                    <w:rPr>
                      <w:szCs w:val="21"/>
                    </w:rPr>
                    <w:t>31～75</w:t>
                  </w:r>
                </w:p>
              </w:tc>
            </w:tr>
            <w:tr w14:paraId="6A0E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46C8BE7B">
                  <w:pPr>
                    <w:jc w:val="center"/>
                    <w:rPr>
                      <w:rFonts w:ascii="Times New Roman" w:hAnsi="Times New Roman"/>
                    </w:rPr>
                  </w:pPr>
                </w:p>
              </w:tc>
              <w:tc>
                <w:tcPr>
                  <w:tcW w:w="2209" w:type="dxa"/>
                  <w:vAlign w:val="center"/>
                </w:tcPr>
                <w:p w14:paraId="1E40416A">
                  <w:pPr>
                    <w:pStyle w:val="2"/>
                    <w:spacing w:after="0"/>
                    <w:ind w:left="0" w:leftChars="0" w:firstLine="0" w:firstLineChars="0"/>
                    <w:jc w:val="center"/>
                    <w:rPr>
                      <w:szCs w:val="21"/>
                    </w:rPr>
                  </w:pPr>
                  <w:r>
                    <w:rPr>
                      <w:szCs w:val="21"/>
                    </w:rPr>
                    <w:t>主射方向（桥下，无防护）</w:t>
                  </w:r>
                </w:p>
              </w:tc>
              <w:tc>
                <w:tcPr>
                  <w:tcW w:w="2209" w:type="dxa"/>
                  <w:vAlign w:val="center"/>
                </w:tcPr>
                <w:p w14:paraId="221A32FC">
                  <w:pPr>
                    <w:pStyle w:val="2"/>
                    <w:spacing w:after="0"/>
                    <w:ind w:left="0" w:leftChars="0" w:firstLine="0" w:firstLineChars="0"/>
                    <w:jc w:val="center"/>
                  </w:pPr>
                  <w:r>
                    <w:t>121</w:t>
                  </w:r>
                </w:p>
              </w:tc>
              <w:tc>
                <w:tcPr>
                  <w:tcW w:w="2209" w:type="dxa"/>
                  <w:vAlign w:val="center"/>
                </w:tcPr>
                <w:p w14:paraId="6222BF38">
                  <w:pPr>
                    <w:pStyle w:val="2"/>
                    <w:spacing w:after="0"/>
                    <w:ind w:left="0" w:leftChars="0" w:firstLine="0" w:firstLineChars="0"/>
                    <w:jc w:val="center"/>
                  </w:pPr>
                  <w:r>
                    <w:rPr>
                      <w:szCs w:val="21"/>
                    </w:rPr>
                    <w:t>121～296</w:t>
                  </w:r>
                </w:p>
              </w:tc>
            </w:tr>
          </w:tbl>
          <w:p w14:paraId="15B248B1">
            <w:pPr>
              <w:pStyle w:val="2"/>
              <w:spacing w:before="120" w:beforeLines="50" w:after="0" w:line="360" w:lineRule="auto"/>
              <w:ind w:left="0" w:leftChars="0" w:firstLine="482"/>
              <w:rPr>
                <w:b/>
                <w:bCs/>
                <w:sz w:val="24"/>
              </w:rPr>
            </w:pPr>
            <w:r>
              <w:rPr>
                <w:b/>
                <w:bCs/>
                <w:sz w:val="24"/>
              </w:rPr>
              <w:t>为方便管理，控制区、监督区一般呈矩形划定。</w:t>
            </w:r>
          </w:p>
          <w:p w14:paraId="739B7A20">
            <w:pPr>
              <w:pStyle w:val="2"/>
              <w:spacing w:after="0" w:line="360" w:lineRule="auto"/>
              <w:ind w:left="0" w:leftChars="0" w:firstLine="480"/>
              <w:rPr>
                <w:sz w:val="24"/>
              </w:rPr>
            </w:pPr>
            <w:r>
              <w:rPr>
                <w:sz w:val="24"/>
              </w:rPr>
              <w:t>本项目使用5种型号的探伤机，根据不同的任务需求，探伤作业时会使用到不同的设备，因此，本项目控制区、监督区的划分根据不同设备分别进行划定探伤作业实施，计算时，均采用设备的最大输出参数，但实际使用时最大管电压一般低于设备额定参数，及实际桥梁高度低于理论计算值，因此，本项目理论计算结果划定的控制区、监督区相对保守，在实际探伤作业时，可结合理论计算结果并根据现场实际情况进行巡测后对控制区及监督区的划定。</w:t>
            </w:r>
          </w:p>
          <w:p w14:paraId="2EA916EF">
            <w:pPr>
              <w:adjustRightInd w:val="0"/>
              <w:snapToGrid w:val="0"/>
              <w:spacing w:line="360" w:lineRule="auto"/>
              <w:ind w:firstLine="482" w:firstLineChars="200"/>
              <w:rPr>
                <w:rFonts w:ascii="Times New Roman" w:hAnsi="Times New Roman"/>
                <w:b/>
                <w:sz w:val="24"/>
              </w:rPr>
            </w:pPr>
            <w:r>
              <w:rPr>
                <w:rFonts w:ascii="Times New Roman" w:hAnsi="Times New Roman"/>
                <w:b/>
                <w:sz w:val="24"/>
              </w:rPr>
              <w:t>三、人员所受辐射剂量估算与评价</w:t>
            </w:r>
          </w:p>
          <w:p w14:paraId="66B17A34">
            <w:pPr>
              <w:adjustRightInd w:val="0"/>
              <w:snapToGrid w:val="0"/>
              <w:spacing w:line="360" w:lineRule="auto"/>
              <w:ind w:firstLine="480" w:firstLineChars="200"/>
              <w:rPr>
                <w:rFonts w:ascii="Times New Roman" w:hAnsi="Times New Roman"/>
                <w:bCs/>
                <w:kern w:val="0"/>
                <w:sz w:val="24"/>
              </w:rPr>
            </w:pPr>
            <w:r>
              <w:rPr>
                <w:rFonts w:hint="eastAsia" w:ascii="Times New Roman" w:hAnsi="Times New Roman"/>
                <w:bCs/>
                <w:kern w:val="0"/>
                <w:sz w:val="24"/>
              </w:rPr>
              <w:t>根据潘自强主编的《电离辐射环境监测与评价》第</w:t>
            </w:r>
            <w:r>
              <w:rPr>
                <w:rFonts w:ascii="Times New Roman" w:hAnsi="Times New Roman"/>
                <w:bCs/>
                <w:kern w:val="0"/>
                <w:sz w:val="24"/>
              </w:rPr>
              <w:t>3.3.3</w:t>
            </w:r>
            <w:r>
              <w:rPr>
                <w:rFonts w:hint="eastAsia" w:ascii="Times New Roman" w:hAnsi="Times New Roman"/>
                <w:bCs/>
                <w:kern w:val="0"/>
                <w:sz w:val="24"/>
              </w:rPr>
              <w:t>节（</w:t>
            </w:r>
            <w:r>
              <w:rPr>
                <w:rFonts w:ascii="Times New Roman" w:hAnsi="Times New Roman"/>
                <w:bCs/>
                <w:kern w:val="0"/>
                <w:sz w:val="24"/>
              </w:rPr>
              <w:t>P51</w:t>
            </w:r>
            <w:r>
              <w:rPr>
                <w:rFonts w:hint="eastAsia" w:ascii="Times New Roman" w:hAnsi="Times New Roman"/>
                <w:bCs/>
                <w:kern w:val="0"/>
                <w:sz w:val="24"/>
              </w:rPr>
              <w:t>页）在有效剂量估算时，可以直接使用测量结果，不用进行系数转化。因此</w:t>
            </w:r>
            <w:r>
              <w:rPr>
                <w:rFonts w:ascii="Times New Roman" w:hAnsi="Times New Roman"/>
                <w:bCs/>
                <w:kern w:val="0"/>
                <w:sz w:val="24"/>
              </w:rPr>
              <w:t>X-γ</w:t>
            </w:r>
            <w:r>
              <w:rPr>
                <w:rFonts w:hint="eastAsia" w:ascii="Times New Roman" w:hAnsi="Times New Roman"/>
                <w:bCs/>
                <w:kern w:val="0"/>
                <w:sz w:val="24"/>
              </w:rPr>
              <w:t>射线产生的外照射人均年有效剂量按下列公式估算：个人年有效剂量估算按下列公式进行计算：</w:t>
            </w:r>
          </w:p>
          <w:p w14:paraId="3187C8CE">
            <w:pPr>
              <w:adjustRightInd w:val="0"/>
              <w:snapToGrid w:val="0"/>
              <w:spacing w:line="360" w:lineRule="auto"/>
              <w:jc w:val="center"/>
              <w:rPr>
                <w:rFonts w:ascii="Times New Roman" w:hAnsi="Times New Roman"/>
                <w:bCs/>
                <w:kern w:val="0"/>
                <w:sz w:val="24"/>
                <w:vertAlign w:val="superscript"/>
              </w:rPr>
            </w:pPr>
            <w:r>
              <w:rPr>
                <w:rFonts w:ascii="Times New Roman" w:hAnsi="Times New Roman"/>
                <w:bCs/>
                <w:kern w:val="0"/>
                <w:sz w:val="24"/>
              </w:rPr>
              <w:t>He=H</w:t>
            </w:r>
            <w:r>
              <w:rPr>
                <w:rFonts w:hint="eastAsia" w:ascii="Times New Roman" w:hAnsi="Times New Roman"/>
                <w:bCs/>
                <w:kern w:val="0"/>
                <w:sz w:val="24"/>
              </w:rPr>
              <w:t>×</w:t>
            </w:r>
            <w:r>
              <w:rPr>
                <w:rFonts w:ascii="Times New Roman" w:hAnsi="Times New Roman"/>
                <w:bCs/>
                <w:kern w:val="0"/>
                <w:sz w:val="24"/>
              </w:rPr>
              <w:t>t</w:t>
            </w:r>
            <w:r>
              <w:rPr>
                <w:rFonts w:hint="eastAsia" w:ascii="Times New Roman" w:hAnsi="Times New Roman"/>
                <w:bCs/>
                <w:kern w:val="0"/>
                <w:sz w:val="24"/>
              </w:rPr>
              <w:t>×</w:t>
            </w:r>
            <w:r>
              <w:rPr>
                <w:rFonts w:ascii="Times New Roman" w:hAnsi="Times New Roman"/>
                <w:bCs/>
                <w:kern w:val="0"/>
                <w:sz w:val="24"/>
              </w:rPr>
              <w:t>10</w:t>
            </w:r>
            <w:r>
              <w:rPr>
                <w:rFonts w:ascii="Times New Roman" w:hAnsi="Times New Roman"/>
                <w:bCs/>
                <w:kern w:val="0"/>
                <w:sz w:val="24"/>
                <w:vertAlign w:val="superscript"/>
              </w:rPr>
              <w:t>-3</w:t>
            </w:r>
          </w:p>
          <w:p w14:paraId="4DE52953">
            <w:pPr>
              <w:adjustRightInd w:val="0"/>
              <w:snapToGrid w:val="0"/>
              <w:spacing w:line="360" w:lineRule="auto"/>
              <w:ind w:firstLine="480" w:firstLineChars="200"/>
              <w:rPr>
                <w:rFonts w:ascii="Times New Roman" w:hAnsi="Times New Roman"/>
                <w:bCs/>
                <w:kern w:val="0"/>
                <w:sz w:val="24"/>
              </w:rPr>
            </w:pPr>
            <w:r>
              <w:rPr>
                <w:rFonts w:hint="eastAsia" w:ascii="Times New Roman" w:hAnsi="Times New Roman"/>
                <w:bCs/>
                <w:kern w:val="0"/>
                <w:sz w:val="24"/>
              </w:rPr>
              <w:t>其中：</w:t>
            </w:r>
            <w:r>
              <w:rPr>
                <w:rFonts w:ascii="Times New Roman" w:hAnsi="Times New Roman"/>
                <w:bCs/>
                <w:kern w:val="0"/>
                <w:sz w:val="24"/>
              </w:rPr>
              <w:t>He</w:t>
            </w:r>
            <w:r>
              <w:rPr>
                <w:rFonts w:hint="eastAsia" w:ascii="Times New Roman" w:hAnsi="Times New Roman"/>
                <w:bCs/>
                <w:kern w:val="0"/>
                <w:sz w:val="24"/>
              </w:rPr>
              <w:t>为年有效剂量，</w:t>
            </w:r>
            <w:r>
              <w:rPr>
                <w:rFonts w:ascii="Times New Roman" w:hAnsi="Times New Roman"/>
                <w:bCs/>
                <w:kern w:val="0"/>
                <w:sz w:val="24"/>
              </w:rPr>
              <w:t>mSv/a</w:t>
            </w:r>
            <w:r>
              <w:rPr>
                <w:rFonts w:hint="eastAsia" w:ascii="Times New Roman" w:hAnsi="Times New Roman"/>
                <w:bCs/>
                <w:kern w:val="0"/>
                <w:sz w:val="24"/>
              </w:rPr>
              <w:t>；</w:t>
            </w:r>
          </w:p>
          <w:p w14:paraId="268C93DE">
            <w:pPr>
              <w:adjustRightInd w:val="0"/>
              <w:snapToGrid w:val="0"/>
              <w:spacing w:line="360" w:lineRule="auto"/>
              <w:ind w:firstLine="480" w:firstLineChars="200"/>
              <w:rPr>
                <w:rFonts w:ascii="Times New Roman" w:hAnsi="Times New Roman"/>
                <w:bCs/>
                <w:kern w:val="0"/>
                <w:sz w:val="24"/>
              </w:rPr>
            </w:pPr>
            <w:r>
              <w:rPr>
                <w:rFonts w:ascii="Times New Roman" w:hAnsi="Times New Roman"/>
                <w:bCs/>
                <w:kern w:val="0"/>
                <w:sz w:val="24"/>
              </w:rPr>
              <w:t>H</w:t>
            </w:r>
            <w:r>
              <w:rPr>
                <w:rFonts w:hint="eastAsia" w:ascii="Times New Roman" w:hAnsi="Times New Roman"/>
                <w:bCs/>
                <w:kern w:val="0"/>
                <w:sz w:val="24"/>
              </w:rPr>
              <w:t>为</w:t>
            </w:r>
            <w:r>
              <w:rPr>
                <w:rFonts w:ascii="Times New Roman" w:hAnsi="Times New Roman"/>
                <w:bCs/>
                <w:kern w:val="0"/>
                <w:sz w:val="24"/>
              </w:rPr>
              <w:t>X-</w:t>
            </w:r>
            <w:r>
              <w:rPr>
                <w:rFonts w:hint="eastAsia" w:ascii="Times New Roman" w:hAnsi="Times New Roman"/>
                <w:bCs/>
                <w:kern w:val="0"/>
                <w:sz w:val="24"/>
              </w:rPr>
              <w:t>γ辐射周围剂量当量率，</w:t>
            </w:r>
            <w:r>
              <w:rPr>
                <w:rFonts w:ascii="Times New Roman" w:hAnsi="Times New Roman"/>
                <w:bCs/>
                <w:kern w:val="0"/>
                <w:sz w:val="24"/>
              </w:rPr>
              <w:t>µSv/h</w:t>
            </w:r>
            <w:r>
              <w:rPr>
                <w:rFonts w:hint="eastAsia" w:ascii="Times New Roman" w:hAnsi="Times New Roman"/>
                <w:bCs/>
                <w:kern w:val="0"/>
                <w:sz w:val="24"/>
              </w:rPr>
              <w:t>；</w:t>
            </w:r>
          </w:p>
          <w:p w14:paraId="3C83F804">
            <w:pPr>
              <w:adjustRightInd w:val="0"/>
              <w:snapToGrid w:val="0"/>
              <w:spacing w:line="360" w:lineRule="auto"/>
              <w:ind w:firstLine="480" w:firstLineChars="200"/>
              <w:rPr>
                <w:rFonts w:ascii="Times New Roman" w:hAnsi="Times New Roman"/>
                <w:bCs/>
                <w:kern w:val="0"/>
                <w:sz w:val="24"/>
              </w:rPr>
            </w:pPr>
            <w:r>
              <w:rPr>
                <w:rFonts w:ascii="Times New Roman" w:hAnsi="Times New Roman"/>
                <w:bCs/>
                <w:kern w:val="0"/>
                <w:sz w:val="24"/>
              </w:rPr>
              <w:t>t—</w:t>
            </w:r>
            <w:r>
              <w:rPr>
                <w:rFonts w:hint="eastAsia" w:ascii="Times New Roman" w:hAnsi="Times New Roman"/>
                <w:bCs/>
                <w:kern w:val="0"/>
                <w:sz w:val="24"/>
              </w:rPr>
              <w:t>年受照时间，</w:t>
            </w:r>
            <w:r>
              <w:rPr>
                <w:rFonts w:ascii="Times New Roman" w:hAnsi="Times New Roman"/>
                <w:bCs/>
                <w:kern w:val="0"/>
                <w:sz w:val="24"/>
              </w:rPr>
              <w:t>h/a</w:t>
            </w:r>
            <w:r>
              <w:rPr>
                <w:rFonts w:hint="eastAsia" w:ascii="Times New Roman" w:hAnsi="Times New Roman"/>
                <w:bCs/>
                <w:kern w:val="0"/>
                <w:sz w:val="24"/>
              </w:rPr>
              <w:t>；</w:t>
            </w:r>
          </w:p>
          <w:p w14:paraId="0DD6AAC7">
            <w:pPr>
              <w:adjustRightInd w:val="0"/>
              <w:snapToGrid w:val="0"/>
              <w:spacing w:line="360" w:lineRule="auto"/>
              <w:ind w:firstLine="480" w:firstLineChars="200"/>
              <w:rPr>
                <w:rFonts w:ascii="Times New Roman" w:hAnsi="Times New Roman"/>
                <w:bCs/>
                <w:kern w:val="0"/>
                <w:sz w:val="24"/>
              </w:rPr>
            </w:pPr>
            <w:r>
              <w:rPr>
                <w:rFonts w:ascii="Times New Roman" w:hAnsi="Times New Roman"/>
                <w:bCs/>
                <w:kern w:val="0"/>
                <w:sz w:val="24"/>
              </w:rPr>
              <w:t>10</w:t>
            </w:r>
            <w:r>
              <w:rPr>
                <w:rFonts w:ascii="Times New Roman" w:hAnsi="Times New Roman"/>
                <w:bCs/>
                <w:kern w:val="0"/>
                <w:sz w:val="24"/>
                <w:vertAlign w:val="superscript"/>
              </w:rPr>
              <w:t>-3</w:t>
            </w:r>
            <w:r>
              <w:rPr>
                <w:rFonts w:hint="eastAsia" w:ascii="Times New Roman" w:hAnsi="Times New Roman"/>
                <w:bCs/>
                <w:kern w:val="0"/>
                <w:sz w:val="24"/>
              </w:rPr>
              <w:t>为</w:t>
            </w:r>
            <w:r>
              <w:rPr>
                <w:rFonts w:ascii="Times New Roman" w:hAnsi="Times New Roman"/>
                <w:bCs/>
                <w:kern w:val="0"/>
                <w:sz w:val="24"/>
              </w:rPr>
              <w:t>µSv</w:t>
            </w:r>
            <w:r>
              <w:rPr>
                <w:rFonts w:hint="eastAsia" w:ascii="Times New Roman" w:hAnsi="Times New Roman"/>
                <w:bCs/>
                <w:kern w:val="0"/>
                <w:sz w:val="24"/>
              </w:rPr>
              <w:t>到</w:t>
            </w:r>
            <w:r>
              <w:rPr>
                <w:rFonts w:ascii="Times New Roman" w:hAnsi="Times New Roman"/>
                <w:bCs/>
                <w:kern w:val="0"/>
                <w:sz w:val="24"/>
              </w:rPr>
              <w:t>mSv</w:t>
            </w:r>
            <w:r>
              <w:rPr>
                <w:rFonts w:hint="eastAsia" w:ascii="Times New Roman" w:hAnsi="Times New Roman"/>
                <w:bCs/>
                <w:kern w:val="0"/>
                <w:sz w:val="24"/>
              </w:rPr>
              <w:t>的转换系数。</w:t>
            </w:r>
          </w:p>
          <w:p w14:paraId="27E1ABAA">
            <w:pPr>
              <w:adjustRightInd w:val="0"/>
              <w:snapToGrid w:val="0"/>
              <w:spacing w:line="360" w:lineRule="auto"/>
              <w:ind w:firstLine="482" w:firstLineChars="200"/>
              <w:rPr>
                <w:rFonts w:ascii="Times New Roman" w:hAnsi="Times New Roman"/>
                <w:b/>
                <w:bCs/>
                <w:kern w:val="0"/>
                <w:sz w:val="24"/>
              </w:rPr>
            </w:pPr>
            <w:r>
              <w:rPr>
                <w:rFonts w:ascii="Times New Roman" w:hAnsi="Times New Roman"/>
                <w:b/>
                <w:bCs/>
                <w:kern w:val="0"/>
                <w:sz w:val="24"/>
              </w:rPr>
              <w:t>（</w:t>
            </w:r>
            <w:r>
              <w:rPr>
                <w:rFonts w:ascii="Times New Roman" w:hAnsi="Times New Roman"/>
                <w:kern w:val="0"/>
                <w:sz w:val="24"/>
              </w:rPr>
              <w:t>1</w:t>
            </w:r>
            <w:r>
              <w:rPr>
                <w:rFonts w:ascii="Times New Roman" w:hAnsi="Times New Roman"/>
                <w:b/>
                <w:bCs/>
                <w:kern w:val="0"/>
                <w:sz w:val="24"/>
              </w:rPr>
              <w:t>）操作人员</w:t>
            </w:r>
          </w:p>
          <w:p w14:paraId="17834E42">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本项目进行野外（室外）探伤作业时，操作人员位于探伤机侧面，处于非主射方向，位于控制区边界线，控制区警戒线处有效剂量率为0.015mSv/h，本项目每组工作人员探伤时</w:t>
            </w:r>
            <w:r>
              <w:rPr>
                <w:rFonts w:hint="eastAsia" w:ascii="Times New Roman" w:hAnsi="Times New Roman"/>
                <w:kern w:val="0"/>
                <w:sz w:val="24"/>
              </w:rPr>
              <w:t>2人控制区边界外警戒和进行操作探伤，2人在监督区边界观察巡测等，实行轮换制度，因此</w:t>
            </w:r>
            <w:r>
              <w:rPr>
                <w:rFonts w:ascii="Times New Roman" w:hAnsi="Times New Roman"/>
                <w:kern w:val="0"/>
                <w:sz w:val="24"/>
              </w:rPr>
              <w:t>保守按一组工作人员每年探伤工作时间总计375h，控制区边界工作人员每年探伤工作时间为</w:t>
            </w:r>
            <w:r>
              <w:rPr>
                <w:rFonts w:hint="eastAsia" w:ascii="Times New Roman" w:hAnsi="Times New Roman"/>
                <w:kern w:val="0"/>
                <w:sz w:val="24"/>
              </w:rPr>
              <w:t>1</w:t>
            </w:r>
            <w:r>
              <w:rPr>
                <w:rFonts w:ascii="Times New Roman" w:hAnsi="Times New Roman"/>
                <w:kern w:val="0"/>
                <w:sz w:val="24"/>
              </w:rPr>
              <w:t>87.5h，居留因子取1计算，得出控制区边界警戒人员受照射的年附加有效剂量约为2.813mSv/a，低于本次评价确定的剂量约束值5mSv/a的要求。</w:t>
            </w:r>
          </w:p>
          <w:p w14:paraId="235E07FB">
            <w:pPr>
              <w:adjustRightInd w:val="0"/>
              <w:snapToGrid w:val="0"/>
              <w:spacing w:line="360" w:lineRule="auto"/>
              <w:ind w:firstLine="482" w:firstLineChars="200"/>
              <w:rPr>
                <w:rFonts w:ascii="Times New Roman" w:hAnsi="Times New Roman"/>
                <w:b/>
                <w:bCs/>
                <w:kern w:val="0"/>
                <w:sz w:val="24"/>
              </w:rPr>
            </w:pPr>
            <w:r>
              <w:rPr>
                <w:rFonts w:ascii="Times New Roman" w:hAnsi="Times New Roman"/>
                <w:b/>
                <w:bCs/>
                <w:kern w:val="0"/>
                <w:sz w:val="24"/>
              </w:rPr>
              <w:t>（</w:t>
            </w:r>
            <w:r>
              <w:rPr>
                <w:rFonts w:ascii="Times New Roman" w:hAnsi="Times New Roman"/>
                <w:kern w:val="0"/>
                <w:sz w:val="24"/>
              </w:rPr>
              <w:t>2</w:t>
            </w:r>
            <w:r>
              <w:rPr>
                <w:rFonts w:ascii="Times New Roman" w:hAnsi="Times New Roman"/>
                <w:b/>
                <w:bCs/>
                <w:kern w:val="0"/>
                <w:sz w:val="24"/>
              </w:rPr>
              <w:t>）公众</w:t>
            </w:r>
          </w:p>
          <w:p w14:paraId="1FE361DD">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本项目探伤时，公众位于监督区警戒线外，警戒线处有效剂量率为0.0025mSv/h，本项目按5台探伤机每年累计曝光时间750h计算，公众居留因子保守取1/16，得出监督区边界公众受照射的年附加有效剂量为0.12mSv/a，低于本次评价确定的剂量约束值0.25mSv/a的要求。</w:t>
            </w:r>
          </w:p>
          <w:p w14:paraId="61EF3D13">
            <w:pPr>
              <w:pStyle w:val="2"/>
              <w:spacing w:after="0" w:line="360" w:lineRule="auto"/>
              <w:ind w:left="0" w:leftChars="0" w:firstLine="480"/>
              <w:rPr>
                <w:sz w:val="24"/>
              </w:rPr>
            </w:pPr>
            <w:r>
              <w:rPr>
                <w:sz w:val="24"/>
              </w:rPr>
              <w:t>以上人员所受辐射剂量均按保守最大受照射情况估算，而在实际工作中，人员所受辐射剂量远低于估算值。</w:t>
            </w:r>
          </w:p>
          <w:p w14:paraId="1EA866A6">
            <w:pPr>
              <w:adjustRightInd w:val="0"/>
              <w:snapToGrid w:val="0"/>
              <w:spacing w:line="360" w:lineRule="auto"/>
              <w:rPr>
                <w:rFonts w:ascii="Times New Roman" w:hAnsi="Times New Roman"/>
                <w:b/>
                <w:sz w:val="24"/>
              </w:rPr>
            </w:pPr>
            <w:r>
              <w:rPr>
                <w:rFonts w:ascii="Times New Roman" w:hAnsi="Times New Roman"/>
                <w:b/>
                <w:sz w:val="24"/>
              </w:rPr>
              <w:t>四、非辐射环境影响分析</w:t>
            </w:r>
          </w:p>
          <w:p w14:paraId="3D76A707">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1、废气对周围环境的影响分析</w:t>
            </w:r>
          </w:p>
          <w:p w14:paraId="0BF27E47">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本项目X射线探伤储存时不产生废气，只有在曝光过程中会产生有害气体臭氧和</w:t>
            </w:r>
            <w:r>
              <w:rPr>
                <w:rFonts w:ascii="Times New Roman" w:hAnsi="Times New Roman"/>
                <w:bCs/>
                <w:sz w:val="24"/>
              </w:rPr>
              <w:t>氮氧化物</w:t>
            </w:r>
            <w:r>
              <w:rPr>
                <w:rFonts w:ascii="Times New Roman" w:hAnsi="Times New Roman"/>
                <w:sz w:val="24"/>
              </w:rPr>
              <w:t>，本项目探伤不涉及室内探伤，探伤工作地点周围一般为较开放的场所，大气扩散条件良好，产生的臭氧和氮氧化物经自然分解和稀释后，对周围大气环境的影响较小。</w:t>
            </w:r>
          </w:p>
          <w:p w14:paraId="70E32F40">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2、废水对周围环境的影响分析</w:t>
            </w:r>
          </w:p>
          <w:p w14:paraId="660D1A8A">
            <w:pPr>
              <w:spacing w:line="360" w:lineRule="auto"/>
              <w:ind w:firstLine="480" w:firstLineChars="200"/>
              <w:rPr>
                <w:rFonts w:ascii="Times New Roman" w:hAnsi="Times New Roman"/>
                <w:sz w:val="24"/>
                <w:lang w:bidi="ar"/>
              </w:rPr>
            </w:pPr>
            <w:r>
              <w:rPr>
                <w:rFonts w:ascii="Times New Roman" w:hAnsi="Times New Roman"/>
                <w:sz w:val="24"/>
                <w:lang w:bidi="ar"/>
              </w:rPr>
              <w:t>本项目工作人员由公司原有人员调剂使用，不新增工作人员，不新增生活污水。</w:t>
            </w:r>
          </w:p>
          <w:p w14:paraId="3640BEF6">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3、固体废物对周围环境的影响分析</w:t>
            </w:r>
          </w:p>
          <w:p w14:paraId="6CEAA65A">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工作人员由公司原有人员调剂使用，不新增工作人员，不新增生活垃圾；运营期产生的固废主要为洗片过程中产生的废显影液、废定影液（含冲洗废水）、废胶片等危险废物，废显影液、废定影液（含冲洗废水）、废胶片等危险废物产生后暂存于危废间内，定期（处置周期为一年）</w:t>
            </w:r>
            <w:r>
              <w:rPr>
                <w:sz w:val="24"/>
              </w:rPr>
              <w:t>经承德双然环保科技有限公司收集后交由有危废处理资质的</w:t>
            </w:r>
            <w:r>
              <w:rPr>
                <w:rFonts w:hint="eastAsia"/>
                <w:sz w:val="24"/>
              </w:rPr>
              <w:t>万德斯(唐山曹妃甸)环保科技有限公司处置</w:t>
            </w:r>
            <w:r>
              <w:rPr>
                <w:rFonts w:ascii="Times New Roman" w:hAnsi="Times New Roman"/>
                <w:sz w:val="24"/>
              </w:rPr>
              <w:t>。</w:t>
            </w:r>
          </w:p>
          <w:p w14:paraId="00FCB360">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4、噪声对周围环境的影响分析</w:t>
            </w:r>
          </w:p>
          <w:p w14:paraId="6DA4F8BE">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本项目X射线机不使用时存放在公司一层设备室内，不产生噪声；使用时几乎不产生噪音，监督区边界的警示灯声音随着探伤结束而停止，一般探伤现场野外（室外）环境相对开阔，对周围声环境基本无影响。</w:t>
            </w:r>
          </w:p>
          <w:p w14:paraId="5B5AA7A9">
            <w:pPr>
              <w:adjustRightInd w:val="0"/>
              <w:snapToGrid w:val="0"/>
              <w:spacing w:line="360" w:lineRule="auto"/>
              <w:ind w:firstLine="482" w:firstLineChars="200"/>
              <w:rPr>
                <w:rFonts w:ascii="Times New Roman" w:hAnsi="Times New Roman"/>
                <w:sz w:val="24"/>
              </w:rPr>
            </w:pPr>
            <w:r>
              <w:rPr>
                <w:rFonts w:ascii="Times New Roman" w:hAnsi="Times New Roman"/>
                <w:b/>
                <w:sz w:val="24"/>
              </w:rPr>
              <w:t>5、危险废物</w:t>
            </w:r>
          </w:p>
          <w:p w14:paraId="3FDEF7DB">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产生的废显影液约100kg/a、定影液约100kg/a，废胶片约800张/a，根据生态环境部和国家发展改革委联合发布《国家危险废物名录（2025年版）》中的危险废物划分类别，废显影液、定影液及胶片属于编号为HW16的危险废物。其显影废液主要成分为无水亚硫酸钠、碳酸钠（Na</w:t>
            </w:r>
            <w:r>
              <w:rPr>
                <w:rFonts w:ascii="Times New Roman" w:hAnsi="Times New Roman"/>
                <w:sz w:val="24"/>
                <w:vertAlign w:val="subscript"/>
              </w:rPr>
              <w:t>2</w:t>
            </w:r>
            <w:r>
              <w:rPr>
                <w:rFonts w:ascii="Times New Roman" w:hAnsi="Times New Roman"/>
                <w:sz w:val="24"/>
              </w:rPr>
              <w:t>CO</w:t>
            </w:r>
            <w:r>
              <w:rPr>
                <w:rFonts w:ascii="Times New Roman" w:hAnsi="Times New Roman"/>
                <w:sz w:val="24"/>
                <w:vertAlign w:val="subscript"/>
              </w:rPr>
              <w:t>3</w:t>
            </w:r>
            <w:r>
              <w:rPr>
                <w:rFonts w:ascii="Times New Roman" w:hAnsi="Times New Roman"/>
                <w:sz w:val="24"/>
              </w:rPr>
              <w:t>），定影废液主要成分为溴化钾、无水亚硫酸纳；废胶片主要成分为卤化银。产生的废显影液、定影液及废胶片需用专用的、设置了危险识别标志的容器进行收集贮存，公司已与有危废处理资质的承德双然环保科技有限公司签订危废收集协议，在探伤过程中产生的所有危险废物暂存于危废间，定期</w:t>
            </w:r>
            <w:r>
              <w:rPr>
                <w:sz w:val="24"/>
              </w:rPr>
              <w:t>经承德双然环保科技有限公司收集后交由有危废处理资质的</w:t>
            </w:r>
            <w:r>
              <w:rPr>
                <w:rFonts w:hint="eastAsia"/>
                <w:sz w:val="24"/>
              </w:rPr>
              <w:t>万德斯(唐山曹妃甸)环保科技有限公司处置</w:t>
            </w:r>
            <w:r>
              <w:rPr>
                <w:rFonts w:ascii="Times New Roman" w:hAnsi="Times New Roman"/>
                <w:sz w:val="24"/>
              </w:rPr>
              <w:t>。</w:t>
            </w:r>
          </w:p>
          <w:p w14:paraId="67D750E4">
            <w:pPr>
              <w:adjustRightInd w:val="0"/>
              <w:snapToGrid w:val="0"/>
              <w:spacing w:line="360" w:lineRule="auto"/>
              <w:ind w:firstLine="480" w:firstLineChars="200"/>
              <w:rPr>
                <w:rFonts w:ascii="Times New Roman" w:hAnsi="Times New Roman"/>
                <w:sz w:val="24"/>
              </w:rPr>
            </w:pPr>
            <w:r>
              <w:rPr>
                <w:rFonts w:ascii="Times New Roman" w:hAnsi="Times New Roman"/>
                <w:sz w:val="24"/>
              </w:rPr>
              <w:t>废显影液、定影液不得外排，废胶片不得作为一般固体废物处理。产生的废显影液、定影液采用未破损的密封桶包装，包装桶的材质为能够完全防渗漏的钢、铁和高密度塑料，选用的包装容器不能与所装的废显、定影液发生化学反应，所装废显、定影液的液面须距桶盖10cm，桶重量不能超过50kg。废胶片可用中度强度以上的不破损的塑料编制袋进行包装，装袋完毕，封口严实，每袋重量不超过50kg。应在废显、定影液和废胶片的包装物上粘贴包括“危废标识和危废类别、存放时间、责任人及处置单位”等相关信息标签，并醒目显示收集废液的名称。废液收集桶及废胶片暂存柜放置地点应做好防渗、防水、防傾倒、防腐等工作，防止泄漏后造成二次污染，严格按照《危险废物贮存污染控制标准》（GB 18597-2023）中要求：</w:t>
            </w:r>
            <w:r>
              <w:rPr>
                <w:rFonts w:hint="eastAsia" w:ascii="宋体" w:hAnsi="宋体" w:cs="宋体"/>
                <w:sz w:val="24"/>
              </w:rPr>
              <w:t>①</w:t>
            </w:r>
            <w:r>
              <w:rPr>
                <w:rFonts w:ascii="Times New Roman" w:hAnsi="Times New Roman"/>
                <w:sz w:val="24"/>
              </w:rPr>
              <w:t>产生的废显影液、定影液及废胶片需用专用的容器进行收集贮存，存放容器及暂存间应当设置危险识别标志；</w:t>
            </w:r>
            <w:r>
              <w:rPr>
                <w:rFonts w:hint="eastAsia" w:ascii="宋体" w:hAnsi="宋体" w:cs="宋体"/>
                <w:sz w:val="24"/>
              </w:rPr>
              <w:t>②</w:t>
            </w:r>
            <w:r>
              <w:rPr>
                <w:rFonts w:ascii="Times New Roman" w:hAnsi="Times New Roman"/>
                <w:sz w:val="24"/>
              </w:rPr>
              <w:t>禁止将不相容（相互反应）的危险废物在同一容器内混装，不相容的危险废物必须分开存放，并设有隔离间隔断；</w:t>
            </w:r>
            <w:r>
              <w:rPr>
                <w:rFonts w:hint="eastAsia" w:ascii="宋体" w:hAnsi="宋体" w:cs="宋体"/>
                <w:sz w:val="24"/>
              </w:rPr>
              <w:t>③</w:t>
            </w:r>
            <w:r>
              <w:rPr>
                <w:rFonts w:ascii="Times New Roman" w:hAnsi="Times New Roman"/>
                <w:sz w:val="24"/>
              </w:rPr>
              <w:t>危险废物贮存容器：应当使用符合标准的容器盛装，容器及材质要满足相应的强度要求，容器必须完好无损，盛装容器的材质和衬里要与危险废物相容（不相互反应）；</w:t>
            </w:r>
            <w:r>
              <w:rPr>
                <w:rFonts w:hint="eastAsia" w:ascii="宋体" w:hAnsi="宋体" w:cs="宋体"/>
                <w:sz w:val="24"/>
              </w:rPr>
              <w:t>④</w:t>
            </w:r>
            <w:r>
              <w:rPr>
                <w:rFonts w:ascii="Times New Roman" w:hAnsi="Times New Roman"/>
                <w:sz w:val="24"/>
              </w:rPr>
              <w:t>危险废物暂存间地面与裙脚要用坚固、防渗的材料 建造（建筑材料必须与危险废物相容），必须有耐腐蚀的硬化地面，且表面无裂隙，暂存间要有安全照明设施和观察窗口；</w:t>
            </w:r>
            <w:r>
              <w:rPr>
                <w:rFonts w:hint="eastAsia" w:ascii="宋体" w:hAnsi="宋体" w:cs="宋体"/>
                <w:sz w:val="24"/>
              </w:rPr>
              <w:t>⑤</w:t>
            </w:r>
            <w:r>
              <w:rPr>
                <w:rFonts w:ascii="Times New Roman" w:hAnsi="Times New Roman"/>
                <w:sz w:val="24"/>
              </w:rPr>
              <w:t>设计堵截泄漏的裙脚，地面与裙脚所围建的容积不低于堵截最大容器的最大储量。</w:t>
            </w:r>
          </w:p>
          <w:p w14:paraId="4A472DD8">
            <w:pPr>
              <w:adjustRightInd w:val="0"/>
              <w:snapToGrid w:val="0"/>
              <w:spacing w:line="360" w:lineRule="auto"/>
              <w:ind w:firstLine="480" w:firstLineChars="200"/>
              <w:rPr>
                <w:rFonts w:ascii="Times New Roman" w:hAnsi="Times New Roman"/>
                <w:sz w:val="24"/>
              </w:rPr>
            </w:pPr>
            <w:r>
              <w:rPr>
                <w:rFonts w:ascii="Times New Roman" w:hAnsi="Times New Roman"/>
                <w:sz w:val="24"/>
              </w:rPr>
              <w:t>公司需加强废显定影液、废胶片的产生、贮存、转运、处置等环节的管理，由专人负责管理，建立完整的台帐，对产生的数量和去向进行严格登记，填报危废转移联单。</w:t>
            </w:r>
          </w:p>
          <w:p w14:paraId="32D07F12">
            <w:pPr>
              <w:adjustRightInd w:val="0"/>
              <w:snapToGrid w:val="0"/>
              <w:spacing w:line="360" w:lineRule="auto"/>
              <w:ind w:firstLine="482" w:firstLineChars="200"/>
              <w:rPr>
                <w:rFonts w:ascii="Times New Roman" w:hAnsi="Times New Roman"/>
                <w:sz w:val="24"/>
              </w:rPr>
            </w:pPr>
            <w:r>
              <w:rPr>
                <w:rFonts w:ascii="Times New Roman" w:hAnsi="Times New Roman"/>
                <w:b/>
                <w:bCs/>
                <w:sz w:val="24"/>
              </w:rPr>
              <w:t>射线装置报废处理：</w:t>
            </w:r>
            <w:r>
              <w:rPr>
                <w:rFonts w:ascii="Times New Roman" w:hAnsi="Times New Roman"/>
                <w:sz w:val="24"/>
              </w:rPr>
              <w:t>按照国务院449号令《放射性同位素与射线装置安全和防护条例》第33条要求“报废的射线装置应去功能化处理”和《河北省辐射污染防治条例》要求“射线装置在报废处置时，使用单位应当对射线装置内的高压射线管进行拆解和去功能化”。本项目涉及的X射线探伤机若今后需要报废，必须进行去功能化处理（如将探伤机高压射线管进行拆卸并破碎处理，同时将探伤机的电源线绞断），使探伤机不能正常通电，防止二次通电使用，造成误照射。</w:t>
            </w:r>
          </w:p>
        </w:tc>
      </w:tr>
      <w:tr w14:paraId="5F3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14:paraId="51C97BE0">
            <w:pPr>
              <w:adjustRightInd w:val="0"/>
              <w:snapToGrid w:val="0"/>
              <w:spacing w:before="120" w:beforeLines="50" w:line="360" w:lineRule="auto"/>
              <w:jc w:val="left"/>
              <w:rPr>
                <w:rFonts w:ascii="Times New Roman" w:hAnsi="Times New Roman"/>
                <w:b/>
                <w:bCs/>
                <w:sz w:val="28"/>
                <w:szCs w:val="28"/>
              </w:rPr>
            </w:pPr>
            <w:r>
              <w:rPr>
                <w:rFonts w:ascii="Times New Roman" w:hAnsi="Times New Roman"/>
                <w:b/>
                <w:bCs/>
                <w:sz w:val="28"/>
                <w:szCs w:val="28"/>
              </w:rPr>
              <w:t>事故影响分析</w:t>
            </w:r>
          </w:p>
          <w:p w14:paraId="39A230D8">
            <w:pPr>
              <w:tabs>
                <w:tab w:val="left" w:pos="1995"/>
              </w:tabs>
              <w:spacing w:line="331" w:lineRule="auto"/>
              <w:ind w:firstLine="482" w:firstLineChars="200"/>
              <w:rPr>
                <w:rFonts w:ascii="Times New Roman" w:hAnsi="Times New Roman"/>
                <w:b/>
                <w:sz w:val="24"/>
              </w:rPr>
            </w:pPr>
            <w:r>
              <w:rPr>
                <w:rFonts w:ascii="Times New Roman" w:hAnsi="Times New Roman"/>
                <w:b/>
                <w:sz w:val="24"/>
              </w:rPr>
              <w:t>一、事故风险识别</w:t>
            </w:r>
          </w:p>
          <w:p w14:paraId="2E2E53E9">
            <w:pPr>
              <w:overflowPunct w:val="0"/>
              <w:autoSpaceDE w:val="0"/>
              <w:spacing w:line="331" w:lineRule="auto"/>
              <w:ind w:firstLine="480" w:firstLineChars="200"/>
              <w:rPr>
                <w:rFonts w:ascii="Times New Roman" w:hAnsi="Times New Roman"/>
                <w:sz w:val="24"/>
                <w:szCs w:val="20"/>
              </w:rPr>
            </w:pPr>
            <w:r>
              <w:rPr>
                <w:rFonts w:ascii="Times New Roman" w:hAnsi="Times New Roman"/>
                <w:sz w:val="24"/>
                <w:szCs w:val="20"/>
              </w:rPr>
              <w:t>本项目所用探伤机属Ⅱ类射线装置，其风险因子为X射线，按照国务院449号令第四十条关于事故的分级原则现将项目的风险物质、风险因子、潜在危害及可能发生的事故等级列于表11-8中。</w:t>
            </w:r>
          </w:p>
          <w:p w14:paraId="4255E830">
            <w:pPr>
              <w:pStyle w:val="2"/>
              <w:spacing w:after="0"/>
              <w:ind w:left="0" w:leftChars="0" w:firstLine="0" w:firstLineChars="0"/>
              <w:jc w:val="center"/>
            </w:pPr>
            <w:r>
              <w:rPr>
                <w:b/>
                <w:bCs/>
              </w:rPr>
              <w:t>表</w:t>
            </w:r>
            <w:r>
              <w:t xml:space="preserve">11-8 </w:t>
            </w:r>
            <w:r>
              <w:rPr>
                <w:b/>
                <w:bCs/>
              </w:rPr>
              <w:t>项目的风险因子辐射伤害程度与事故分级</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18"/>
            </w:tblGrid>
            <w:tr w14:paraId="17E9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vAlign w:val="center"/>
                </w:tcPr>
                <w:p w14:paraId="74B94B68">
                  <w:pPr>
                    <w:pStyle w:val="2"/>
                    <w:spacing w:after="0"/>
                    <w:ind w:left="0" w:leftChars="0" w:firstLine="0" w:firstLineChars="0"/>
                    <w:jc w:val="center"/>
                  </w:pPr>
                  <w:r>
                    <w:rPr>
                      <w:szCs w:val="21"/>
                    </w:rPr>
                    <w:t>事故等级</w:t>
                  </w:r>
                </w:p>
              </w:tc>
              <w:tc>
                <w:tcPr>
                  <w:tcW w:w="4418" w:type="dxa"/>
                  <w:vAlign w:val="center"/>
                </w:tcPr>
                <w:p w14:paraId="038ECA0C">
                  <w:pPr>
                    <w:pStyle w:val="2"/>
                    <w:tabs>
                      <w:tab w:val="left" w:pos="2610"/>
                    </w:tabs>
                    <w:spacing w:after="0"/>
                    <w:ind w:left="0" w:leftChars="0" w:firstLine="0" w:firstLineChars="0"/>
                    <w:jc w:val="center"/>
                  </w:pPr>
                  <w:r>
                    <w:rPr>
                      <w:szCs w:val="21"/>
                    </w:rPr>
                    <w:t>事故情形</w:t>
                  </w:r>
                </w:p>
              </w:tc>
            </w:tr>
            <w:tr w14:paraId="78B3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vAlign w:val="center"/>
                </w:tcPr>
                <w:p w14:paraId="04164E92">
                  <w:pPr>
                    <w:pStyle w:val="2"/>
                    <w:spacing w:after="0"/>
                    <w:ind w:left="0" w:leftChars="0" w:firstLine="0" w:firstLineChars="0"/>
                    <w:jc w:val="center"/>
                  </w:pPr>
                  <w:r>
                    <w:rPr>
                      <w:szCs w:val="21"/>
                    </w:rPr>
                    <w:t>特别重大辐射事故</w:t>
                  </w:r>
                </w:p>
              </w:tc>
              <w:tc>
                <w:tcPr>
                  <w:tcW w:w="4418" w:type="dxa"/>
                  <w:vAlign w:val="center"/>
                </w:tcPr>
                <w:p w14:paraId="66D0F0CF">
                  <w:pPr>
                    <w:pStyle w:val="2"/>
                    <w:spacing w:after="0"/>
                    <w:ind w:left="0" w:leftChars="0" w:firstLine="0" w:firstLineChars="0"/>
                  </w:pPr>
                  <w:r>
                    <w:rPr>
                      <w:szCs w:val="21"/>
                    </w:rPr>
                    <w:t>Ⅰ类、Ⅱ类放射源丢失、被盗、失控造成大范围严重辐射污染后果，或者放射性同位素和射线装置失控导致3人以上（含3人）急性死亡。</w:t>
                  </w:r>
                </w:p>
              </w:tc>
            </w:tr>
            <w:tr w14:paraId="3E88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vAlign w:val="center"/>
                </w:tcPr>
                <w:p w14:paraId="0896E155">
                  <w:pPr>
                    <w:pStyle w:val="2"/>
                    <w:spacing w:after="0"/>
                    <w:ind w:left="0" w:leftChars="0" w:firstLine="0" w:firstLineChars="0"/>
                    <w:jc w:val="center"/>
                  </w:pPr>
                  <w:r>
                    <w:rPr>
                      <w:szCs w:val="21"/>
                    </w:rPr>
                    <w:t>重大辐射事故</w:t>
                  </w:r>
                </w:p>
              </w:tc>
              <w:tc>
                <w:tcPr>
                  <w:tcW w:w="4418" w:type="dxa"/>
                  <w:vAlign w:val="center"/>
                </w:tcPr>
                <w:p w14:paraId="1F4F414A">
                  <w:pPr>
                    <w:pStyle w:val="2"/>
                    <w:spacing w:after="0"/>
                    <w:ind w:left="0" w:leftChars="0" w:firstLine="0" w:firstLineChars="0"/>
                  </w:pPr>
                  <w:r>
                    <w:rPr>
                      <w:szCs w:val="21"/>
                    </w:rPr>
                    <w:t>Ⅰ类、Ⅱ类放射源丢失、被盗、失控，或者放射性同位素和射线装置失控导致2以下（含2人）急性死亡或者10人以上（含10人）急性重度放射病、局部器官残疾。</w:t>
                  </w:r>
                </w:p>
              </w:tc>
            </w:tr>
            <w:tr w14:paraId="4F37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vAlign w:val="center"/>
                </w:tcPr>
                <w:p w14:paraId="128A5F3E">
                  <w:pPr>
                    <w:pStyle w:val="2"/>
                    <w:tabs>
                      <w:tab w:val="left" w:pos="3105"/>
                    </w:tabs>
                    <w:spacing w:after="0"/>
                    <w:ind w:left="0" w:leftChars="0" w:firstLine="0" w:firstLineChars="0"/>
                    <w:jc w:val="center"/>
                  </w:pPr>
                  <w:r>
                    <w:rPr>
                      <w:szCs w:val="21"/>
                    </w:rPr>
                    <w:t>较大辐射事故</w:t>
                  </w:r>
                </w:p>
              </w:tc>
              <w:tc>
                <w:tcPr>
                  <w:tcW w:w="4418" w:type="dxa"/>
                  <w:vAlign w:val="center"/>
                </w:tcPr>
                <w:p w14:paraId="61748C50">
                  <w:pPr>
                    <w:pStyle w:val="2"/>
                    <w:spacing w:after="0"/>
                    <w:ind w:left="0" w:leftChars="0" w:firstLine="0" w:firstLineChars="0"/>
                  </w:pPr>
                  <w:r>
                    <w:rPr>
                      <w:szCs w:val="21"/>
                    </w:rPr>
                    <w:t>Ⅲ类放射源丢失、被盗、失控，或者放射性同位素和射线装置失控导致9人以下（含9人）急性重度放射病、局部器官残疾。</w:t>
                  </w:r>
                </w:p>
              </w:tc>
            </w:tr>
            <w:tr w14:paraId="1937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vAlign w:val="center"/>
                </w:tcPr>
                <w:p w14:paraId="28134B5E">
                  <w:pPr>
                    <w:pStyle w:val="2"/>
                    <w:tabs>
                      <w:tab w:val="left" w:pos="2685"/>
                    </w:tabs>
                    <w:spacing w:after="0"/>
                    <w:ind w:left="0" w:leftChars="0" w:firstLine="0" w:firstLineChars="0"/>
                    <w:jc w:val="center"/>
                  </w:pPr>
                  <w:r>
                    <w:rPr>
                      <w:szCs w:val="21"/>
                    </w:rPr>
                    <w:t>一般辐射事故</w:t>
                  </w:r>
                </w:p>
              </w:tc>
              <w:tc>
                <w:tcPr>
                  <w:tcW w:w="4418" w:type="dxa"/>
                  <w:vAlign w:val="center"/>
                </w:tcPr>
                <w:p w14:paraId="073F0F39">
                  <w:pPr>
                    <w:pStyle w:val="2"/>
                    <w:spacing w:after="0"/>
                    <w:ind w:left="0" w:leftChars="0" w:firstLine="0" w:firstLineChars="0"/>
                  </w:pPr>
                  <w:r>
                    <w:rPr>
                      <w:szCs w:val="21"/>
                    </w:rPr>
                    <w:t>Ⅳ类、Ⅴ类放射源丢失、被盗、失控，或放射性同位素和射线装置失控导致人员受到超过年剂量限值的照射。</w:t>
                  </w:r>
                </w:p>
              </w:tc>
            </w:tr>
          </w:tbl>
          <w:p w14:paraId="0744D8E2">
            <w:pPr>
              <w:pStyle w:val="2"/>
              <w:spacing w:before="120" w:beforeLines="50" w:after="0" w:line="360" w:lineRule="auto"/>
              <w:ind w:left="0" w:leftChars="0" w:firstLine="480"/>
              <w:rPr>
                <w:sz w:val="24"/>
              </w:rPr>
            </w:pPr>
            <w:r>
              <w:rPr>
                <w:sz w:val="24"/>
              </w:rPr>
              <w:t>根据《实用辐射安全手册》（第二版）（丛慧玲，北京：原子能出版社）急性放射病的发生率以及急性放射病的死亡率与辐射剂量的关系（表11-9）：</w:t>
            </w:r>
          </w:p>
          <w:p w14:paraId="7740F891">
            <w:pPr>
              <w:tabs>
                <w:tab w:val="left" w:pos="1995"/>
              </w:tabs>
              <w:jc w:val="center"/>
              <w:rPr>
                <w:rFonts w:ascii="Times New Roman" w:hAnsi="Times New Roman"/>
                <w:b/>
                <w:sz w:val="24"/>
              </w:rPr>
            </w:pPr>
            <w:r>
              <w:rPr>
                <w:rFonts w:ascii="Times New Roman" w:hAnsi="Times New Roman"/>
                <w:b/>
                <w:bCs/>
              </w:rPr>
              <w:t>表</w:t>
            </w:r>
            <w:r>
              <w:rPr>
                <w:rFonts w:ascii="Times New Roman" w:hAnsi="Times New Roman"/>
              </w:rPr>
              <w:t xml:space="preserve">11-9 </w:t>
            </w:r>
            <w:r>
              <w:rPr>
                <w:rFonts w:ascii="Times New Roman" w:hAnsi="Times New Roman"/>
                <w:b/>
                <w:bCs/>
              </w:rPr>
              <w:t>急性放射病的发生率、死亡率与辐射剂量的关系</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209"/>
              <w:gridCol w:w="2209"/>
              <w:gridCol w:w="2209"/>
            </w:tblGrid>
            <w:tr w14:paraId="6ED1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128CC1CC">
                  <w:pPr>
                    <w:jc w:val="center"/>
                    <w:rPr>
                      <w:rFonts w:ascii="Times New Roman" w:hAnsi="Times New Roman" w:eastAsiaTheme="minorEastAsia"/>
                      <w:szCs w:val="21"/>
                    </w:rPr>
                  </w:pPr>
                  <w:r>
                    <w:rPr>
                      <w:rFonts w:ascii="Times New Roman" w:hAnsi="Times New Roman" w:eastAsiaTheme="minorEastAsia"/>
                      <w:szCs w:val="21"/>
                    </w:rPr>
                    <w:t>辐射剂量/Gy</w:t>
                  </w:r>
                </w:p>
              </w:tc>
              <w:tc>
                <w:tcPr>
                  <w:tcW w:w="2209" w:type="dxa"/>
                  <w:vAlign w:val="center"/>
                </w:tcPr>
                <w:p w14:paraId="3CF370F9">
                  <w:pPr>
                    <w:jc w:val="center"/>
                    <w:rPr>
                      <w:rFonts w:ascii="Times New Roman" w:hAnsi="Times New Roman" w:eastAsiaTheme="minorEastAsia"/>
                      <w:szCs w:val="21"/>
                    </w:rPr>
                  </w:pPr>
                  <w:r>
                    <w:rPr>
                      <w:rFonts w:ascii="Times New Roman" w:hAnsi="Times New Roman" w:eastAsiaTheme="minorEastAsia"/>
                      <w:szCs w:val="21"/>
                    </w:rPr>
                    <w:t>急性放射病发生率/%</w:t>
                  </w:r>
                </w:p>
              </w:tc>
              <w:tc>
                <w:tcPr>
                  <w:tcW w:w="2209" w:type="dxa"/>
                  <w:vAlign w:val="center"/>
                </w:tcPr>
                <w:p w14:paraId="6241CD55">
                  <w:pPr>
                    <w:jc w:val="center"/>
                    <w:rPr>
                      <w:rFonts w:ascii="Times New Roman" w:hAnsi="Times New Roman" w:eastAsiaTheme="minorEastAsia"/>
                      <w:szCs w:val="21"/>
                    </w:rPr>
                  </w:pPr>
                  <w:r>
                    <w:rPr>
                      <w:rFonts w:ascii="Times New Roman" w:hAnsi="Times New Roman" w:eastAsiaTheme="minorEastAsia"/>
                      <w:szCs w:val="21"/>
                    </w:rPr>
                    <w:t>辐射剂量/Gy</w:t>
                  </w:r>
                </w:p>
              </w:tc>
              <w:tc>
                <w:tcPr>
                  <w:tcW w:w="2209" w:type="dxa"/>
                  <w:vAlign w:val="center"/>
                </w:tcPr>
                <w:p w14:paraId="116F1DA8">
                  <w:pPr>
                    <w:tabs>
                      <w:tab w:val="left" w:pos="1995"/>
                    </w:tabs>
                    <w:jc w:val="center"/>
                    <w:rPr>
                      <w:rFonts w:ascii="Times New Roman" w:hAnsi="Times New Roman" w:eastAsiaTheme="minorEastAsia"/>
                      <w:szCs w:val="21"/>
                    </w:rPr>
                  </w:pPr>
                  <w:r>
                    <w:rPr>
                      <w:rFonts w:ascii="Times New Roman" w:hAnsi="Times New Roman" w:eastAsiaTheme="minorEastAsia"/>
                      <w:szCs w:val="21"/>
                    </w:rPr>
                    <w:t>死亡率/%</w:t>
                  </w:r>
                </w:p>
              </w:tc>
            </w:tr>
            <w:tr w14:paraId="45B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7613AC01">
                  <w:pPr>
                    <w:jc w:val="center"/>
                    <w:rPr>
                      <w:rFonts w:ascii="Times New Roman" w:hAnsi="Times New Roman" w:eastAsiaTheme="minorEastAsia"/>
                      <w:szCs w:val="21"/>
                    </w:rPr>
                  </w:pPr>
                  <w:r>
                    <w:rPr>
                      <w:rFonts w:ascii="Times New Roman" w:hAnsi="Times New Roman" w:eastAsiaTheme="minorEastAsia"/>
                      <w:szCs w:val="21"/>
                    </w:rPr>
                    <w:t>0.70</w:t>
                  </w:r>
                </w:p>
              </w:tc>
              <w:tc>
                <w:tcPr>
                  <w:tcW w:w="2209" w:type="dxa"/>
                  <w:vAlign w:val="center"/>
                </w:tcPr>
                <w:p w14:paraId="6BBA8FFB">
                  <w:pPr>
                    <w:jc w:val="center"/>
                    <w:rPr>
                      <w:rFonts w:ascii="Times New Roman" w:hAnsi="Times New Roman" w:eastAsiaTheme="minorEastAsia"/>
                      <w:szCs w:val="21"/>
                    </w:rPr>
                  </w:pPr>
                  <w:r>
                    <w:rPr>
                      <w:rFonts w:ascii="Times New Roman" w:hAnsi="Times New Roman" w:eastAsiaTheme="minorEastAsia"/>
                      <w:szCs w:val="21"/>
                    </w:rPr>
                    <w:t>1</w:t>
                  </w:r>
                </w:p>
              </w:tc>
              <w:tc>
                <w:tcPr>
                  <w:tcW w:w="2209" w:type="dxa"/>
                  <w:vAlign w:val="center"/>
                </w:tcPr>
                <w:p w14:paraId="6F32867E">
                  <w:pPr>
                    <w:jc w:val="center"/>
                    <w:rPr>
                      <w:rFonts w:ascii="Times New Roman" w:hAnsi="Times New Roman" w:eastAsiaTheme="minorEastAsia"/>
                      <w:szCs w:val="21"/>
                    </w:rPr>
                  </w:pPr>
                  <w:r>
                    <w:rPr>
                      <w:rFonts w:ascii="Times New Roman" w:hAnsi="Times New Roman" w:eastAsiaTheme="minorEastAsia"/>
                      <w:szCs w:val="21"/>
                    </w:rPr>
                    <w:t>2.00</w:t>
                  </w:r>
                </w:p>
              </w:tc>
              <w:tc>
                <w:tcPr>
                  <w:tcW w:w="2209" w:type="dxa"/>
                  <w:vAlign w:val="center"/>
                </w:tcPr>
                <w:p w14:paraId="005E88C9">
                  <w:pPr>
                    <w:jc w:val="center"/>
                    <w:rPr>
                      <w:rFonts w:ascii="Times New Roman" w:hAnsi="Times New Roman" w:eastAsiaTheme="minorEastAsia"/>
                      <w:szCs w:val="21"/>
                    </w:rPr>
                  </w:pPr>
                  <w:r>
                    <w:rPr>
                      <w:rFonts w:ascii="Times New Roman" w:hAnsi="Times New Roman" w:eastAsiaTheme="minorEastAsia"/>
                      <w:szCs w:val="21"/>
                    </w:rPr>
                    <w:t>1</w:t>
                  </w:r>
                </w:p>
              </w:tc>
            </w:tr>
            <w:tr w14:paraId="28C6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63805488">
                  <w:pPr>
                    <w:jc w:val="center"/>
                    <w:rPr>
                      <w:rFonts w:ascii="Times New Roman" w:hAnsi="Times New Roman" w:eastAsiaTheme="minorEastAsia"/>
                      <w:szCs w:val="21"/>
                    </w:rPr>
                  </w:pPr>
                  <w:r>
                    <w:rPr>
                      <w:rFonts w:ascii="Times New Roman" w:hAnsi="Times New Roman" w:eastAsiaTheme="minorEastAsia"/>
                      <w:szCs w:val="21"/>
                    </w:rPr>
                    <w:t>0.90</w:t>
                  </w:r>
                </w:p>
              </w:tc>
              <w:tc>
                <w:tcPr>
                  <w:tcW w:w="2209" w:type="dxa"/>
                  <w:vAlign w:val="center"/>
                </w:tcPr>
                <w:p w14:paraId="4D37C04B">
                  <w:pPr>
                    <w:jc w:val="center"/>
                    <w:rPr>
                      <w:rFonts w:ascii="Times New Roman" w:hAnsi="Times New Roman" w:eastAsiaTheme="minorEastAsia"/>
                      <w:szCs w:val="21"/>
                    </w:rPr>
                  </w:pPr>
                  <w:r>
                    <w:rPr>
                      <w:rFonts w:ascii="Times New Roman" w:hAnsi="Times New Roman" w:eastAsiaTheme="minorEastAsia"/>
                      <w:szCs w:val="21"/>
                    </w:rPr>
                    <w:t>10</w:t>
                  </w:r>
                </w:p>
              </w:tc>
              <w:tc>
                <w:tcPr>
                  <w:tcW w:w="2209" w:type="dxa"/>
                  <w:vAlign w:val="center"/>
                </w:tcPr>
                <w:p w14:paraId="6ED8E3BF">
                  <w:pPr>
                    <w:jc w:val="center"/>
                    <w:rPr>
                      <w:rFonts w:ascii="Times New Roman" w:hAnsi="Times New Roman" w:eastAsiaTheme="minorEastAsia"/>
                      <w:szCs w:val="21"/>
                    </w:rPr>
                  </w:pPr>
                  <w:r>
                    <w:rPr>
                      <w:rFonts w:ascii="Times New Roman" w:hAnsi="Times New Roman" w:eastAsiaTheme="minorEastAsia"/>
                      <w:szCs w:val="21"/>
                    </w:rPr>
                    <w:t>2.50</w:t>
                  </w:r>
                </w:p>
              </w:tc>
              <w:tc>
                <w:tcPr>
                  <w:tcW w:w="2209" w:type="dxa"/>
                  <w:vAlign w:val="center"/>
                </w:tcPr>
                <w:p w14:paraId="11A602D0">
                  <w:pPr>
                    <w:jc w:val="center"/>
                    <w:rPr>
                      <w:rFonts w:ascii="Times New Roman" w:hAnsi="Times New Roman" w:eastAsiaTheme="minorEastAsia"/>
                      <w:szCs w:val="21"/>
                    </w:rPr>
                  </w:pPr>
                  <w:r>
                    <w:rPr>
                      <w:rFonts w:ascii="Times New Roman" w:hAnsi="Times New Roman" w:eastAsiaTheme="minorEastAsia"/>
                      <w:szCs w:val="21"/>
                    </w:rPr>
                    <w:t>10</w:t>
                  </w:r>
                </w:p>
              </w:tc>
            </w:tr>
            <w:tr w14:paraId="42D9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64F8712B">
                  <w:pPr>
                    <w:jc w:val="center"/>
                    <w:rPr>
                      <w:rFonts w:ascii="Times New Roman" w:hAnsi="Times New Roman" w:eastAsiaTheme="minorEastAsia"/>
                      <w:szCs w:val="21"/>
                    </w:rPr>
                  </w:pPr>
                  <w:r>
                    <w:rPr>
                      <w:rFonts w:ascii="Times New Roman" w:hAnsi="Times New Roman" w:eastAsiaTheme="minorEastAsia"/>
                      <w:szCs w:val="21"/>
                    </w:rPr>
                    <w:t>1.00</w:t>
                  </w:r>
                </w:p>
              </w:tc>
              <w:tc>
                <w:tcPr>
                  <w:tcW w:w="2209" w:type="dxa"/>
                  <w:vAlign w:val="center"/>
                </w:tcPr>
                <w:p w14:paraId="2A1A58E9">
                  <w:pPr>
                    <w:jc w:val="center"/>
                    <w:rPr>
                      <w:rFonts w:ascii="Times New Roman" w:hAnsi="Times New Roman" w:eastAsiaTheme="minorEastAsia"/>
                      <w:szCs w:val="21"/>
                    </w:rPr>
                  </w:pPr>
                  <w:r>
                    <w:rPr>
                      <w:rFonts w:ascii="Times New Roman" w:hAnsi="Times New Roman" w:eastAsiaTheme="minorEastAsia"/>
                      <w:szCs w:val="21"/>
                    </w:rPr>
                    <w:t>20</w:t>
                  </w:r>
                </w:p>
              </w:tc>
              <w:tc>
                <w:tcPr>
                  <w:tcW w:w="2209" w:type="dxa"/>
                  <w:vAlign w:val="center"/>
                </w:tcPr>
                <w:p w14:paraId="4FD1B7C3">
                  <w:pPr>
                    <w:jc w:val="center"/>
                    <w:rPr>
                      <w:rFonts w:ascii="Times New Roman" w:hAnsi="Times New Roman" w:eastAsiaTheme="minorEastAsia"/>
                      <w:szCs w:val="21"/>
                    </w:rPr>
                  </w:pPr>
                  <w:r>
                    <w:rPr>
                      <w:rFonts w:ascii="Times New Roman" w:hAnsi="Times New Roman" w:eastAsiaTheme="minorEastAsia"/>
                      <w:szCs w:val="21"/>
                    </w:rPr>
                    <w:t>2.80</w:t>
                  </w:r>
                </w:p>
              </w:tc>
              <w:tc>
                <w:tcPr>
                  <w:tcW w:w="2209" w:type="dxa"/>
                  <w:vAlign w:val="center"/>
                </w:tcPr>
                <w:p w14:paraId="3B839ADE">
                  <w:pPr>
                    <w:jc w:val="center"/>
                    <w:rPr>
                      <w:rFonts w:ascii="Times New Roman" w:hAnsi="Times New Roman" w:eastAsiaTheme="minorEastAsia"/>
                      <w:szCs w:val="21"/>
                    </w:rPr>
                  </w:pPr>
                  <w:r>
                    <w:rPr>
                      <w:rFonts w:ascii="Times New Roman" w:hAnsi="Times New Roman" w:eastAsiaTheme="minorEastAsia"/>
                      <w:szCs w:val="21"/>
                    </w:rPr>
                    <w:t>20</w:t>
                  </w:r>
                </w:p>
              </w:tc>
            </w:tr>
            <w:tr w14:paraId="4076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1AF30D40">
                  <w:pPr>
                    <w:jc w:val="center"/>
                    <w:rPr>
                      <w:rFonts w:ascii="Times New Roman" w:hAnsi="Times New Roman" w:eastAsiaTheme="minorEastAsia"/>
                      <w:szCs w:val="21"/>
                    </w:rPr>
                  </w:pPr>
                  <w:r>
                    <w:rPr>
                      <w:rFonts w:ascii="Times New Roman" w:hAnsi="Times New Roman" w:eastAsiaTheme="minorEastAsia"/>
                      <w:szCs w:val="21"/>
                    </w:rPr>
                    <w:t>1.05</w:t>
                  </w:r>
                </w:p>
              </w:tc>
              <w:tc>
                <w:tcPr>
                  <w:tcW w:w="2209" w:type="dxa"/>
                  <w:vAlign w:val="center"/>
                </w:tcPr>
                <w:p w14:paraId="795013AF">
                  <w:pPr>
                    <w:jc w:val="center"/>
                    <w:rPr>
                      <w:rFonts w:ascii="Times New Roman" w:hAnsi="Times New Roman" w:eastAsiaTheme="minorEastAsia"/>
                      <w:szCs w:val="21"/>
                    </w:rPr>
                  </w:pPr>
                  <w:r>
                    <w:rPr>
                      <w:rFonts w:ascii="Times New Roman" w:hAnsi="Times New Roman" w:eastAsiaTheme="minorEastAsia"/>
                      <w:szCs w:val="21"/>
                    </w:rPr>
                    <w:t>30</w:t>
                  </w:r>
                </w:p>
              </w:tc>
              <w:tc>
                <w:tcPr>
                  <w:tcW w:w="2209" w:type="dxa"/>
                  <w:vAlign w:val="center"/>
                </w:tcPr>
                <w:p w14:paraId="10100CB3">
                  <w:pPr>
                    <w:jc w:val="center"/>
                    <w:rPr>
                      <w:rFonts w:ascii="Times New Roman" w:hAnsi="Times New Roman" w:eastAsiaTheme="minorEastAsia"/>
                      <w:szCs w:val="21"/>
                    </w:rPr>
                  </w:pPr>
                  <w:r>
                    <w:rPr>
                      <w:rFonts w:ascii="Times New Roman" w:hAnsi="Times New Roman" w:eastAsiaTheme="minorEastAsia"/>
                      <w:szCs w:val="21"/>
                    </w:rPr>
                    <w:t>3.00</w:t>
                  </w:r>
                </w:p>
              </w:tc>
              <w:tc>
                <w:tcPr>
                  <w:tcW w:w="2209" w:type="dxa"/>
                  <w:vAlign w:val="center"/>
                </w:tcPr>
                <w:p w14:paraId="52C3E6B3">
                  <w:pPr>
                    <w:jc w:val="center"/>
                    <w:rPr>
                      <w:rFonts w:ascii="Times New Roman" w:hAnsi="Times New Roman" w:eastAsiaTheme="minorEastAsia"/>
                      <w:szCs w:val="21"/>
                    </w:rPr>
                  </w:pPr>
                  <w:r>
                    <w:rPr>
                      <w:rFonts w:ascii="Times New Roman" w:hAnsi="Times New Roman" w:eastAsiaTheme="minorEastAsia"/>
                      <w:szCs w:val="21"/>
                    </w:rPr>
                    <w:t>30</w:t>
                  </w:r>
                </w:p>
              </w:tc>
            </w:tr>
            <w:tr w14:paraId="4E8E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1280CB0A">
                  <w:pPr>
                    <w:jc w:val="center"/>
                    <w:rPr>
                      <w:rFonts w:ascii="Times New Roman" w:hAnsi="Times New Roman" w:eastAsiaTheme="minorEastAsia"/>
                      <w:szCs w:val="21"/>
                    </w:rPr>
                  </w:pPr>
                  <w:r>
                    <w:rPr>
                      <w:rFonts w:ascii="Times New Roman" w:hAnsi="Times New Roman" w:eastAsiaTheme="minorEastAsia"/>
                      <w:szCs w:val="21"/>
                    </w:rPr>
                    <w:t>1.10</w:t>
                  </w:r>
                </w:p>
              </w:tc>
              <w:tc>
                <w:tcPr>
                  <w:tcW w:w="2209" w:type="dxa"/>
                  <w:vAlign w:val="center"/>
                </w:tcPr>
                <w:p w14:paraId="71F9FB79">
                  <w:pPr>
                    <w:jc w:val="center"/>
                    <w:rPr>
                      <w:rFonts w:ascii="Times New Roman" w:hAnsi="Times New Roman" w:eastAsiaTheme="minorEastAsia"/>
                      <w:szCs w:val="21"/>
                    </w:rPr>
                  </w:pPr>
                  <w:r>
                    <w:rPr>
                      <w:rFonts w:ascii="Times New Roman" w:hAnsi="Times New Roman" w:eastAsiaTheme="minorEastAsia"/>
                      <w:szCs w:val="21"/>
                    </w:rPr>
                    <w:t>40</w:t>
                  </w:r>
                </w:p>
              </w:tc>
              <w:tc>
                <w:tcPr>
                  <w:tcW w:w="2209" w:type="dxa"/>
                  <w:vAlign w:val="center"/>
                </w:tcPr>
                <w:p w14:paraId="1E313DAE">
                  <w:pPr>
                    <w:jc w:val="center"/>
                    <w:rPr>
                      <w:rFonts w:ascii="Times New Roman" w:hAnsi="Times New Roman" w:eastAsiaTheme="minorEastAsia"/>
                      <w:szCs w:val="21"/>
                    </w:rPr>
                  </w:pPr>
                  <w:r>
                    <w:rPr>
                      <w:rFonts w:ascii="Times New Roman" w:hAnsi="Times New Roman" w:eastAsiaTheme="minorEastAsia"/>
                      <w:szCs w:val="21"/>
                    </w:rPr>
                    <w:t>3 .20</w:t>
                  </w:r>
                </w:p>
              </w:tc>
              <w:tc>
                <w:tcPr>
                  <w:tcW w:w="2209" w:type="dxa"/>
                  <w:vAlign w:val="center"/>
                </w:tcPr>
                <w:p w14:paraId="62180544">
                  <w:pPr>
                    <w:jc w:val="center"/>
                    <w:rPr>
                      <w:rFonts w:ascii="Times New Roman" w:hAnsi="Times New Roman" w:eastAsiaTheme="minorEastAsia"/>
                      <w:szCs w:val="21"/>
                    </w:rPr>
                  </w:pPr>
                  <w:r>
                    <w:rPr>
                      <w:rFonts w:ascii="Times New Roman" w:hAnsi="Times New Roman" w:eastAsiaTheme="minorEastAsia"/>
                      <w:szCs w:val="21"/>
                    </w:rPr>
                    <w:t>40</w:t>
                  </w:r>
                </w:p>
              </w:tc>
            </w:tr>
            <w:tr w14:paraId="70B3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5A1BCE92">
                  <w:pPr>
                    <w:jc w:val="center"/>
                    <w:rPr>
                      <w:rFonts w:ascii="Times New Roman" w:hAnsi="Times New Roman" w:eastAsiaTheme="minorEastAsia"/>
                      <w:szCs w:val="21"/>
                    </w:rPr>
                  </w:pPr>
                  <w:r>
                    <w:rPr>
                      <w:rFonts w:ascii="Times New Roman" w:hAnsi="Times New Roman" w:eastAsiaTheme="minorEastAsia"/>
                      <w:szCs w:val="21"/>
                    </w:rPr>
                    <w:t>1.20</w:t>
                  </w:r>
                </w:p>
              </w:tc>
              <w:tc>
                <w:tcPr>
                  <w:tcW w:w="2209" w:type="dxa"/>
                  <w:vAlign w:val="center"/>
                </w:tcPr>
                <w:p w14:paraId="77D0A46E">
                  <w:pPr>
                    <w:jc w:val="center"/>
                    <w:rPr>
                      <w:rFonts w:ascii="Times New Roman" w:hAnsi="Times New Roman" w:eastAsiaTheme="minorEastAsia"/>
                      <w:szCs w:val="21"/>
                    </w:rPr>
                  </w:pPr>
                  <w:r>
                    <w:rPr>
                      <w:rFonts w:ascii="Times New Roman" w:hAnsi="Times New Roman" w:eastAsiaTheme="minorEastAsia"/>
                      <w:szCs w:val="21"/>
                    </w:rPr>
                    <w:t>50</w:t>
                  </w:r>
                </w:p>
              </w:tc>
              <w:tc>
                <w:tcPr>
                  <w:tcW w:w="2209" w:type="dxa"/>
                  <w:vAlign w:val="center"/>
                </w:tcPr>
                <w:p w14:paraId="1A4117A9">
                  <w:pPr>
                    <w:jc w:val="center"/>
                    <w:rPr>
                      <w:rFonts w:ascii="Times New Roman" w:hAnsi="Times New Roman" w:eastAsiaTheme="minorEastAsia"/>
                      <w:szCs w:val="21"/>
                    </w:rPr>
                  </w:pPr>
                  <w:r>
                    <w:rPr>
                      <w:rFonts w:ascii="Times New Roman" w:hAnsi="Times New Roman" w:eastAsiaTheme="minorEastAsia"/>
                      <w:szCs w:val="21"/>
                    </w:rPr>
                    <w:t>3.50</w:t>
                  </w:r>
                </w:p>
              </w:tc>
              <w:tc>
                <w:tcPr>
                  <w:tcW w:w="2209" w:type="dxa"/>
                  <w:vAlign w:val="center"/>
                </w:tcPr>
                <w:p w14:paraId="4E356012">
                  <w:pPr>
                    <w:jc w:val="center"/>
                    <w:rPr>
                      <w:rFonts w:ascii="Times New Roman" w:hAnsi="Times New Roman" w:eastAsiaTheme="minorEastAsia"/>
                      <w:szCs w:val="21"/>
                    </w:rPr>
                  </w:pPr>
                  <w:r>
                    <w:rPr>
                      <w:rFonts w:ascii="Times New Roman" w:hAnsi="Times New Roman" w:eastAsiaTheme="minorEastAsia"/>
                      <w:szCs w:val="21"/>
                    </w:rPr>
                    <w:t>50</w:t>
                  </w:r>
                </w:p>
              </w:tc>
            </w:tr>
            <w:tr w14:paraId="34C4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30C71A97">
                  <w:pPr>
                    <w:jc w:val="center"/>
                    <w:rPr>
                      <w:rFonts w:ascii="Times New Roman" w:hAnsi="Times New Roman" w:eastAsiaTheme="minorEastAsia"/>
                      <w:szCs w:val="21"/>
                    </w:rPr>
                  </w:pPr>
                  <w:r>
                    <w:rPr>
                      <w:rFonts w:ascii="Times New Roman" w:hAnsi="Times New Roman" w:eastAsiaTheme="minorEastAsia"/>
                      <w:szCs w:val="21"/>
                    </w:rPr>
                    <w:t>1.25</w:t>
                  </w:r>
                </w:p>
              </w:tc>
              <w:tc>
                <w:tcPr>
                  <w:tcW w:w="2209" w:type="dxa"/>
                  <w:vAlign w:val="center"/>
                </w:tcPr>
                <w:p w14:paraId="6153D82A">
                  <w:pPr>
                    <w:jc w:val="center"/>
                    <w:rPr>
                      <w:rFonts w:ascii="Times New Roman" w:hAnsi="Times New Roman" w:eastAsiaTheme="minorEastAsia"/>
                      <w:szCs w:val="21"/>
                    </w:rPr>
                  </w:pPr>
                  <w:r>
                    <w:rPr>
                      <w:rFonts w:ascii="Times New Roman" w:hAnsi="Times New Roman" w:eastAsiaTheme="minorEastAsia"/>
                      <w:szCs w:val="21"/>
                    </w:rPr>
                    <w:t>60</w:t>
                  </w:r>
                </w:p>
              </w:tc>
              <w:tc>
                <w:tcPr>
                  <w:tcW w:w="2209" w:type="dxa"/>
                  <w:vAlign w:val="center"/>
                </w:tcPr>
                <w:p w14:paraId="68989DC5">
                  <w:pPr>
                    <w:jc w:val="center"/>
                    <w:rPr>
                      <w:rFonts w:ascii="Times New Roman" w:hAnsi="Times New Roman" w:eastAsiaTheme="minorEastAsia"/>
                      <w:szCs w:val="21"/>
                    </w:rPr>
                  </w:pPr>
                  <w:r>
                    <w:rPr>
                      <w:rFonts w:ascii="Times New Roman" w:hAnsi="Times New Roman" w:eastAsiaTheme="minorEastAsia"/>
                      <w:szCs w:val="21"/>
                    </w:rPr>
                    <w:t>3.60</w:t>
                  </w:r>
                </w:p>
              </w:tc>
              <w:tc>
                <w:tcPr>
                  <w:tcW w:w="2209" w:type="dxa"/>
                  <w:vAlign w:val="center"/>
                </w:tcPr>
                <w:p w14:paraId="41E97897">
                  <w:pPr>
                    <w:jc w:val="center"/>
                    <w:rPr>
                      <w:rFonts w:ascii="Times New Roman" w:hAnsi="Times New Roman" w:eastAsiaTheme="minorEastAsia"/>
                      <w:szCs w:val="21"/>
                    </w:rPr>
                  </w:pPr>
                  <w:r>
                    <w:rPr>
                      <w:rFonts w:ascii="Times New Roman" w:hAnsi="Times New Roman" w:eastAsiaTheme="minorEastAsia"/>
                      <w:szCs w:val="21"/>
                    </w:rPr>
                    <w:t>60</w:t>
                  </w:r>
                </w:p>
              </w:tc>
            </w:tr>
            <w:tr w14:paraId="37FC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612DA6E9">
                  <w:pPr>
                    <w:jc w:val="center"/>
                    <w:rPr>
                      <w:rFonts w:ascii="Times New Roman" w:hAnsi="Times New Roman" w:eastAsiaTheme="minorEastAsia"/>
                      <w:szCs w:val="21"/>
                    </w:rPr>
                  </w:pPr>
                  <w:r>
                    <w:rPr>
                      <w:rFonts w:ascii="Times New Roman" w:hAnsi="Times New Roman" w:eastAsiaTheme="minorEastAsia"/>
                      <w:szCs w:val="21"/>
                    </w:rPr>
                    <w:t>1.35</w:t>
                  </w:r>
                </w:p>
              </w:tc>
              <w:tc>
                <w:tcPr>
                  <w:tcW w:w="2209" w:type="dxa"/>
                  <w:vAlign w:val="center"/>
                </w:tcPr>
                <w:p w14:paraId="2F69316E">
                  <w:pPr>
                    <w:jc w:val="center"/>
                    <w:rPr>
                      <w:rFonts w:ascii="Times New Roman" w:hAnsi="Times New Roman" w:eastAsiaTheme="minorEastAsia"/>
                      <w:szCs w:val="21"/>
                    </w:rPr>
                  </w:pPr>
                  <w:r>
                    <w:rPr>
                      <w:rFonts w:ascii="Times New Roman" w:hAnsi="Times New Roman" w:eastAsiaTheme="minorEastAsia"/>
                      <w:szCs w:val="21"/>
                    </w:rPr>
                    <w:t>70</w:t>
                  </w:r>
                </w:p>
              </w:tc>
              <w:tc>
                <w:tcPr>
                  <w:tcW w:w="2209" w:type="dxa"/>
                  <w:vAlign w:val="center"/>
                </w:tcPr>
                <w:p w14:paraId="719A1B4E">
                  <w:pPr>
                    <w:jc w:val="center"/>
                    <w:rPr>
                      <w:rFonts w:ascii="Times New Roman" w:hAnsi="Times New Roman" w:eastAsiaTheme="minorEastAsia"/>
                      <w:szCs w:val="21"/>
                    </w:rPr>
                  </w:pPr>
                  <w:r>
                    <w:rPr>
                      <w:rFonts w:ascii="Times New Roman" w:hAnsi="Times New Roman" w:eastAsiaTheme="minorEastAsia"/>
                      <w:szCs w:val="21"/>
                    </w:rPr>
                    <w:t>3.75</w:t>
                  </w:r>
                </w:p>
              </w:tc>
              <w:tc>
                <w:tcPr>
                  <w:tcW w:w="2209" w:type="dxa"/>
                  <w:vAlign w:val="center"/>
                </w:tcPr>
                <w:p w14:paraId="40167114">
                  <w:pPr>
                    <w:jc w:val="center"/>
                    <w:rPr>
                      <w:rFonts w:ascii="Times New Roman" w:hAnsi="Times New Roman" w:eastAsiaTheme="minorEastAsia"/>
                      <w:szCs w:val="21"/>
                    </w:rPr>
                  </w:pPr>
                  <w:r>
                    <w:rPr>
                      <w:rFonts w:ascii="Times New Roman" w:hAnsi="Times New Roman" w:eastAsiaTheme="minorEastAsia"/>
                      <w:szCs w:val="21"/>
                    </w:rPr>
                    <w:t>70</w:t>
                  </w:r>
                </w:p>
              </w:tc>
            </w:tr>
            <w:tr w14:paraId="24C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7A8D7D11">
                  <w:pPr>
                    <w:jc w:val="center"/>
                    <w:rPr>
                      <w:rFonts w:ascii="Times New Roman" w:hAnsi="Times New Roman" w:eastAsiaTheme="minorEastAsia"/>
                      <w:szCs w:val="21"/>
                    </w:rPr>
                  </w:pPr>
                  <w:r>
                    <w:rPr>
                      <w:rFonts w:ascii="Times New Roman" w:hAnsi="Times New Roman" w:eastAsiaTheme="minorEastAsia"/>
                      <w:szCs w:val="21"/>
                    </w:rPr>
                    <w:t>1.40</w:t>
                  </w:r>
                </w:p>
              </w:tc>
              <w:tc>
                <w:tcPr>
                  <w:tcW w:w="2209" w:type="dxa"/>
                  <w:vAlign w:val="center"/>
                </w:tcPr>
                <w:p w14:paraId="2103E5F2">
                  <w:pPr>
                    <w:jc w:val="center"/>
                    <w:rPr>
                      <w:rFonts w:ascii="Times New Roman" w:hAnsi="Times New Roman" w:eastAsiaTheme="minorEastAsia"/>
                      <w:szCs w:val="21"/>
                    </w:rPr>
                  </w:pPr>
                  <w:r>
                    <w:rPr>
                      <w:rFonts w:ascii="Times New Roman" w:hAnsi="Times New Roman" w:eastAsiaTheme="minorEastAsia"/>
                      <w:szCs w:val="21"/>
                    </w:rPr>
                    <w:t>80</w:t>
                  </w:r>
                </w:p>
              </w:tc>
              <w:tc>
                <w:tcPr>
                  <w:tcW w:w="2209" w:type="dxa"/>
                  <w:vAlign w:val="center"/>
                </w:tcPr>
                <w:p w14:paraId="2D9936A1">
                  <w:pPr>
                    <w:jc w:val="center"/>
                    <w:rPr>
                      <w:rFonts w:ascii="Times New Roman" w:hAnsi="Times New Roman" w:eastAsiaTheme="minorEastAsia"/>
                      <w:szCs w:val="21"/>
                    </w:rPr>
                  </w:pPr>
                  <w:r>
                    <w:rPr>
                      <w:rFonts w:ascii="Times New Roman" w:hAnsi="Times New Roman" w:eastAsiaTheme="minorEastAsia"/>
                      <w:szCs w:val="21"/>
                    </w:rPr>
                    <w:t>4.00</w:t>
                  </w:r>
                </w:p>
              </w:tc>
              <w:tc>
                <w:tcPr>
                  <w:tcW w:w="2209" w:type="dxa"/>
                  <w:vAlign w:val="center"/>
                </w:tcPr>
                <w:p w14:paraId="69D17D6D">
                  <w:pPr>
                    <w:jc w:val="center"/>
                    <w:rPr>
                      <w:rFonts w:ascii="Times New Roman" w:hAnsi="Times New Roman" w:eastAsiaTheme="minorEastAsia"/>
                      <w:szCs w:val="21"/>
                    </w:rPr>
                  </w:pPr>
                  <w:r>
                    <w:rPr>
                      <w:rFonts w:ascii="Times New Roman" w:hAnsi="Times New Roman" w:eastAsiaTheme="minorEastAsia"/>
                      <w:szCs w:val="21"/>
                    </w:rPr>
                    <w:t>80</w:t>
                  </w:r>
                </w:p>
              </w:tc>
            </w:tr>
            <w:tr w14:paraId="4699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4EC8AC14">
                  <w:pPr>
                    <w:jc w:val="center"/>
                    <w:rPr>
                      <w:rFonts w:ascii="Times New Roman" w:hAnsi="Times New Roman" w:eastAsiaTheme="minorEastAsia"/>
                      <w:szCs w:val="21"/>
                    </w:rPr>
                  </w:pPr>
                  <w:r>
                    <w:rPr>
                      <w:rFonts w:ascii="Times New Roman" w:hAnsi="Times New Roman" w:eastAsiaTheme="minorEastAsia"/>
                      <w:szCs w:val="21"/>
                    </w:rPr>
                    <w:t>1.60</w:t>
                  </w:r>
                </w:p>
              </w:tc>
              <w:tc>
                <w:tcPr>
                  <w:tcW w:w="2209" w:type="dxa"/>
                  <w:vAlign w:val="center"/>
                </w:tcPr>
                <w:p w14:paraId="037E5C74">
                  <w:pPr>
                    <w:jc w:val="center"/>
                    <w:rPr>
                      <w:rFonts w:ascii="Times New Roman" w:hAnsi="Times New Roman" w:eastAsiaTheme="minorEastAsia"/>
                      <w:szCs w:val="21"/>
                    </w:rPr>
                  </w:pPr>
                  <w:r>
                    <w:rPr>
                      <w:rFonts w:ascii="Times New Roman" w:hAnsi="Times New Roman" w:eastAsiaTheme="minorEastAsia"/>
                      <w:szCs w:val="21"/>
                    </w:rPr>
                    <w:t>90</w:t>
                  </w:r>
                </w:p>
              </w:tc>
              <w:tc>
                <w:tcPr>
                  <w:tcW w:w="2209" w:type="dxa"/>
                  <w:vAlign w:val="center"/>
                </w:tcPr>
                <w:p w14:paraId="21AD71CF">
                  <w:pPr>
                    <w:jc w:val="center"/>
                    <w:rPr>
                      <w:rFonts w:ascii="Times New Roman" w:hAnsi="Times New Roman" w:eastAsiaTheme="minorEastAsia"/>
                      <w:szCs w:val="21"/>
                    </w:rPr>
                  </w:pPr>
                  <w:r>
                    <w:rPr>
                      <w:rFonts w:ascii="Times New Roman" w:hAnsi="Times New Roman" w:eastAsiaTheme="minorEastAsia"/>
                      <w:szCs w:val="21"/>
                    </w:rPr>
                    <w:t>4.50</w:t>
                  </w:r>
                </w:p>
              </w:tc>
              <w:tc>
                <w:tcPr>
                  <w:tcW w:w="2209" w:type="dxa"/>
                  <w:vAlign w:val="center"/>
                </w:tcPr>
                <w:p w14:paraId="15F3D75C">
                  <w:pPr>
                    <w:jc w:val="center"/>
                    <w:rPr>
                      <w:rFonts w:ascii="Times New Roman" w:hAnsi="Times New Roman" w:eastAsiaTheme="minorEastAsia"/>
                      <w:szCs w:val="21"/>
                    </w:rPr>
                  </w:pPr>
                  <w:r>
                    <w:rPr>
                      <w:rFonts w:ascii="Times New Roman" w:hAnsi="Times New Roman" w:eastAsiaTheme="minorEastAsia"/>
                      <w:szCs w:val="21"/>
                    </w:rPr>
                    <w:t>90</w:t>
                  </w:r>
                </w:p>
              </w:tc>
            </w:tr>
            <w:tr w14:paraId="6740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8" w:type="dxa"/>
                  <w:vAlign w:val="center"/>
                </w:tcPr>
                <w:p w14:paraId="112818E8">
                  <w:pPr>
                    <w:jc w:val="center"/>
                    <w:rPr>
                      <w:rFonts w:ascii="Times New Roman" w:hAnsi="Times New Roman" w:eastAsiaTheme="minorEastAsia"/>
                      <w:szCs w:val="21"/>
                    </w:rPr>
                  </w:pPr>
                  <w:r>
                    <w:rPr>
                      <w:rFonts w:ascii="Times New Roman" w:hAnsi="Times New Roman" w:eastAsiaTheme="minorEastAsia"/>
                      <w:szCs w:val="21"/>
                    </w:rPr>
                    <w:t>2.00</w:t>
                  </w:r>
                </w:p>
              </w:tc>
              <w:tc>
                <w:tcPr>
                  <w:tcW w:w="2209" w:type="dxa"/>
                  <w:vAlign w:val="center"/>
                </w:tcPr>
                <w:p w14:paraId="4A502FD5">
                  <w:pPr>
                    <w:jc w:val="center"/>
                    <w:rPr>
                      <w:rFonts w:ascii="Times New Roman" w:hAnsi="Times New Roman" w:eastAsiaTheme="minorEastAsia"/>
                      <w:szCs w:val="21"/>
                    </w:rPr>
                  </w:pPr>
                  <w:r>
                    <w:rPr>
                      <w:rFonts w:ascii="Times New Roman" w:hAnsi="Times New Roman" w:eastAsiaTheme="minorEastAsia"/>
                      <w:szCs w:val="21"/>
                    </w:rPr>
                    <w:t>99</w:t>
                  </w:r>
                </w:p>
              </w:tc>
              <w:tc>
                <w:tcPr>
                  <w:tcW w:w="2209" w:type="dxa"/>
                  <w:vAlign w:val="center"/>
                </w:tcPr>
                <w:p w14:paraId="0147D706">
                  <w:pPr>
                    <w:jc w:val="center"/>
                    <w:rPr>
                      <w:rFonts w:ascii="Times New Roman" w:hAnsi="Times New Roman" w:eastAsiaTheme="minorEastAsia"/>
                      <w:szCs w:val="21"/>
                    </w:rPr>
                  </w:pPr>
                  <w:r>
                    <w:rPr>
                      <w:rFonts w:ascii="Times New Roman" w:hAnsi="Times New Roman" w:eastAsiaTheme="minorEastAsia"/>
                      <w:szCs w:val="21"/>
                    </w:rPr>
                    <w:t>5.50</w:t>
                  </w:r>
                </w:p>
              </w:tc>
              <w:tc>
                <w:tcPr>
                  <w:tcW w:w="2209" w:type="dxa"/>
                  <w:vAlign w:val="center"/>
                </w:tcPr>
                <w:p w14:paraId="3C10B016">
                  <w:pPr>
                    <w:jc w:val="center"/>
                    <w:rPr>
                      <w:rFonts w:ascii="Times New Roman" w:hAnsi="Times New Roman" w:eastAsiaTheme="minorEastAsia"/>
                      <w:szCs w:val="21"/>
                    </w:rPr>
                  </w:pPr>
                  <w:r>
                    <w:rPr>
                      <w:rFonts w:ascii="Times New Roman" w:hAnsi="Times New Roman" w:eastAsiaTheme="minorEastAsia"/>
                      <w:szCs w:val="21"/>
                    </w:rPr>
                    <w:t>99</w:t>
                  </w:r>
                </w:p>
              </w:tc>
            </w:tr>
          </w:tbl>
          <w:p w14:paraId="1EE33CEA">
            <w:pPr>
              <w:tabs>
                <w:tab w:val="left" w:pos="1995"/>
              </w:tabs>
              <w:spacing w:line="331" w:lineRule="auto"/>
              <w:ind w:firstLine="482" w:firstLineChars="200"/>
              <w:rPr>
                <w:rFonts w:ascii="Times New Roman" w:hAnsi="Times New Roman"/>
                <w:b/>
                <w:sz w:val="24"/>
              </w:rPr>
            </w:pPr>
            <w:r>
              <w:rPr>
                <w:rFonts w:ascii="Times New Roman" w:hAnsi="Times New Roman"/>
                <w:b/>
                <w:sz w:val="24"/>
              </w:rPr>
              <w:t>二、事故风险分析</w:t>
            </w:r>
          </w:p>
          <w:p w14:paraId="0EA4B2BB">
            <w:pPr>
              <w:spacing w:line="331" w:lineRule="auto"/>
              <w:ind w:firstLine="540"/>
              <w:rPr>
                <w:rFonts w:ascii="Times New Roman" w:hAnsi="Times New Roman"/>
                <w:sz w:val="24"/>
              </w:rPr>
            </w:pPr>
            <w:r>
              <w:rPr>
                <w:rFonts w:ascii="Times New Roman" w:hAnsi="Times New Roman"/>
                <w:sz w:val="24"/>
              </w:rPr>
              <w:t>本项目中的X射线探伤机属于Ⅱ类射线装置，事故可能引起急性放射性损伤。长时间、大剂量照射甚至导致死亡。</w:t>
            </w:r>
          </w:p>
          <w:p w14:paraId="5F695B9D">
            <w:pPr>
              <w:pStyle w:val="2"/>
              <w:spacing w:after="0" w:line="331" w:lineRule="auto"/>
              <w:ind w:left="0" w:leftChars="0" w:firstLine="480"/>
              <w:rPr>
                <w:b/>
                <w:bCs/>
                <w:sz w:val="24"/>
              </w:rPr>
            </w:pPr>
            <w:r>
              <w:rPr>
                <w:sz w:val="24"/>
              </w:rPr>
              <w:t>根据污染源分析，本项目环境风险因子为X射线，危害因素为X射线超剂量照射，X</w:t>
            </w:r>
            <w:r>
              <w:rPr>
                <w:b/>
                <w:bCs/>
                <w:sz w:val="24"/>
              </w:rPr>
              <w:t>射线探伤机只有在开机状态下才会产生</w:t>
            </w:r>
            <w:r>
              <w:rPr>
                <w:sz w:val="24"/>
              </w:rPr>
              <w:t>X</w:t>
            </w:r>
            <w:r>
              <w:rPr>
                <w:b/>
                <w:bCs/>
                <w:sz w:val="24"/>
              </w:rPr>
              <w:t>射线，一旦切断电源，探伤机便不会再有射线产生。</w:t>
            </w:r>
          </w:p>
          <w:p w14:paraId="67EC9244">
            <w:pPr>
              <w:pStyle w:val="2"/>
              <w:spacing w:after="0" w:line="331" w:lineRule="auto"/>
              <w:ind w:left="0" w:leftChars="0" w:firstLine="480"/>
              <w:rPr>
                <w:sz w:val="24"/>
              </w:rPr>
            </w:pPr>
            <w:r>
              <w:rPr>
                <w:sz w:val="24"/>
              </w:rPr>
              <w:t>本项目可能发生的辐射事故情景如下：</w:t>
            </w:r>
          </w:p>
          <w:p w14:paraId="79B41AAF">
            <w:pPr>
              <w:pStyle w:val="2"/>
              <w:spacing w:after="0" w:line="331" w:lineRule="auto"/>
              <w:ind w:left="0" w:leftChars="0" w:firstLine="480"/>
              <w:rPr>
                <w:sz w:val="24"/>
              </w:rPr>
            </w:pPr>
            <w:r>
              <w:rPr>
                <w:rFonts w:hint="eastAsia" w:ascii="宋体" w:hAnsi="宋体" w:cs="宋体"/>
                <w:sz w:val="24"/>
              </w:rPr>
              <w:t>①</w:t>
            </w:r>
            <w:r>
              <w:rPr>
                <w:sz w:val="24"/>
              </w:rPr>
              <w:t>在进行现场清场工作时，未清场干净，造成公众滞留在辐射工作场所，进行开机作业时，造成公众被误照射。</w:t>
            </w:r>
          </w:p>
          <w:p w14:paraId="0D709F91">
            <w:pPr>
              <w:pStyle w:val="2"/>
              <w:spacing w:after="0" w:line="331" w:lineRule="auto"/>
              <w:ind w:left="0" w:leftChars="0" w:firstLine="480"/>
              <w:rPr>
                <w:sz w:val="24"/>
              </w:rPr>
            </w:pPr>
            <w:r>
              <w:rPr>
                <w:rFonts w:hint="eastAsia" w:ascii="宋体" w:hAnsi="宋体" w:cs="宋体"/>
                <w:sz w:val="24"/>
              </w:rPr>
              <w:t>②</w:t>
            </w:r>
            <w:r>
              <w:rPr>
                <w:sz w:val="24"/>
              </w:rPr>
              <w:t>在现场探伤作业时，铅屏风未架设稳定而出现偏移，辐射工作人员误入或滞留于控制区内，周围公众意外进入监督区内。</w:t>
            </w:r>
          </w:p>
          <w:p w14:paraId="34A6380C">
            <w:pPr>
              <w:pStyle w:val="2"/>
              <w:spacing w:after="0" w:line="331" w:lineRule="auto"/>
              <w:ind w:left="0" w:leftChars="0" w:firstLine="480"/>
              <w:rPr>
                <w:sz w:val="24"/>
              </w:rPr>
            </w:pPr>
            <w:r>
              <w:rPr>
                <w:rFonts w:hint="eastAsia" w:ascii="宋体" w:hAnsi="宋体" w:cs="宋体"/>
                <w:sz w:val="24"/>
              </w:rPr>
              <w:t>③</w:t>
            </w:r>
            <w:r>
              <w:rPr>
                <w:sz w:val="24"/>
              </w:rPr>
              <w:t>在现场探伤作业时，辐射工作人员在有铅屏蔽的情况下，辐射工作人员误入或滞留于控制区内，周围公众意外进入监督区内（有铅屏风）。</w:t>
            </w:r>
          </w:p>
          <w:p w14:paraId="4D7A6170">
            <w:pPr>
              <w:pStyle w:val="2"/>
              <w:spacing w:after="0" w:line="331" w:lineRule="auto"/>
              <w:ind w:left="0" w:leftChars="0" w:firstLine="480"/>
              <w:rPr>
                <w:sz w:val="24"/>
              </w:rPr>
            </w:pPr>
            <w:r>
              <w:rPr>
                <w:rFonts w:hint="eastAsia" w:ascii="宋体" w:hAnsi="宋体" w:cs="宋体"/>
                <w:sz w:val="24"/>
              </w:rPr>
              <w:t>④</w:t>
            </w:r>
            <w:r>
              <w:rPr>
                <w:sz w:val="24"/>
              </w:rPr>
              <w:t>探伤工作过程中，探伤机定时开机功能故障，工作人员还未撤离即曝光，对工作人员造成额外照射；</w:t>
            </w:r>
          </w:p>
          <w:p w14:paraId="3A52F6B8">
            <w:pPr>
              <w:pStyle w:val="2"/>
              <w:spacing w:after="0" w:line="331" w:lineRule="auto"/>
              <w:ind w:left="0" w:leftChars="0" w:firstLine="480"/>
              <w:rPr>
                <w:sz w:val="24"/>
              </w:rPr>
            </w:pPr>
            <w:r>
              <w:rPr>
                <w:rFonts w:hint="eastAsia" w:ascii="宋体" w:hAnsi="宋体" w:cs="宋体"/>
                <w:sz w:val="24"/>
              </w:rPr>
              <w:t>⑤</w:t>
            </w:r>
            <w:r>
              <w:rPr>
                <w:sz w:val="24"/>
              </w:rPr>
              <w:t>操作人员不遵守操作规程，违规操作，造成周围人员的不必要照射，严重者可能造成辐射损伤甚至危及生命；</w:t>
            </w:r>
          </w:p>
          <w:p w14:paraId="65379CF7">
            <w:pPr>
              <w:pStyle w:val="2"/>
              <w:spacing w:after="0" w:line="331" w:lineRule="auto"/>
              <w:ind w:left="0" w:leftChars="0" w:firstLine="480"/>
              <w:rPr>
                <w:sz w:val="24"/>
              </w:rPr>
            </w:pPr>
            <w:r>
              <w:rPr>
                <w:rFonts w:hint="eastAsia" w:ascii="宋体" w:hAnsi="宋体" w:cs="宋体"/>
                <w:sz w:val="24"/>
              </w:rPr>
              <w:t>⑥</w:t>
            </w:r>
            <w:r>
              <w:rPr>
                <w:sz w:val="24"/>
              </w:rPr>
              <w:t>X射线机被盗，使X射线机使用不当，造成周围人员的不必要照射，严重者可能造成辐射损伤甚至危及生命。</w:t>
            </w:r>
          </w:p>
          <w:p w14:paraId="644CE50A">
            <w:pPr>
              <w:pStyle w:val="2"/>
              <w:spacing w:after="0" w:line="331" w:lineRule="auto"/>
              <w:ind w:left="0" w:leftChars="0" w:firstLine="480"/>
              <w:rPr>
                <w:sz w:val="24"/>
              </w:rPr>
            </w:pPr>
            <w:r>
              <w:rPr>
                <w:rFonts w:hint="eastAsia" w:ascii="宋体" w:hAnsi="宋体" w:cs="宋体"/>
                <w:sz w:val="24"/>
              </w:rPr>
              <w:t>⑦</w:t>
            </w:r>
            <w:r>
              <w:rPr>
                <w:sz w:val="24"/>
              </w:rPr>
              <w:t>现场探伤时，现场控制区和监督区划分不合理，探伤过程中未对两区边界的辐射水平进行检测，对辐射工作人员和公众造成超剂量的照射</w:t>
            </w:r>
            <w:r>
              <w:rPr>
                <w:rFonts w:hint="eastAsia"/>
                <w:sz w:val="24"/>
              </w:rPr>
              <w:t>。</w:t>
            </w:r>
          </w:p>
          <w:p w14:paraId="67C0EAF1">
            <w:pPr>
              <w:pStyle w:val="2"/>
              <w:spacing w:after="0" w:line="331" w:lineRule="auto"/>
              <w:ind w:left="0" w:leftChars="0" w:firstLine="480"/>
              <w:rPr>
                <w:sz w:val="24"/>
              </w:rPr>
            </w:pPr>
            <w:r>
              <w:rPr>
                <w:sz w:val="24"/>
              </w:rPr>
              <w:t>根据上述事故情况分析，本次评价事故分析考虑最大可信事故，即X射线探伤机以最大工况运行时，无屏蔽防护遮挡且无防护，主射方向上造成职业人员及公众被误照射。</w:t>
            </w:r>
          </w:p>
          <w:p w14:paraId="6F01FD6F">
            <w:pPr>
              <w:pStyle w:val="2"/>
              <w:spacing w:after="0" w:line="331" w:lineRule="auto"/>
              <w:ind w:left="0" w:leftChars="0" w:firstLine="482"/>
              <w:rPr>
                <w:rFonts w:eastAsia="黑体"/>
                <w:sz w:val="24"/>
              </w:rPr>
            </w:pPr>
            <w:r>
              <w:rPr>
                <w:rFonts w:eastAsiaTheme="minorEastAsia"/>
                <w:b/>
                <w:sz w:val="24"/>
              </w:rPr>
              <w:t>三、辐射事故影响分析</w:t>
            </w:r>
          </w:p>
          <w:p w14:paraId="3BF6867C">
            <w:pPr>
              <w:pStyle w:val="2"/>
              <w:spacing w:after="0" w:line="331" w:lineRule="auto"/>
              <w:ind w:left="0" w:leftChars="0" w:firstLine="480"/>
              <w:rPr>
                <w:sz w:val="24"/>
              </w:rPr>
            </w:pPr>
            <w:r>
              <w:rPr>
                <w:sz w:val="24"/>
              </w:rPr>
              <w:t>假定在事故情况下，X射线直接照射到人员，人员受到的有效剂量与探伤机产生的初级射线束造成的空气吸收剂量有关，在空气中探伤机产生的初级射线束造成的空气吸收剂量可用下式计算：</w:t>
            </w:r>
          </w:p>
          <w:p w14:paraId="7B922580">
            <w:pPr>
              <w:pStyle w:val="2"/>
              <w:spacing w:after="0" w:line="331" w:lineRule="auto"/>
              <w:ind w:left="0" w:leftChars="0" w:firstLine="0" w:firstLineChars="0"/>
              <w:jc w:val="center"/>
              <w:rPr>
                <w:sz w:val="24"/>
              </w:rPr>
            </w:pPr>
            <w:r>
              <w:rPr>
                <w:i/>
                <w:sz w:val="24"/>
              </w:rPr>
              <w:t xml:space="preserve">D </w:t>
            </w:r>
            <w:r>
              <w:rPr>
                <w:i/>
                <w:sz w:val="24"/>
              </w:rPr>
              <w:sym w:font="Symbol" w:char="F03D"/>
            </w:r>
            <w:r>
              <w:rPr>
                <w:i/>
                <w:sz w:val="24"/>
              </w:rPr>
              <w:t>I</w:t>
            </w:r>
            <w:r>
              <w:rPr>
                <w:i/>
                <w:sz w:val="24"/>
              </w:rPr>
              <w:sym w:font="Symbol" w:char="F064"/>
            </w:r>
            <w:r>
              <w:rPr>
                <w:i/>
                <w:sz w:val="24"/>
                <w:vertAlign w:val="subscript"/>
              </w:rPr>
              <w:t>X</w:t>
            </w:r>
            <w:r>
              <w:rPr>
                <w:i/>
                <w:sz w:val="24"/>
              </w:rPr>
              <w:t>/ r</w:t>
            </w:r>
            <w:r>
              <w:rPr>
                <w:i/>
                <w:sz w:val="24"/>
                <w:vertAlign w:val="superscript"/>
              </w:rPr>
              <w:t>2</w:t>
            </w:r>
            <w:r>
              <w:rPr>
                <w:sz w:val="24"/>
              </w:rPr>
              <w:t>……  …………（式 6）</w:t>
            </w:r>
          </w:p>
          <w:p w14:paraId="30B59344">
            <w:pPr>
              <w:pStyle w:val="2"/>
              <w:spacing w:after="0" w:line="331" w:lineRule="auto"/>
              <w:ind w:left="0" w:leftChars="0" w:firstLine="480"/>
              <w:rPr>
                <w:sz w:val="24"/>
              </w:rPr>
            </w:pPr>
            <w:r>
              <w:rPr>
                <w:sz w:val="24"/>
              </w:rPr>
              <w:t>式中： D：空气吸收剂量率，mGy.min</w:t>
            </w:r>
            <w:r>
              <w:rPr>
                <w:sz w:val="24"/>
                <w:vertAlign w:val="superscript"/>
              </w:rPr>
              <w:t>-1</w:t>
            </w:r>
            <w:r>
              <w:rPr>
                <w:sz w:val="24"/>
              </w:rPr>
              <w:t>；</w:t>
            </w:r>
          </w:p>
          <w:p w14:paraId="40DF639B">
            <w:pPr>
              <w:pStyle w:val="2"/>
              <w:spacing w:after="0" w:line="331" w:lineRule="auto"/>
              <w:ind w:left="0" w:leftChars="0" w:firstLine="480"/>
              <w:rPr>
                <w:sz w:val="24"/>
              </w:rPr>
            </w:pPr>
            <w:r>
              <w:rPr>
                <w:sz w:val="24"/>
              </w:rPr>
              <w:t>I：管电流，mA；本项目取5mA；</w:t>
            </w:r>
          </w:p>
          <w:p w14:paraId="54FD0B39">
            <w:pPr>
              <w:pStyle w:val="2"/>
              <w:spacing w:after="0" w:line="331" w:lineRule="auto"/>
              <w:ind w:left="0" w:leftChars="0" w:firstLine="480"/>
              <w:rPr>
                <w:sz w:val="24"/>
              </w:rPr>
            </w:pPr>
            <w:r>
              <w:rPr>
                <w:sz w:val="24"/>
              </w:rPr>
              <w:sym w:font="Symbol" w:char="F064"/>
            </w:r>
            <w:r>
              <w:rPr>
                <w:sz w:val="24"/>
                <w:vertAlign w:val="subscript"/>
              </w:rPr>
              <w:t>X</w:t>
            </w:r>
            <w:r>
              <w:rPr>
                <w:sz w:val="24"/>
              </w:rPr>
              <w:t>：距辐射源点（靶点）1m处输出量；</w:t>
            </w:r>
          </w:p>
          <w:p w14:paraId="0AA4625A">
            <w:pPr>
              <w:pStyle w:val="2"/>
              <w:spacing w:after="0" w:line="331" w:lineRule="auto"/>
              <w:ind w:left="0" w:leftChars="0" w:firstLine="480"/>
              <w:rPr>
                <w:sz w:val="24"/>
              </w:rPr>
            </w:pPr>
            <w:r>
              <w:rPr>
                <w:sz w:val="24"/>
              </w:rPr>
              <w:t>r：参考点距X射线管靶点的距离，m。</w:t>
            </w:r>
          </w:p>
          <w:p w14:paraId="5F5DC599">
            <w:pPr>
              <w:pStyle w:val="2"/>
              <w:spacing w:after="0" w:line="331" w:lineRule="auto"/>
              <w:ind w:left="0" w:leftChars="0" w:firstLine="480"/>
              <w:rPr>
                <w:sz w:val="24"/>
              </w:rPr>
            </w:pPr>
            <w:r>
              <w:rPr>
                <w:sz w:val="24"/>
              </w:rPr>
              <w:t>人员受到的有效剂量可用下式计算：</w:t>
            </w:r>
          </w:p>
          <w:p w14:paraId="2B72738C">
            <w:pPr>
              <w:pStyle w:val="2"/>
              <w:spacing w:after="0" w:line="331" w:lineRule="auto"/>
              <w:ind w:left="0" w:leftChars="0" w:firstLine="0" w:firstLineChars="0"/>
              <w:jc w:val="center"/>
              <w:rPr>
                <w:sz w:val="24"/>
              </w:rPr>
            </w:pPr>
            <w:r>
              <w:rPr>
                <w:sz w:val="24"/>
              </w:rPr>
              <w:t xml:space="preserve">E </w:t>
            </w:r>
            <w:r>
              <w:rPr>
                <w:sz w:val="24"/>
              </w:rPr>
              <w:sym w:font="Symbol" w:char="F03D"/>
            </w:r>
            <w:r>
              <w:rPr>
                <w:sz w:val="24"/>
              </w:rPr>
              <w:t>D</w:t>
            </w:r>
            <w:r>
              <w:rPr>
                <w:sz w:val="24"/>
              </w:rPr>
              <w:sym w:font="Symbol" w:char="F0B7"/>
            </w:r>
            <w:r>
              <w:rPr>
                <w:sz w:val="24"/>
              </w:rPr>
              <w:sym w:font="Symbol" w:char="F0E5"/>
            </w:r>
            <w:r>
              <w:rPr>
                <w:sz w:val="24"/>
              </w:rPr>
              <w:t xml:space="preserve">WT </w:t>
            </w:r>
            <w:r>
              <w:rPr>
                <w:sz w:val="24"/>
              </w:rPr>
              <w:sym w:font="Symbol" w:char="F0B7"/>
            </w:r>
            <w:r>
              <w:rPr>
                <w:sz w:val="24"/>
              </w:rPr>
              <w:sym w:font="Symbol" w:char="F0E5"/>
            </w:r>
            <w:r>
              <w:rPr>
                <w:sz w:val="24"/>
              </w:rPr>
              <w:t>WR ………………（式 7）</w:t>
            </w:r>
          </w:p>
          <w:p w14:paraId="60C78A17">
            <w:pPr>
              <w:pStyle w:val="2"/>
              <w:spacing w:after="0" w:line="331" w:lineRule="auto"/>
              <w:ind w:left="0" w:leftChars="0" w:firstLine="480"/>
              <w:rPr>
                <w:sz w:val="24"/>
              </w:rPr>
            </w:pPr>
            <w:r>
              <w:rPr>
                <w:sz w:val="24"/>
              </w:rPr>
              <w:t>式中：</w:t>
            </w:r>
          </w:p>
          <w:p w14:paraId="62097217">
            <w:pPr>
              <w:pStyle w:val="2"/>
              <w:spacing w:after="0" w:line="331" w:lineRule="auto"/>
              <w:ind w:left="0" w:leftChars="0" w:firstLine="480"/>
              <w:rPr>
                <w:sz w:val="24"/>
              </w:rPr>
            </w:pPr>
            <w:r>
              <w:rPr>
                <w:sz w:val="24"/>
              </w:rPr>
              <w:t>E：人员受到的有效剂量率，mSv·min</w:t>
            </w:r>
            <w:r>
              <w:rPr>
                <w:sz w:val="24"/>
                <w:vertAlign w:val="superscript"/>
              </w:rPr>
              <w:t>-1</w:t>
            </w:r>
            <w:r>
              <w:rPr>
                <w:sz w:val="24"/>
              </w:rPr>
              <w:t>；</w:t>
            </w:r>
          </w:p>
          <w:p w14:paraId="1F6ABF1D">
            <w:pPr>
              <w:pStyle w:val="2"/>
              <w:spacing w:after="0" w:line="331" w:lineRule="auto"/>
              <w:ind w:left="0" w:leftChars="0" w:firstLine="480"/>
              <w:rPr>
                <w:sz w:val="24"/>
              </w:rPr>
            </w:pPr>
            <w:r>
              <w:rPr>
                <w:sz w:val="24"/>
              </w:rPr>
              <w:t>WT：组织权重因数，全身为1；</w:t>
            </w:r>
          </w:p>
          <w:p w14:paraId="5D327E72">
            <w:pPr>
              <w:pStyle w:val="2"/>
              <w:spacing w:after="0" w:line="331" w:lineRule="auto"/>
              <w:ind w:left="0" w:leftChars="0" w:firstLine="480"/>
              <w:rPr>
                <w:sz w:val="24"/>
              </w:rPr>
            </w:pPr>
            <w:r>
              <w:rPr>
                <w:sz w:val="24"/>
              </w:rPr>
              <w:t>WR：辐射权因数，X射线为1。</w:t>
            </w:r>
          </w:p>
          <w:p w14:paraId="7529BD1E">
            <w:pPr>
              <w:pStyle w:val="2"/>
              <w:spacing w:after="0" w:line="331" w:lineRule="auto"/>
              <w:ind w:left="0" w:leftChars="0" w:firstLine="480"/>
              <w:rPr>
                <w:sz w:val="24"/>
              </w:rPr>
            </w:pPr>
            <w:r>
              <w:rPr>
                <w:sz w:val="24"/>
              </w:rPr>
              <w:t>野外（室外）探伤时，当发生辐射事故时候，相关人员可以立即通过切断探伤机电源，根据探伤要求，单次探伤最长开机曝光时间为5min，曝光结束后，系统将自动切断高压，本次按最不利情况开机曝光5min来计算，辐射事故受照射剂量计算结果见表11-10。</w:t>
            </w:r>
          </w:p>
          <w:p w14:paraId="5D4922B4">
            <w:pPr>
              <w:pStyle w:val="2"/>
              <w:spacing w:after="0" w:line="331" w:lineRule="auto"/>
              <w:ind w:left="0" w:leftChars="0" w:firstLine="0" w:firstLineChars="0"/>
              <w:jc w:val="center"/>
              <w:rPr>
                <w:b/>
                <w:bCs/>
                <w:sz w:val="24"/>
              </w:rPr>
            </w:pPr>
            <w:r>
              <w:rPr>
                <w:b/>
                <w:bCs/>
                <w:sz w:val="24"/>
              </w:rPr>
              <w:t>表</w:t>
            </w:r>
            <w:r>
              <w:rPr>
                <w:sz w:val="24"/>
              </w:rPr>
              <w:t xml:space="preserve">11-10 </w:t>
            </w:r>
            <w:r>
              <w:rPr>
                <w:b/>
                <w:bCs/>
                <w:sz w:val="24"/>
              </w:rPr>
              <w:t>事故情况下受到的剂量估算结果（无铅屏风）</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301"/>
              <w:gridCol w:w="1134"/>
              <w:gridCol w:w="992"/>
              <w:gridCol w:w="993"/>
              <w:gridCol w:w="992"/>
              <w:gridCol w:w="992"/>
              <w:gridCol w:w="873"/>
            </w:tblGrid>
            <w:tr w14:paraId="5E8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558" w:type="dxa"/>
                  <w:vMerge w:val="restart"/>
                  <w:vAlign w:val="center"/>
                </w:tcPr>
                <w:p w14:paraId="59C54881">
                  <w:pPr>
                    <w:pStyle w:val="2"/>
                    <w:spacing w:after="0" w:line="331" w:lineRule="auto"/>
                    <w:ind w:left="0" w:leftChars="0" w:firstLine="0" w:firstLineChars="0"/>
                    <w:jc w:val="center"/>
                    <w:rPr>
                      <w:szCs w:val="21"/>
                    </w:rPr>
                  </w:pPr>
                  <w:r>
                    <w:rPr>
                      <w:szCs w:val="21"/>
                    </w:rPr>
                    <w:t>探伤机型号</w:t>
                  </w:r>
                </w:p>
              </w:tc>
              <w:tc>
                <w:tcPr>
                  <w:tcW w:w="1301" w:type="dxa"/>
                  <w:vMerge w:val="restart"/>
                  <w:vAlign w:val="center"/>
                </w:tcPr>
                <w:p w14:paraId="007B5309">
                  <w:pPr>
                    <w:pStyle w:val="2"/>
                    <w:spacing w:after="0" w:line="331" w:lineRule="auto"/>
                    <w:ind w:left="0" w:leftChars="0" w:firstLine="0" w:firstLineChars="0"/>
                    <w:jc w:val="center"/>
                    <w:rPr>
                      <w:szCs w:val="21"/>
                    </w:rPr>
                  </w:pPr>
                  <w:r>
                    <w:rPr>
                      <w:szCs w:val="21"/>
                    </w:rPr>
                    <w:t>与X射线探伤机的距离（m）</w:t>
                  </w:r>
                </w:p>
              </w:tc>
              <w:tc>
                <w:tcPr>
                  <w:tcW w:w="5976" w:type="dxa"/>
                  <w:gridSpan w:val="6"/>
                  <w:vAlign w:val="center"/>
                </w:tcPr>
                <w:p w14:paraId="162D2F67">
                  <w:pPr>
                    <w:pStyle w:val="2"/>
                    <w:spacing w:after="0" w:line="331" w:lineRule="auto"/>
                    <w:ind w:left="0" w:leftChars="0" w:firstLine="0" w:firstLineChars="0"/>
                    <w:jc w:val="center"/>
                    <w:rPr>
                      <w:szCs w:val="21"/>
                    </w:rPr>
                  </w:pPr>
                  <w:r>
                    <w:rPr>
                      <w:szCs w:val="21"/>
                    </w:rPr>
                    <w:t>受照剂量（mSv）</w:t>
                  </w:r>
                </w:p>
              </w:tc>
            </w:tr>
            <w:tr w14:paraId="7DDD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79133EAE">
                  <w:pPr>
                    <w:pStyle w:val="2"/>
                    <w:spacing w:after="0" w:line="331" w:lineRule="auto"/>
                    <w:ind w:left="0" w:leftChars="0" w:firstLine="0" w:firstLineChars="0"/>
                    <w:jc w:val="center"/>
                    <w:rPr>
                      <w:szCs w:val="21"/>
                    </w:rPr>
                  </w:pPr>
                </w:p>
              </w:tc>
              <w:tc>
                <w:tcPr>
                  <w:tcW w:w="1301" w:type="dxa"/>
                  <w:vMerge w:val="continue"/>
                  <w:vAlign w:val="center"/>
                </w:tcPr>
                <w:p w14:paraId="725886C1">
                  <w:pPr>
                    <w:pStyle w:val="2"/>
                    <w:spacing w:after="0" w:line="331" w:lineRule="auto"/>
                    <w:ind w:left="0" w:leftChars="0" w:firstLine="0" w:firstLineChars="0"/>
                    <w:jc w:val="center"/>
                    <w:rPr>
                      <w:szCs w:val="21"/>
                    </w:rPr>
                  </w:pPr>
                </w:p>
              </w:tc>
              <w:tc>
                <w:tcPr>
                  <w:tcW w:w="1134" w:type="dxa"/>
                  <w:vAlign w:val="center"/>
                </w:tcPr>
                <w:p w14:paraId="49368988">
                  <w:pPr>
                    <w:pStyle w:val="2"/>
                    <w:spacing w:after="0" w:line="331" w:lineRule="auto"/>
                    <w:ind w:left="0" w:leftChars="0" w:firstLine="0" w:firstLineChars="0"/>
                    <w:jc w:val="center"/>
                    <w:rPr>
                      <w:szCs w:val="21"/>
                    </w:rPr>
                  </w:pPr>
                  <w:r>
                    <w:rPr>
                      <w:szCs w:val="21"/>
                    </w:rPr>
                    <w:t>0.5min</w:t>
                  </w:r>
                </w:p>
              </w:tc>
              <w:tc>
                <w:tcPr>
                  <w:tcW w:w="992" w:type="dxa"/>
                  <w:vAlign w:val="center"/>
                </w:tcPr>
                <w:p w14:paraId="4C470424">
                  <w:pPr>
                    <w:pStyle w:val="2"/>
                    <w:spacing w:after="0" w:line="331" w:lineRule="auto"/>
                    <w:ind w:left="0" w:leftChars="0" w:firstLine="0" w:firstLineChars="0"/>
                    <w:jc w:val="center"/>
                    <w:rPr>
                      <w:szCs w:val="21"/>
                    </w:rPr>
                  </w:pPr>
                  <w:r>
                    <w:rPr>
                      <w:szCs w:val="21"/>
                    </w:rPr>
                    <w:t>1min</w:t>
                  </w:r>
                </w:p>
              </w:tc>
              <w:tc>
                <w:tcPr>
                  <w:tcW w:w="993" w:type="dxa"/>
                  <w:vAlign w:val="center"/>
                </w:tcPr>
                <w:p w14:paraId="5B76BBD5">
                  <w:pPr>
                    <w:pStyle w:val="2"/>
                    <w:spacing w:after="0" w:line="331" w:lineRule="auto"/>
                    <w:ind w:left="0" w:leftChars="0" w:firstLine="0" w:firstLineChars="0"/>
                    <w:jc w:val="center"/>
                    <w:rPr>
                      <w:szCs w:val="21"/>
                    </w:rPr>
                  </w:pPr>
                  <w:r>
                    <w:rPr>
                      <w:szCs w:val="21"/>
                    </w:rPr>
                    <w:t>2min</w:t>
                  </w:r>
                </w:p>
              </w:tc>
              <w:tc>
                <w:tcPr>
                  <w:tcW w:w="992" w:type="dxa"/>
                  <w:vAlign w:val="center"/>
                </w:tcPr>
                <w:p w14:paraId="7510C3A6">
                  <w:pPr>
                    <w:pStyle w:val="2"/>
                    <w:spacing w:after="0" w:line="331" w:lineRule="auto"/>
                    <w:ind w:left="0" w:leftChars="0" w:firstLine="0" w:firstLineChars="0"/>
                    <w:jc w:val="center"/>
                    <w:rPr>
                      <w:szCs w:val="21"/>
                    </w:rPr>
                  </w:pPr>
                  <w:r>
                    <w:rPr>
                      <w:szCs w:val="21"/>
                    </w:rPr>
                    <w:t>3min</w:t>
                  </w:r>
                </w:p>
              </w:tc>
              <w:tc>
                <w:tcPr>
                  <w:tcW w:w="992" w:type="dxa"/>
                  <w:vAlign w:val="center"/>
                </w:tcPr>
                <w:p w14:paraId="1F2EBF60">
                  <w:pPr>
                    <w:pStyle w:val="2"/>
                    <w:spacing w:after="0" w:line="331" w:lineRule="auto"/>
                    <w:ind w:left="0" w:leftChars="0" w:firstLine="0" w:firstLineChars="0"/>
                    <w:jc w:val="center"/>
                    <w:rPr>
                      <w:szCs w:val="21"/>
                    </w:rPr>
                  </w:pPr>
                  <w:r>
                    <w:rPr>
                      <w:szCs w:val="21"/>
                    </w:rPr>
                    <w:t>4min</w:t>
                  </w:r>
                </w:p>
              </w:tc>
              <w:tc>
                <w:tcPr>
                  <w:tcW w:w="873" w:type="dxa"/>
                  <w:vAlign w:val="center"/>
                </w:tcPr>
                <w:p w14:paraId="5F709A51">
                  <w:pPr>
                    <w:pStyle w:val="2"/>
                    <w:spacing w:after="0" w:line="331" w:lineRule="auto"/>
                    <w:ind w:left="0" w:leftChars="0" w:firstLine="0" w:firstLineChars="0"/>
                    <w:jc w:val="center"/>
                    <w:rPr>
                      <w:szCs w:val="21"/>
                    </w:rPr>
                  </w:pPr>
                  <w:r>
                    <w:rPr>
                      <w:szCs w:val="21"/>
                    </w:rPr>
                    <w:t>5min</w:t>
                  </w:r>
                </w:p>
              </w:tc>
            </w:tr>
            <w:tr w14:paraId="5A56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23E7466F">
                  <w:pPr>
                    <w:pStyle w:val="2"/>
                    <w:spacing w:after="0" w:line="331" w:lineRule="auto"/>
                    <w:ind w:left="0" w:leftChars="0" w:firstLine="0" w:firstLineChars="0"/>
                    <w:jc w:val="center"/>
                    <w:rPr>
                      <w:szCs w:val="21"/>
                    </w:rPr>
                  </w:pPr>
                  <w:r>
                    <w:rPr>
                      <w:szCs w:val="21"/>
                    </w:rPr>
                    <w:t>XT1605D型定向X射线探伤机/XXH2005C周向X射线探伤机</w:t>
                  </w:r>
                </w:p>
              </w:tc>
              <w:tc>
                <w:tcPr>
                  <w:tcW w:w="1301" w:type="dxa"/>
                  <w:vAlign w:val="center"/>
                </w:tcPr>
                <w:p w14:paraId="7A85C3A6">
                  <w:pPr>
                    <w:pStyle w:val="2"/>
                    <w:spacing w:after="0" w:line="331" w:lineRule="auto"/>
                    <w:ind w:left="0" w:leftChars="0" w:firstLine="0" w:firstLineChars="0"/>
                    <w:jc w:val="center"/>
                    <w:rPr>
                      <w:szCs w:val="21"/>
                    </w:rPr>
                  </w:pPr>
                  <w:r>
                    <w:rPr>
                      <w:szCs w:val="21"/>
                    </w:rPr>
                    <w:t>1</w:t>
                  </w:r>
                </w:p>
              </w:tc>
              <w:tc>
                <w:tcPr>
                  <w:tcW w:w="1134" w:type="dxa"/>
                  <w:vAlign w:val="center"/>
                </w:tcPr>
                <w:p w14:paraId="78AFA166">
                  <w:pPr>
                    <w:widowControl/>
                    <w:jc w:val="center"/>
                    <w:rPr>
                      <w:rFonts w:ascii="Times New Roman" w:hAnsi="Times New Roman"/>
                      <w:kern w:val="0"/>
                      <w:sz w:val="22"/>
                      <w:szCs w:val="22"/>
                    </w:rPr>
                  </w:pPr>
                  <w:r>
                    <w:rPr>
                      <w:rFonts w:ascii="Times New Roman" w:hAnsi="Times New Roman"/>
                      <w:sz w:val="22"/>
                      <w:szCs w:val="22"/>
                    </w:rPr>
                    <w:t xml:space="preserve">71.75 </w:t>
                  </w:r>
                </w:p>
              </w:tc>
              <w:tc>
                <w:tcPr>
                  <w:tcW w:w="992" w:type="dxa"/>
                  <w:vAlign w:val="center"/>
                </w:tcPr>
                <w:p w14:paraId="04CFCE0E">
                  <w:pPr>
                    <w:jc w:val="center"/>
                    <w:rPr>
                      <w:rFonts w:ascii="Times New Roman" w:hAnsi="Times New Roman"/>
                      <w:sz w:val="22"/>
                      <w:szCs w:val="22"/>
                    </w:rPr>
                  </w:pPr>
                  <w:r>
                    <w:rPr>
                      <w:rFonts w:ascii="Times New Roman" w:hAnsi="Times New Roman"/>
                      <w:sz w:val="22"/>
                      <w:szCs w:val="22"/>
                    </w:rPr>
                    <w:t xml:space="preserve">143.50 </w:t>
                  </w:r>
                </w:p>
              </w:tc>
              <w:tc>
                <w:tcPr>
                  <w:tcW w:w="993" w:type="dxa"/>
                  <w:vAlign w:val="center"/>
                </w:tcPr>
                <w:p w14:paraId="33209646">
                  <w:pPr>
                    <w:jc w:val="center"/>
                    <w:rPr>
                      <w:rFonts w:ascii="Times New Roman" w:hAnsi="Times New Roman"/>
                      <w:sz w:val="22"/>
                      <w:szCs w:val="22"/>
                    </w:rPr>
                  </w:pPr>
                  <w:r>
                    <w:rPr>
                      <w:rFonts w:ascii="Times New Roman" w:hAnsi="Times New Roman"/>
                      <w:sz w:val="22"/>
                      <w:szCs w:val="22"/>
                    </w:rPr>
                    <w:t xml:space="preserve">287.00 </w:t>
                  </w:r>
                </w:p>
              </w:tc>
              <w:tc>
                <w:tcPr>
                  <w:tcW w:w="992" w:type="dxa"/>
                  <w:vAlign w:val="center"/>
                </w:tcPr>
                <w:p w14:paraId="0431D533">
                  <w:pPr>
                    <w:jc w:val="center"/>
                    <w:rPr>
                      <w:rFonts w:ascii="Times New Roman" w:hAnsi="Times New Roman"/>
                      <w:sz w:val="22"/>
                      <w:szCs w:val="22"/>
                    </w:rPr>
                  </w:pPr>
                  <w:r>
                    <w:rPr>
                      <w:rFonts w:ascii="Times New Roman" w:hAnsi="Times New Roman"/>
                      <w:sz w:val="22"/>
                      <w:szCs w:val="22"/>
                    </w:rPr>
                    <w:t xml:space="preserve">430.50 </w:t>
                  </w:r>
                </w:p>
              </w:tc>
              <w:tc>
                <w:tcPr>
                  <w:tcW w:w="992" w:type="dxa"/>
                  <w:vAlign w:val="center"/>
                </w:tcPr>
                <w:p w14:paraId="06CCA9DF">
                  <w:pPr>
                    <w:jc w:val="center"/>
                    <w:rPr>
                      <w:rFonts w:ascii="Times New Roman" w:hAnsi="Times New Roman"/>
                      <w:sz w:val="22"/>
                      <w:szCs w:val="22"/>
                    </w:rPr>
                  </w:pPr>
                  <w:r>
                    <w:rPr>
                      <w:rFonts w:ascii="Times New Roman" w:hAnsi="Times New Roman"/>
                      <w:sz w:val="22"/>
                      <w:szCs w:val="22"/>
                    </w:rPr>
                    <w:t xml:space="preserve">574.00 </w:t>
                  </w:r>
                </w:p>
              </w:tc>
              <w:tc>
                <w:tcPr>
                  <w:tcW w:w="873" w:type="dxa"/>
                  <w:vAlign w:val="center"/>
                </w:tcPr>
                <w:p w14:paraId="749D8728">
                  <w:pPr>
                    <w:jc w:val="center"/>
                    <w:rPr>
                      <w:rFonts w:ascii="Times New Roman" w:hAnsi="Times New Roman"/>
                      <w:sz w:val="22"/>
                      <w:szCs w:val="22"/>
                    </w:rPr>
                  </w:pPr>
                  <w:r>
                    <w:rPr>
                      <w:rFonts w:ascii="Times New Roman" w:hAnsi="Times New Roman"/>
                      <w:sz w:val="22"/>
                      <w:szCs w:val="22"/>
                    </w:rPr>
                    <w:t xml:space="preserve">717.50 </w:t>
                  </w:r>
                </w:p>
              </w:tc>
            </w:tr>
            <w:tr w14:paraId="3EC8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65157BC">
                  <w:pPr>
                    <w:pStyle w:val="2"/>
                    <w:spacing w:after="0" w:line="331" w:lineRule="auto"/>
                    <w:ind w:left="0" w:leftChars="0" w:firstLine="0" w:firstLineChars="0"/>
                    <w:jc w:val="center"/>
                    <w:rPr>
                      <w:szCs w:val="21"/>
                    </w:rPr>
                  </w:pPr>
                </w:p>
              </w:tc>
              <w:tc>
                <w:tcPr>
                  <w:tcW w:w="1301" w:type="dxa"/>
                  <w:vAlign w:val="center"/>
                </w:tcPr>
                <w:p w14:paraId="099FAEDA">
                  <w:pPr>
                    <w:pStyle w:val="2"/>
                    <w:spacing w:after="0" w:line="331" w:lineRule="auto"/>
                    <w:ind w:left="0" w:leftChars="0" w:firstLine="0" w:firstLineChars="0"/>
                    <w:jc w:val="center"/>
                    <w:rPr>
                      <w:szCs w:val="21"/>
                    </w:rPr>
                  </w:pPr>
                  <w:r>
                    <w:rPr>
                      <w:szCs w:val="21"/>
                    </w:rPr>
                    <w:t>5</w:t>
                  </w:r>
                </w:p>
              </w:tc>
              <w:tc>
                <w:tcPr>
                  <w:tcW w:w="1134" w:type="dxa"/>
                  <w:vAlign w:val="center"/>
                </w:tcPr>
                <w:p w14:paraId="4E0395B8">
                  <w:pPr>
                    <w:jc w:val="center"/>
                    <w:rPr>
                      <w:rFonts w:ascii="Times New Roman" w:hAnsi="Times New Roman"/>
                      <w:sz w:val="22"/>
                      <w:szCs w:val="22"/>
                    </w:rPr>
                  </w:pPr>
                  <w:r>
                    <w:rPr>
                      <w:rFonts w:ascii="Times New Roman" w:hAnsi="Times New Roman"/>
                      <w:sz w:val="22"/>
                      <w:szCs w:val="22"/>
                    </w:rPr>
                    <w:t xml:space="preserve">2.87 </w:t>
                  </w:r>
                </w:p>
              </w:tc>
              <w:tc>
                <w:tcPr>
                  <w:tcW w:w="992" w:type="dxa"/>
                  <w:vAlign w:val="center"/>
                </w:tcPr>
                <w:p w14:paraId="7A939A58">
                  <w:pPr>
                    <w:jc w:val="center"/>
                    <w:rPr>
                      <w:rFonts w:ascii="Times New Roman" w:hAnsi="Times New Roman"/>
                      <w:sz w:val="22"/>
                      <w:szCs w:val="22"/>
                    </w:rPr>
                  </w:pPr>
                  <w:r>
                    <w:rPr>
                      <w:rFonts w:ascii="Times New Roman" w:hAnsi="Times New Roman"/>
                      <w:sz w:val="22"/>
                      <w:szCs w:val="22"/>
                    </w:rPr>
                    <w:t xml:space="preserve">5.74 </w:t>
                  </w:r>
                </w:p>
              </w:tc>
              <w:tc>
                <w:tcPr>
                  <w:tcW w:w="993" w:type="dxa"/>
                  <w:vAlign w:val="center"/>
                </w:tcPr>
                <w:p w14:paraId="0B950E65">
                  <w:pPr>
                    <w:jc w:val="center"/>
                    <w:rPr>
                      <w:rFonts w:ascii="Times New Roman" w:hAnsi="Times New Roman"/>
                      <w:sz w:val="22"/>
                      <w:szCs w:val="22"/>
                    </w:rPr>
                  </w:pPr>
                  <w:r>
                    <w:rPr>
                      <w:rFonts w:ascii="Times New Roman" w:hAnsi="Times New Roman"/>
                      <w:sz w:val="22"/>
                      <w:szCs w:val="22"/>
                    </w:rPr>
                    <w:t xml:space="preserve">11.48 </w:t>
                  </w:r>
                </w:p>
              </w:tc>
              <w:tc>
                <w:tcPr>
                  <w:tcW w:w="992" w:type="dxa"/>
                  <w:vAlign w:val="center"/>
                </w:tcPr>
                <w:p w14:paraId="7055E5DF">
                  <w:pPr>
                    <w:jc w:val="center"/>
                    <w:rPr>
                      <w:rFonts w:ascii="Times New Roman" w:hAnsi="Times New Roman"/>
                      <w:sz w:val="22"/>
                      <w:szCs w:val="22"/>
                    </w:rPr>
                  </w:pPr>
                  <w:r>
                    <w:rPr>
                      <w:rFonts w:ascii="Times New Roman" w:hAnsi="Times New Roman"/>
                      <w:sz w:val="22"/>
                      <w:szCs w:val="22"/>
                    </w:rPr>
                    <w:t xml:space="preserve">17.22 </w:t>
                  </w:r>
                </w:p>
              </w:tc>
              <w:tc>
                <w:tcPr>
                  <w:tcW w:w="992" w:type="dxa"/>
                  <w:vAlign w:val="center"/>
                </w:tcPr>
                <w:p w14:paraId="2A608A28">
                  <w:pPr>
                    <w:jc w:val="center"/>
                    <w:rPr>
                      <w:rFonts w:ascii="Times New Roman" w:hAnsi="Times New Roman"/>
                      <w:sz w:val="22"/>
                      <w:szCs w:val="22"/>
                    </w:rPr>
                  </w:pPr>
                  <w:r>
                    <w:rPr>
                      <w:rFonts w:ascii="Times New Roman" w:hAnsi="Times New Roman"/>
                      <w:sz w:val="22"/>
                      <w:szCs w:val="22"/>
                    </w:rPr>
                    <w:t xml:space="preserve">22.96 </w:t>
                  </w:r>
                </w:p>
              </w:tc>
              <w:tc>
                <w:tcPr>
                  <w:tcW w:w="873" w:type="dxa"/>
                  <w:vAlign w:val="center"/>
                </w:tcPr>
                <w:p w14:paraId="54A0FAF8">
                  <w:pPr>
                    <w:jc w:val="center"/>
                    <w:rPr>
                      <w:rFonts w:ascii="Times New Roman" w:hAnsi="Times New Roman"/>
                      <w:sz w:val="22"/>
                      <w:szCs w:val="22"/>
                    </w:rPr>
                  </w:pPr>
                  <w:r>
                    <w:rPr>
                      <w:rFonts w:ascii="Times New Roman" w:hAnsi="Times New Roman"/>
                      <w:sz w:val="22"/>
                      <w:szCs w:val="22"/>
                    </w:rPr>
                    <w:t xml:space="preserve">28.70 </w:t>
                  </w:r>
                </w:p>
              </w:tc>
            </w:tr>
            <w:tr w14:paraId="2EA1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3B259397">
                  <w:pPr>
                    <w:pStyle w:val="2"/>
                    <w:spacing w:after="0" w:line="331" w:lineRule="auto"/>
                    <w:ind w:left="0" w:leftChars="0" w:firstLine="0" w:firstLineChars="0"/>
                    <w:jc w:val="center"/>
                    <w:rPr>
                      <w:szCs w:val="21"/>
                    </w:rPr>
                  </w:pPr>
                </w:p>
              </w:tc>
              <w:tc>
                <w:tcPr>
                  <w:tcW w:w="1301" w:type="dxa"/>
                  <w:vAlign w:val="center"/>
                </w:tcPr>
                <w:p w14:paraId="2B9BD914">
                  <w:pPr>
                    <w:pStyle w:val="2"/>
                    <w:spacing w:after="0" w:line="331" w:lineRule="auto"/>
                    <w:ind w:left="0" w:leftChars="0" w:firstLine="0" w:firstLineChars="0"/>
                    <w:jc w:val="center"/>
                    <w:rPr>
                      <w:szCs w:val="21"/>
                    </w:rPr>
                  </w:pPr>
                  <w:r>
                    <w:rPr>
                      <w:szCs w:val="21"/>
                    </w:rPr>
                    <w:t>10</w:t>
                  </w:r>
                </w:p>
              </w:tc>
              <w:tc>
                <w:tcPr>
                  <w:tcW w:w="1134" w:type="dxa"/>
                  <w:vAlign w:val="center"/>
                </w:tcPr>
                <w:p w14:paraId="14E3AA36">
                  <w:pPr>
                    <w:jc w:val="center"/>
                    <w:rPr>
                      <w:rFonts w:ascii="Times New Roman" w:hAnsi="Times New Roman"/>
                      <w:sz w:val="22"/>
                      <w:szCs w:val="22"/>
                    </w:rPr>
                  </w:pPr>
                  <w:r>
                    <w:rPr>
                      <w:rFonts w:ascii="Times New Roman" w:hAnsi="Times New Roman"/>
                      <w:sz w:val="22"/>
                      <w:szCs w:val="22"/>
                    </w:rPr>
                    <w:t xml:space="preserve">0.72 </w:t>
                  </w:r>
                </w:p>
              </w:tc>
              <w:tc>
                <w:tcPr>
                  <w:tcW w:w="992" w:type="dxa"/>
                  <w:vAlign w:val="center"/>
                </w:tcPr>
                <w:p w14:paraId="7D059A34">
                  <w:pPr>
                    <w:jc w:val="center"/>
                    <w:rPr>
                      <w:rFonts w:ascii="Times New Roman" w:hAnsi="Times New Roman"/>
                      <w:sz w:val="22"/>
                      <w:szCs w:val="22"/>
                    </w:rPr>
                  </w:pPr>
                  <w:r>
                    <w:rPr>
                      <w:rFonts w:ascii="Times New Roman" w:hAnsi="Times New Roman"/>
                      <w:sz w:val="22"/>
                      <w:szCs w:val="22"/>
                    </w:rPr>
                    <w:t xml:space="preserve">1.44 </w:t>
                  </w:r>
                </w:p>
              </w:tc>
              <w:tc>
                <w:tcPr>
                  <w:tcW w:w="993" w:type="dxa"/>
                  <w:vAlign w:val="center"/>
                </w:tcPr>
                <w:p w14:paraId="5AF9ACC2">
                  <w:pPr>
                    <w:jc w:val="center"/>
                    <w:rPr>
                      <w:rFonts w:ascii="Times New Roman" w:hAnsi="Times New Roman"/>
                      <w:sz w:val="22"/>
                      <w:szCs w:val="22"/>
                    </w:rPr>
                  </w:pPr>
                  <w:r>
                    <w:rPr>
                      <w:rFonts w:ascii="Times New Roman" w:hAnsi="Times New Roman"/>
                      <w:sz w:val="22"/>
                      <w:szCs w:val="22"/>
                    </w:rPr>
                    <w:t xml:space="preserve">2.87 </w:t>
                  </w:r>
                </w:p>
              </w:tc>
              <w:tc>
                <w:tcPr>
                  <w:tcW w:w="992" w:type="dxa"/>
                  <w:vAlign w:val="center"/>
                </w:tcPr>
                <w:p w14:paraId="37656FA9">
                  <w:pPr>
                    <w:jc w:val="center"/>
                    <w:rPr>
                      <w:rFonts w:ascii="Times New Roman" w:hAnsi="Times New Roman"/>
                      <w:sz w:val="22"/>
                      <w:szCs w:val="22"/>
                    </w:rPr>
                  </w:pPr>
                  <w:r>
                    <w:rPr>
                      <w:rFonts w:ascii="Times New Roman" w:hAnsi="Times New Roman"/>
                      <w:sz w:val="22"/>
                      <w:szCs w:val="22"/>
                    </w:rPr>
                    <w:t xml:space="preserve">4.31 </w:t>
                  </w:r>
                </w:p>
              </w:tc>
              <w:tc>
                <w:tcPr>
                  <w:tcW w:w="992" w:type="dxa"/>
                  <w:vAlign w:val="center"/>
                </w:tcPr>
                <w:p w14:paraId="4979706C">
                  <w:pPr>
                    <w:jc w:val="center"/>
                    <w:rPr>
                      <w:rFonts w:ascii="Times New Roman" w:hAnsi="Times New Roman"/>
                      <w:sz w:val="22"/>
                      <w:szCs w:val="22"/>
                    </w:rPr>
                  </w:pPr>
                  <w:r>
                    <w:rPr>
                      <w:rFonts w:ascii="Times New Roman" w:hAnsi="Times New Roman"/>
                      <w:sz w:val="22"/>
                      <w:szCs w:val="22"/>
                    </w:rPr>
                    <w:t xml:space="preserve">5.74 </w:t>
                  </w:r>
                </w:p>
              </w:tc>
              <w:tc>
                <w:tcPr>
                  <w:tcW w:w="873" w:type="dxa"/>
                  <w:vAlign w:val="center"/>
                </w:tcPr>
                <w:p w14:paraId="52DACAC1">
                  <w:pPr>
                    <w:jc w:val="center"/>
                    <w:rPr>
                      <w:rFonts w:ascii="Times New Roman" w:hAnsi="Times New Roman"/>
                      <w:sz w:val="22"/>
                      <w:szCs w:val="22"/>
                    </w:rPr>
                  </w:pPr>
                  <w:r>
                    <w:rPr>
                      <w:rFonts w:ascii="Times New Roman" w:hAnsi="Times New Roman"/>
                      <w:sz w:val="22"/>
                      <w:szCs w:val="22"/>
                    </w:rPr>
                    <w:t xml:space="preserve">7.18 </w:t>
                  </w:r>
                </w:p>
              </w:tc>
            </w:tr>
            <w:tr w14:paraId="11A7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7B4981FC">
                  <w:pPr>
                    <w:pStyle w:val="2"/>
                    <w:spacing w:after="0" w:line="331" w:lineRule="auto"/>
                    <w:ind w:left="0" w:leftChars="0" w:firstLine="0" w:firstLineChars="0"/>
                    <w:jc w:val="center"/>
                    <w:rPr>
                      <w:szCs w:val="21"/>
                    </w:rPr>
                  </w:pPr>
                </w:p>
              </w:tc>
              <w:tc>
                <w:tcPr>
                  <w:tcW w:w="1301" w:type="dxa"/>
                  <w:vAlign w:val="center"/>
                </w:tcPr>
                <w:p w14:paraId="4E0CA0D3">
                  <w:pPr>
                    <w:pStyle w:val="2"/>
                    <w:spacing w:after="0" w:line="331" w:lineRule="auto"/>
                    <w:ind w:left="0" w:leftChars="0" w:firstLine="0" w:firstLineChars="0"/>
                    <w:jc w:val="center"/>
                    <w:rPr>
                      <w:szCs w:val="21"/>
                    </w:rPr>
                  </w:pPr>
                  <w:r>
                    <w:rPr>
                      <w:szCs w:val="21"/>
                    </w:rPr>
                    <w:t>20</w:t>
                  </w:r>
                </w:p>
              </w:tc>
              <w:tc>
                <w:tcPr>
                  <w:tcW w:w="1134" w:type="dxa"/>
                  <w:vAlign w:val="center"/>
                </w:tcPr>
                <w:p w14:paraId="5582974B">
                  <w:pPr>
                    <w:jc w:val="center"/>
                    <w:rPr>
                      <w:rFonts w:ascii="Times New Roman" w:hAnsi="Times New Roman"/>
                      <w:sz w:val="22"/>
                      <w:szCs w:val="22"/>
                    </w:rPr>
                  </w:pPr>
                  <w:r>
                    <w:rPr>
                      <w:rFonts w:ascii="Times New Roman" w:hAnsi="Times New Roman"/>
                      <w:sz w:val="22"/>
                      <w:szCs w:val="22"/>
                    </w:rPr>
                    <w:t xml:space="preserve">0.18 </w:t>
                  </w:r>
                </w:p>
              </w:tc>
              <w:tc>
                <w:tcPr>
                  <w:tcW w:w="992" w:type="dxa"/>
                  <w:vAlign w:val="center"/>
                </w:tcPr>
                <w:p w14:paraId="0DF2ED85">
                  <w:pPr>
                    <w:jc w:val="center"/>
                    <w:rPr>
                      <w:rFonts w:ascii="Times New Roman" w:hAnsi="Times New Roman"/>
                      <w:sz w:val="22"/>
                      <w:szCs w:val="22"/>
                    </w:rPr>
                  </w:pPr>
                  <w:r>
                    <w:rPr>
                      <w:rFonts w:ascii="Times New Roman" w:hAnsi="Times New Roman"/>
                      <w:sz w:val="22"/>
                      <w:szCs w:val="22"/>
                    </w:rPr>
                    <w:t xml:space="preserve">0.36 </w:t>
                  </w:r>
                </w:p>
              </w:tc>
              <w:tc>
                <w:tcPr>
                  <w:tcW w:w="993" w:type="dxa"/>
                  <w:vAlign w:val="center"/>
                </w:tcPr>
                <w:p w14:paraId="3B8EAF8E">
                  <w:pPr>
                    <w:jc w:val="center"/>
                    <w:rPr>
                      <w:rFonts w:ascii="Times New Roman" w:hAnsi="Times New Roman"/>
                      <w:sz w:val="22"/>
                      <w:szCs w:val="22"/>
                    </w:rPr>
                  </w:pPr>
                  <w:r>
                    <w:rPr>
                      <w:rFonts w:ascii="Times New Roman" w:hAnsi="Times New Roman"/>
                      <w:sz w:val="22"/>
                      <w:szCs w:val="22"/>
                    </w:rPr>
                    <w:t xml:space="preserve">0.72 </w:t>
                  </w:r>
                </w:p>
              </w:tc>
              <w:tc>
                <w:tcPr>
                  <w:tcW w:w="992" w:type="dxa"/>
                  <w:vAlign w:val="center"/>
                </w:tcPr>
                <w:p w14:paraId="6BF1A2D1">
                  <w:pPr>
                    <w:jc w:val="center"/>
                    <w:rPr>
                      <w:rFonts w:ascii="Times New Roman" w:hAnsi="Times New Roman"/>
                      <w:sz w:val="22"/>
                      <w:szCs w:val="22"/>
                    </w:rPr>
                  </w:pPr>
                  <w:r>
                    <w:rPr>
                      <w:rFonts w:ascii="Times New Roman" w:hAnsi="Times New Roman"/>
                      <w:sz w:val="22"/>
                      <w:szCs w:val="22"/>
                    </w:rPr>
                    <w:t xml:space="preserve">1.08 </w:t>
                  </w:r>
                </w:p>
              </w:tc>
              <w:tc>
                <w:tcPr>
                  <w:tcW w:w="992" w:type="dxa"/>
                  <w:vAlign w:val="center"/>
                </w:tcPr>
                <w:p w14:paraId="300009AA">
                  <w:pPr>
                    <w:jc w:val="center"/>
                    <w:rPr>
                      <w:rFonts w:ascii="Times New Roman" w:hAnsi="Times New Roman"/>
                      <w:sz w:val="22"/>
                      <w:szCs w:val="22"/>
                    </w:rPr>
                  </w:pPr>
                  <w:r>
                    <w:rPr>
                      <w:rFonts w:ascii="Times New Roman" w:hAnsi="Times New Roman"/>
                      <w:sz w:val="22"/>
                      <w:szCs w:val="22"/>
                    </w:rPr>
                    <w:t xml:space="preserve">1.44 </w:t>
                  </w:r>
                </w:p>
              </w:tc>
              <w:tc>
                <w:tcPr>
                  <w:tcW w:w="873" w:type="dxa"/>
                  <w:vAlign w:val="center"/>
                </w:tcPr>
                <w:p w14:paraId="0C7F7B3A">
                  <w:pPr>
                    <w:jc w:val="center"/>
                    <w:rPr>
                      <w:rFonts w:ascii="Times New Roman" w:hAnsi="Times New Roman"/>
                      <w:sz w:val="22"/>
                      <w:szCs w:val="22"/>
                    </w:rPr>
                  </w:pPr>
                  <w:r>
                    <w:rPr>
                      <w:rFonts w:ascii="Times New Roman" w:hAnsi="Times New Roman"/>
                      <w:sz w:val="22"/>
                      <w:szCs w:val="22"/>
                    </w:rPr>
                    <w:t xml:space="preserve">1.79 </w:t>
                  </w:r>
                </w:p>
              </w:tc>
            </w:tr>
            <w:tr w14:paraId="0E09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5012CDD">
                  <w:pPr>
                    <w:pStyle w:val="2"/>
                    <w:spacing w:after="0" w:line="331" w:lineRule="auto"/>
                    <w:ind w:left="0" w:leftChars="0" w:firstLine="0" w:firstLineChars="0"/>
                    <w:jc w:val="center"/>
                    <w:rPr>
                      <w:szCs w:val="21"/>
                    </w:rPr>
                  </w:pPr>
                </w:p>
              </w:tc>
              <w:tc>
                <w:tcPr>
                  <w:tcW w:w="1301" w:type="dxa"/>
                  <w:vAlign w:val="center"/>
                </w:tcPr>
                <w:p w14:paraId="2922EF1B">
                  <w:pPr>
                    <w:pStyle w:val="2"/>
                    <w:spacing w:after="0" w:line="331" w:lineRule="auto"/>
                    <w:ind w:left="0" w:leftChars="0" w:firstLine="0" w:firstLineChars="0"/>
                    <w:jc w:val="center"/>
                    <w:rPr>
                      <w:szCs w:val="21"/>
                    </w:rPr>
                  </w:pPr>
                  <w:r>
                    <w:rPr>
                      <w:szCs w:val="21"/>
                    </w:rPr>
                    <w:t>30</w:t>
                  </w:r>
                </w:p>
              </w:tc>
              <w:tc>
                <w:tcPr>
                  <w:tcW w:w="1134" w:type="dxa"/>
                  <w:vAlign w:val="center"/>
                </w:tcPr>
                <w:p w14:paraId="3C3BA9F6">
                  <w:pPr>
                    <w:jc w:val="center"/>
                    <w:rPr>
                      <w:rFonts w:ascii="Times New Roman" w:hAnsi="Times New Roman"/>
                      <w:sz w:val="22"/>
                      <w:szCs w:val="22"/>
                    </w:rPr>
                  </w:pPr>
                  <w:r>
                    <w:rPr>
                      <w:rFonts w:ascii="Times New Roman" w:hAnsi="Times New Roman"/>
                      <w:sz w:val="22"/>
                      <w:szCs w:val="22"/>
                    </w:rPr>
                    <w:t xml:space="preserve">0.08 </w:t>
                  </w:r>
                </w:p>
              </w:tc>
              <w:tc>
                <w:tcPr>
                  <w:tcW w:w="992" w:type="dxa"/>
                  <w:vAlign w:val="center"/>
                </w:tcPr>
                <w:p w14:paraId="57F42353">
                  <w:pPr>
                    <w:jc w:val="center"/>
                    <w:rPr>
                      <w:rFonts w:ascii="Times New Roman" w:hAnsi="Times New Roman"/>
                      <w:sz w:val="22"/>
                      <w:szCs w:val="22"/>
                    </w:rPr>
                  </w:pPr>
                  <w:r>
                    <w:rPr>
                      <w:rFonts w:ascii="Times New Roman" w:hAnsi="Times New Roman"/>
                      <w:sz w:val="22"/>
                      <w:szCs w:val="22"/>
                    </w:rPr>
                    <w:t xml:space="preserve">0.16 </w:t>
                  </w:r>
                </w:p>
              </w:tc>
              <w:tc>
                <w:tcPr>
                  <w:tcW w:w="993" w:type="dxa"/>
                  <w:vAlign w:val="center"/>
                </w:tcPr>
                <w:p w14:paraId="4BFC02A4">
                  <w:pPr>
                    <w:jc w:val="center"/>
                    <w:rPr>
                      <w:rFonts w:ascii="Times New Roman" w:hAnsi="Times New Roman"/>
                      <w:sz w:val="22"/>
                      <w:szCs w:val="22"/>
                    </w:rPr>
                  </w:pPr>
                  <w:r>
                    <w:rPr>
                      <w:rFonts w:ascii="Times New Roman" w:hAnsi="Times New Roman"/>
                      <w:sz w:val="22"/>
                      <w:szCs w:val="22"/>
                    </w:rPr>
                    <w:t xml:space="preserve">0.32 </w:t>
                  </w:r>
                </w:p>
              </w:tc>
              <w:tc>
                <w:tcPr>
                  <w:tcW w:w="992" w:type="dxa"/>
                  <w:vAlign w:val="center"/>
                </w:tcPr>
                <w:p w14:paraId="1DFE1F1A">
                  <w:pPr>
                    <w:jc w:val="center"/>
                    <w:rPr>
                      <w:rFonts w:ascii="Times New Roman" w:hAnsi="Times New Roman"/>
                      <w:sz w:val="22"/>
                      <w:szCs w:val="22"/>
                    </w:rPr>
                  </w:pPr>
                  <w:r>
                    <w:rPr>
                      <w:rFonts w:ascii="Times New Roman" w:hAnsi="Times New Roman"/>
                      <w:sz w:val="22"/>
                      <w:szCs w:val="22"/>
                    </w:rPr>
                    <w:t xml:space="preserve">0.48 </w:t>
                  </w:r>
                </w:p>
              </w:tc>
              <w:tc>
                <w:tcPr>
                  <w:tcW w:w="992" w:type="dxa"/>
                  <w:vAlign w:val="center"/>
                </w:tcPr>
                <w:p w14:paraId="38FBF3E6">
                  <w:pPr>
                    <w:jc w:val="center"/>
                    <w:rPr>
                      <w:rFonts w:ascii="Times New Roman" w:hAnsi="Times New Roman"/>
                      <w:sz w:val="22"/>
                      <w:szCs w:val="22"/>
                    </w:rPr>
                  </w:pPr>
                  <w:r>
                    <w:rPr>
                      <w:rFonts w:ascii="Times New Roman" w:hAnsi="Times New Roman"/>
                      <w:sz w:val="22"/>
                      <w:szCs w:val="22"/>
                    </w:rPr>
                    <w:t xml:space="preserve">0.64 </w:t>
                  </w:r>
                </w:p>
              </w:tc>
              <w:tc>
                <w:tcPr>
                  <w:tcW w:w="873" w:type="dxa"/>
                  <w:vAlign w:val="center"/>
                </w:tcPr>
                <w:p w14:paraId="34C89506">
                  <w:pPr>
                    <w:jc w:val="center"/>
                    <w:rPr>
                      <w:rFonts w:ascii="Times New Roman" w:hAnsi="Times New Roman"/>
                      <w:sz w:val="22"/>
                      <w:szCs w:val="22"/>
                    </w:rPr>
                  </w:pPr>
                  <w:r>
                    <w:rPr>
                      <w:rFonts w:ascii="Times New Roman" w:hAnsi="Times New Roman"/>
                      <w:sz w:val="22"/>
                      <w:szCs w:val="22"/>
                    </w:rPr>
                    <w:t xml:space="preserve">0.80 </w:t>
                  </w:r>
                </w:p>
              </w:tc>
            </w:tr>
            <w:tr w14:paraId="3D23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29D12819">
                  <w:pPr>
                    <w:pStyle w:val="2"/>
                    <w:spacing w:after="0" w:line="331" w:lineRule="auto"/>
                    <w:ind w:left="0" w:leftChars="0" w:firstLine="0" w:firstLineChars="0"/>
                    <w:jc w:val="center"/>
                    <w:rPr>
                      <w:szCs w:val="21"/>
                    </w:rPr>
                  </w:pPr>
                  <w:r>
                    <w:rPr>
                      <w:bCs/>
                      <w:szCs w:val="21"/>
                    </w:rPr>
                    <w:t>XT2505C</w:t>
                  </w:r>
                  <w:r>
                    <w:rPr>
                      <w:szCs w:val="21"/>
                    </w:rPr>
                    <w:t>型定向（/周向）X射线探伤机</w:t>
                  </w:r>
                </w:p>
              </w:tc>
              <w:tc>
                <w:tcPr>
                  <w:tcW w:w="1301" w:type="dxa"/>
                  <w:vAlign w:val="center"/>
                </w:tcPr>
                <w:p w14:paraId="57FC0472">
                  <w:pPr>
                    <w:pStyle w:val="2"/>
                    <w:spacing w:after="0" w:line="331" w:lineRule="auto"/>
                    <w:ind w:left="0" w:leftChars="0" w:firstLine="0" w:firstLineChars="0"/>
                    <w:jc w:val="center"/>
                    <w:rPr>
                      <w:szCs w:val="21"/>
                    </w:rPr>
                  </w:pPr>
                  <w:r>
                    <w:rPr>
                      <w:szCs w:val="21"/>
                    </w:rPr>
                    <w:t>1</w:t>
                  </w:r>
                </w:p>
              </w:tc>
              <w:tc>
                <w:tcPr>
                  <w:tcW w:w="1134" w:type="dxa"/>
                  <w:vAlign w:val="center"/>
                </w:tcPr>
                <w:p w14:paraId="7A43808C">
                  <w:pPr>
                    <w:jc w:val="center"/>
                    <w:rPr>
                      <w:rFonts w:ascii="Times New Roman" w:hAnsi="Times New Roman"/>
                      <w:szCs w:val="21"/>
                    </w:rPr>
                  </w:pPr>
                  <w:r>
                    <w:rPr>
                      <w:rFonts w:ascii="Times New Roman" w:hAnsi="Times New Roman"/>
                      <w:szCs w:val="21"/>
                    </w:rPr>
                    <w:t>41.25</w:t>
                  </w:r>
                </w:p>
              </w:tc>
              <w:tc>
                <w:tcPr>
                  <w:tcW w:w="992" w:type="dxa"/>
                  <w:vAlign w:val="center"/>
                </w:tcPr>
                <w:p w14:paraId="0AA773B9">
                  <w:pPr>
                    <w:jc w:val="center"/>
                    <w:rPr>
                      <w:rFonts w:ascii="Times New Roman" w:hAnsi="Times New Roman"/>
                      <w:szCs w:val="21"/>
                    </w:rPr>
                  </w:pPr>
                  <w:r>
                    <w:rPr>
                      <w:rFonts w:ascii="Times New Roman" w:hAnsi="Times New Roman"/>
                      <w:szCs w:val="21"/>
                    </w:rPr>
                    <w:t>82.50</w:t>
                  </w:r>
                </w:p>
              </w:tc>
              <w:tc>
                <w:tcPr>
                  <w:tcW w:w="993" w:type="dxa"/>
                  <w:vAlign w:val="center"/>
                </w:tcPr>
                <w:p w14:paraId="550F333B">
                  <w:pPr>
                    <w:jc w:val="center"/>
                    <w:rPr>
                      <w:rFonts w:ascii="Times New Roman" w:hAnsi="Times New Roman"/>
                      <w:szCs w:val="21"/>
                    </w:rPr>
                  </w:pPr>
                  <w:r>
                    <w:rPr>
                      <w:rFonts w:ascii="Times New Roman" w:hAnsi="Times New Roman"/>
                      <w:szCs w:val="21"/>
                    </w:rPr>
                    <w:t>165.00</w:t>
                  </w:r>
                </w:p>
              </w:tc>
              <w:tc>
                <w:tcPr>
                  <w:tcW w:w="992" w:type="dxa"/>
                  <w:vAlign w:val="center"/>
                </w:tcPr>
                <w:p w14:paraId="432D5306">
                  <w:pPr>
                    <w:jc w:val="center"/>
                    <w:rPr>
                      <w:rFonts w:ascii="Times New Roman" w:hAnsi="Times New Roman"/>
                      <w:szCs w:val="21"/>
                    </w:rPr>
                  </w:pPr>
                  <w:r>
                    <w:rPr>
                      <w:rFonts w:ascii="Times New Roman" w:hAnsi="Times New Roman"/>
                      <w:szCs w:val="21"/>
                    </w:rPr>
                    <w:t>247.50</w:t>
                  </w:r>
                </w:p>
              </w:tc>
              <w:tc>
                <w:tcPr>
                  <w:tcW w:w="992" w:type="dxa"/>
                  <w:vAlign w:val="center"/>
                </w:tcPr>
                <w:p w14:paraId="3CD6D8EF">
                  <w:pPr>
                    <w:jc w:val="center"/>
                    <w:rPr>
                      <w:rFonts w:ascii="Times New Roman" w:hAnsi="Times New Roman"/>
                      <w:szCs w:val="21"/>
                    </w:rPr>
                  </w:pPr>
                  <w:r>
                    <w:rPr>
                      <w:rFonts w:ascii="Times New Roman" w:hAnsi="Times New Roman"/>
                      <w:szCs w:val="21"/>
                    </w:rPr>
                    <w:t>330.00</w:t>
                  </w:r>
                </w:p>
              </w:tc>
              <w:tc>
                <w:tcPr>
                  <w:tcW w:w="873" w:type="dxa"/>
                  <w:vAlign w:val="center"/>
                </w:tcPr>
                <w:p w14:paraId="194D14CE">
                  <w:pPr>
                    <w:jc w:val="center"/>
                    <w:rPr>
                      <w:rFonts w:ascii="Times New Roman" w:hAnsi="Times New Roman"/>
                      <w:szCs w:val="21"/>
                    </w:rPr>
                  </w:pPr>
                  <w:r>
                    <w:rPr>
                      <w:rFonts w:ascii="Times New Roman" w:hAnsi="Times New Roman"/>
                      <w:szCs w:val="21"/>
                    </w:rPr>
                    <w:t>412.50</w:t>
                  </w:r>
                </w:p>
              </w:tc>
            </w:tr>
            <w:tr w14:paraId="3C02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23EFC094">
                  <w:pPr>
                    <w:pStyle w:val="2"/>
                    <w:spacing w:after="0" w:line="331" w:lineRule="auto"/>
                    <w:ind w:left="0" w:leftChars="0" w:firstLine="0" w:firstLineChars="0"/>
                    <w:jc w:val="center"/>
                    <w:rPr>
                      <w:szCs w:val="21"/>
                    </w:rPr>
                  </w:pPr>
                </w:p>
              </w:tc>
              <w:tc>
                <w:tcPr>
                  <w:tcW w:w="1301" w:type="dxa"/>
                  <w:vAlign w:val="center"/>
                </w:tcPr>
                <w:p w14:paraId="3FBBC369">
                  <w:pPr>
                    <w:pStyle w:val="2"/>
                    <w:spacing w:after="0" w:line="331" w:lineRule="auto"/>
                    <w:ind w:left="0" w:leftChars="0" w:firstLine="0" w:firstLineChars="0"/>
                    <w:jc w:val="center"/>
                    <w:rPr>
                      <w:szCs w:val="21"/>
                    </w:rPr>
                  </w:pPr>
                  <w:r>
                    <w:rPr>
                      <w:szCs w:val="21"/>
                    </w:rPr>
                    <w:t>5</w:t>
                  </w:r>
                </w:p>
              </w:tc>
              <w:tc>
                <w:tcPr>
                  <w:tcW w:w="1134" w:type="dxa"/>
                  <w:vAlign w:val="center"/>
                </w:tcPr>
                <w:p w14:paraId="21445E3A">
                  <w:pPr>
                    <w:jc w:val="center"/>
                    <w:rPr>
                      <w:rFonts w:ascii="Times New Roman" w:hAnsi="Times New Roman"/>
                      <w:szCs w:val="21"/>
                    </w:rPr>
                  </w:pPr>
                  <w:r>
                    <w:rPr>
                      <w:rFonts w:ascii="Times New Roman" w:hAnsi="Times New Roman"/>
                      <w:szCs w:val="21"/>
                    </w:rPr>
                    <w:t>1.65</w:t>
                  </w:r>
                </w:p>
              </w:tc>
              <w:tc>
                <w:tcPr>
                  <w:tcW w:w="992" w:type="dxa"/>
                  <w:vAlign w:val="center"/>
                </w:tcPr>
                <w:p w14:paraId="56DF8AB2">
                  <w:pPr>
                    <w:jc w:val="center"/>
                    <w:rPr>
                      <w:rFonts w:ascii="Times New Roman" w:hAnsi="Times New Roman"/>
                      <w:szCs w:val="21"/>
                    </w:rPr>
                  </w:pPr>
                  <w:r>
                    <w:rPr>
                      <w:rFonts w:ascii="Times New Roman" w:hAnsi="Times New Roman"/>
                      <w:szCs w:val="21"/>
                    </w:rPr>
                    <w:t>3.30</w:t>
                  </w:r>
                </w:p>
              </w:tc>
              <w:tc>
                <w:tcPr>
                  <w:tcW w:w="993" w:type="dxa"/>
                  <w:vAlign w:val="center"/>
                </w:tcPr>
                <w:p w14:paraId="58D8AE45">
                  <w:pPr>
                    <w:jc w:val="center"/>
                    <w:rPr>
                      <w:rFonts w:ascii="Times New Roman" w:hAnsi="Times New Roman"/>
                      <w:szCs w:val="21"/>
                    </w:rPr>
                  </w:pPr>
                  <w:r>
                    <w:rPr>
                      <w:rFonts w:ascii="Times New Roman" w:hAnsi="Times New Roman"/>
                      <w:szCs w:val="21"/>
                    </w:rPr>
                    <w:t>6.60</w:t>
                  </w:r>
                </w:p>
              </w:tc>
              <w:tc>
                <w:tcPr>
                  <w:tcW w:w="992" w:type="dxa"/>
                  <w:vAlign w:val="center"/>
                </w:tcPr>
                <w:p w14:paraId="0BA28495">
                  <w:pPr>
                    <w:jc w:val="center"/>
                    <w:rPr>
                      <w:rFonts w:ascii="Times New Roman" w:hAnsi="Times New Roman"/>
                      <w:szCs w:val="21"/>
                    </w:rPr>
                  </w:pPr>
                  <w:r>
                    <w:rPr>
                      <w:rFonts w:ascii="Times New Roman" w:hAnsi="Times New Roman"/>
                      <w:szCs w:val="21"/>
                    </w:rPr>
                    <w:t>9.90</w:t>
                  </w:r>
                </w:p>
              </w:tc>
              <w:tc>
                <w:tcPr>
                  <w:tcW w:w="992" w:type="dxa"/>
                  <w:vAlign w:val="center"/>
                </w:tcPr>
                <w:p w14:paraId="74C4F0BD">
                  <w:pPr>
                    <w:jc w:val="center"/>
                    <w:rPr>
                      <w:rFonts w:ascii="Times New Roman" w:hAnsi="Times New Roman"/>
                      <w:szCs w:val="21"/>
                    </w:rPr>
                  </w:pPr>
                  <w:r>
                    <w:rPr>
                      <w:rFonts w:ascii="Times New Roman" w:hAnsi="Times New Roman"/>
                      <w:szCs w:val="21"/>
                    </w:rPr>
                    <w:t>13.20</w:t>
                  </w:r>
                </w:p>
              </w:tc>
              <w:tc>
                <w:tcPr>
                  <w:tcW w:w="873" w:type="dxa"/>
                  <w:vAlign w:val="center"/>
                </w:tcPr>
                <w:p w14:paraId="42546DBC">
                  <w:pPr>
                    <w:jc w:val="center"/>
                    <w:rPr>
                      <w:rFonts w:ascii="Times New Roman" w:hAnsi="Times New Roman"/>
                      <w:szCs w:val="21"/>
                    </w:rPr>
                  </w:pPr>
                  <w:r>
                    <w:rPr>
                      <w:rFonts w:ascii="Times New Roman" w:hAnsi="Times New Roman"/>
                      <w:szCs w:val="21"/>
                    </w:rPr>
                    <w:t>16.50</w:t>
                  </w:r>
                </w:p>
              </w:tc>
            </w:tr>
            <w:tr w14:paraId="664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4921B019">
                  <w:pPr>
                    <w:pStyle w:val="2"/>
                    <w:spacing w:after="0" w:line="331" w:lineRule="auto"/>
                    <w:ind w:left="0" w:leftChars="0" w:firstLine="0" w:firstLineChars="0"/>
                    <w:jc w:val="center"/>
                    <w:rPr>
                      <w:szCs w:val="21"/>
                    </w:rPr>
                  </w:pPr>
                </w:p>
              </w:tc>
              <w:tc>
                <w:tcPr>
                  <w:tcW w:w="1301" w:type="dxa"/>
                  <w:vAlign w:val="center"/>
                </w:tcPr>
                <w:p w14:paraId="2C6D82A1">
                  <w:pPr>
                    <w:pStyle w:val="2"/>
                    <w:spacing w:after="0" w:line="331" w:lineRule="auto"/>
                    <w:ind w:left="0" w:leftChars="0" w:firstLine="0" w:firstLineChars="0"/>
                    <w:jc w:val="center"/>
                    <w:rPr>
                      <w:szCs w:val="21"/>
                    </w:rPr>
                  </w:pPr>
                  <w:r>
                    <w:rPr>
                      <w:szCs w:val="21"/>
                    </w:rPr>
                    <w:t>10</w:t>
                  </w:r>
                </w:p>
              </w:tc>
              <w:tc>
                <w:tcPr>
                  <w:tcW w:w="1134" w:type="dxa"/>
                  <w:vAlign w:val="center"/>
                </w:tcPr>
                <w:p w14:paraId="00392246">
                  <w:pPr>
                    <w:jc w:val="center"/>
                    <w:rPr>
                      <w:rFonts w:ascii="Times New Roman" w:hAnsi="Times New Roman"/>
                      <w:szCs w:val="21"/>
                    </w:rPr>
                  </w:pPr>
                  <w:r>
                    <w:rPr>
                      <w:rFonts w:ascii="Times New Roman" w:hAnsi="Times New Roman"/>
                      <w:szCs w:val="21"/>
                    </w:rPr>
                    <w:t>0.41</w:t>
                  </w:r>
                </w:p>
              </w:tc>
              <w:tc>
                <w:tcPr>
                  <w:tcW w:w="992" w:type="dxa"/>
                  <w:vAlign w:val="center"/>
                </w:tcPr>
                <w:p w14:paraId="2AE48B5B">
                  <w:pPr>
                    <w:jc w:val="center"/>
                    <w:rPr>
                      <w:rFonts w:ascii="Times New Roman" w:hAnsi="Times New Roman"/>
                      <w:szCs w:val="21"/>
                    </w:rPr>
                  </w:pPr>
                  <w:r>
                    <w:rPr>
                      <w:rFonts w:ascii="Times New Roman" w:hAnsi="Times New Roman"/>
                      <w:szCs w:val="21"/>
                    </w:rPr>
                    <w:t>0.83</w:t>
                  </w:r>
                </w:p>
              </w:tc>
              <w:tc>
                <w:tcPr>
                  <w:tcW w:w="993" w:type="dxa"/>
                  <w:vAlign w:val="center"/>
                </w:tcPr>
                <w:p w14:paraId="1CC2F72E">
                  <w:pPr>
                    <w:jc w:val="center"/>
                    <w:rPr>
                      <w:rFonts w:ascii="Times New Roman" w:hAnsi="Times New Roman"/>
                      <w:szCs w:val="21"/>
                    </w:rPr>
                  </w:pPr>
                  <w:r>
                    <w:rPr>
                      <w:rFonts w:ascii="Times New Roman" w:hAnsi="Times New Roman"/>
                      <w:szCs w:val="21"/>
                    </w:rPr>
                    <w:t>1.65</w:t>
                  </w:r>
                </w:p>
              </w:tc>
              <w:tc>
                <w:tcPr>
                  <w:tcW w:w="992" w:type="dxa"/>
                  <w:vAlign w:val="center"/>
                </w:tcPr>
                <w:p w14:paraId="7E916EC2">
                  <w:pPr>
                    <w:jc w:val="center"/>
                    <w:rPr>
                      <w:rFonts w:ascii="Times New Roman" w:hAnsi="Times New Roman"/>
                      <w:szCs w:val="21"/>
                    </w:rPr>
                  </w:pPr>
                  <w:r>
                    <w:rPr>
                      <w:rFonts w:ascii="Times New Roman" w:hAnsi="Times New Roman"/>
                      <w:szCs w:val="21"/>
                    </w:rPr>
                    <w:t>2.48</w:t>
                  </w:r>
                </w:p>
              </w:tc>
              <w:tc>
                <w:tcPr>
                  <w:tcW w:w="992" w:type="dxa"/>
                  <w:vAlign w:val="center"/>
                </w:tcPr>
                <w:p w14:paraId="2C52FA85">
                  <w:pPr>
                    <w:jc w:val="center"/>
                    <w:rPr>
                      <w:rFonts w:ascii="Times New Roman" w:hAnsi="Times New Roman"/>
                      <w:szCs w:val="21"/>
                    </w:rPr>
                  </w:pPr>
                  <w:r>
                    <w:rPr>
                      <w:rFonts w:ascii="Times New Roman" w:hAnsi="Times New Roman"/>
                      <w:szCs w:val="21"/>
                    </w:rPr>
                    <w:t>3 32</w:t>
                  </w:r>
                </w:p>
              </w:tc>
              <w:tc>
                <w:tcPr>
                  <w:tcW w:w="873" w:type="dxa"/>
                  <w:vAlign w:val="center"/>
                </w:tcPr>
                <w:p w14:paraId="0661857B">
                  <w:pPr>
                    <w:jc w:val="center"/>
                    <w:rPr>
                      <w:rFonts w:ascii="Times New Roman" w:hAnsi="Times New Roman"/>
                      <w:szCs w:val="21"/>
                    </w:rPr>
                  </w:pPr>
                  <w:r>
                    <w:rPr>
                      <w:rFonts w:ascii="Times New Roman" w:hAnsi="Times New Roman"/>
                      <w:szCs w:val="21"/>
                    </w:rPr>
                    <w:t>4.15</w:t>
                  </w:r>
                </w:p>
              </w:tc>
            </w:tr>
            <w:tr w14:paraId="7C63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4F33F475">
                  <w:pPr>
                    <w:pStyle w:val="2"/>
                    <w:spacing w:after="0" w:line="331" w:lineRule="auto"/>
                    <w:ind w:left="0" w:leftChars="0" w:firstLine="0" w:firstLineChars="0"/>
                    <w:jc w:val="center"/>
                    <w:rPr>
                      <w:szCs w:val="21"/>
                    </w:rPr>
                  </w:pPr>
                </w:p>
              </w:tc>
              <w:tc>
                <w:tcPr>
                  <w:tcW w:w="1301" w:type="dxa"/>
                  <w:vAlign w:val="center"/>
                </w:tcPr>
                <w:p w14:paraId="1736066C">
                  <w:pPr>
                    <w:pStyle w:val="2"/>
                    <w:spacing w:after="0" w:line="331" w:lineRule="auto"/>
                    <w:ind w:left="0" w:leftChars="0" w:firstLine="0" w:firstLineChars="0"/>
                    <w:jc w:val="center"/>
                    <w:rPr>
                      <w:szCs w:val="21"/>
                    </w:rPr>
                  </w:pPr>
                  <w:r>
                    <w:rPr>
                      <w:szCs w:val="21"/>
                    </w:rPr>
                    <w:t>20</w:t>
                  </w:r>
                </w:p>
              </w:tc>
              <w:tc>
                <w:tcPr>
                  <w:tcW w:w="1134" w:type="dxa"/>
                  <w:vAlign w:val="center"/>
                </w:tcPr>
                <w:p w14:paraId="0EA10F84">
                  <w:pPr>
                    <w:jc w:val="center"/>
                    <w:rPr>
                      <w:rFonts w:ascii="Times New Roman" w:hAnsi="Times New Roman"/>
                      <w:szCs w:val="21"/>
                    </w:rPr>
                  </w:pPr>
                  <w:r>
                    <w:rPr>
                      <w:rFonts w:ascii="Times New Roman" w:hAnsi="Times New Roman"/>
                      <w:szCs w:val="21"/>
                    </w:rPr>
                    <w:t>0.10</w:t>
                  </w:r>
                </w:p>
              </w:tc>
              <w:tc>
                <w:tcPr>
                  <w:tcW w:w="992" w:type="dxa"/>
                  <w:vAlign w:val="center"/>
                </w:tcPr>
                <w:p w14:paraId="53DCE9DB">
                  <w:pPr>
                    <w:jc w:val="center"/>
                    <w:rPr>
                      <w:rFonts w:ascii="Times New Roman" w:hAnsi="Times New Roman"/>
                      <w:szCs w:val="21"/>
                    </w:rPr>
                  </w:pPr>
                  <w:r>
                    <w:rPr>
                      <w:rFonts w:ascii="Times New Roman" w:hAnsi="Times New Roman"/>
                      <w:szCs w:val="21"/>
                    </w:rPr>
                    <w:t>0.21</w:t>
                  </w:r>
                </w:p>
              </w:tc>
              <w:tc>
                <w:tcPr>
                  <w:tcW w:w="993" w:type="dxa"/>
                  <w:vAlign w:val="center"/>
                </w:tcPr>
                <w:p w14:paraId="5D046B85">
                  <w:pPr>
                    <w:jc w:val="center"/>
                    <w:rPr>
                      <w:rFonts w:ascii="Times New Roman" w:hAnsi="Times New Roman"/>
                      <w:szCs w:val="21"/>
                    </w:rPr>
                  </w:pPr>
                  <w:r>
                    <w:rPr>
                      <w:rFonts w:ascii="Times New Roman" w:hAnsi="Times New Roman"/>
                      <w:szCs w:val="21"/>
                    </w:rPr>
                    <w:t>0.41</w:t>
                  </w:r>
                </w:p>
              </w:tc>
              <w:tc>
                <w:tcPr>
                  <w:tcW w:w="992" w:type="dxa"/>
                  <w:vAlign w:val="center"/>
                </w:tcPr>
                <w:p w14:paraId="0D9DBBEA">
                  <w:pPr>
                    <w:jc w:val="center"/>
                    <w:rPr>
                      <w:rFonts w:ascii="Times New Roman" w:hAnsi="Times New Roman"/>
                      <w:szCs w:val="21"/>
                    </w:rPr>
                  </w:pPr>
                  <w:r>
                    <w:rPr>
                      <w:rFonts w:ascii="Times New Roman" w:hAnsi="Times New Roman"/>
                      <w:szCs w:val="21"/>
                    </w:rPr>
                    <w:t>0.62</w:t>
                  </w:r>
                </w:p>
              </w:tc>
              <w:tc>
                <w:tcPr>
                  <w:tcW w:w="992" w:type="dxa"/>
                  <w:vAlign w:val="center"/>
                </w:tcPr>
                <w:p w14:paraId="773EB760">
                  <w:pPr>
                    <w:jc w:val="center"/>
                    <w:rPr>
                      <w:rFonts w:ascii="Times New Roman" w:hAnsi="Times New Roman"/>
                      <w:szCs w:val="21"/>
                    </w:rPr>
                  </w:pPr>
                  <w:r>
                    <w:rPr>
                      <w:rFonts w:ascii="Times New Roman" w:hAnsi="Times New Roman"/>
                      <w:szCs w:val="21"/>
                    </w:rPr>
                    <w:t>0.84</w:t>
                  </w:r>
                </w:p>
              </w:tc>
              <w:tc>
                <w:tcPr>
                  <w:tcW w:w="873" w:type="dxa"/>
                  <w:vAlign w:val="center"/>
                </w:tcPr>
                <w:p w14:paraId="3C0DE6FF">
                  <w:pPr>
                    <w:jc w:val="center"/>
                    <w:rPr>
                      <w:rFonts w:ascii="Times New Roman" w:hAnsi="Times New Roman"/>
                      <w:szCs w:val="21"/>
                    </w:rPr>
                  </w:pPr>
                  <w:r>
                    <w:rPr>
                      <w:rFonts w:ascii="Times New Roman" w:hAnsi="Times New Roman"/>
                      <w:szCs w:val="21"/>
                    </w:rPr>
                    <w:t>1.05</w:t>
                  </w:r>
                </w:p>
              </w:tc>
            </w:tr>
            <w:tr w14:paraId="54FC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1159A74F">
                  <w:pPr>
                    <w:pStyle w:val="2"/>
                    <w:spacing w:after="0" w:line="331" w:lineRule="auto"/>
                    <w:ind w:left="0" w:leftChars="0" w:firstLine="0" w:firstLineChars="0"/>
                    <w:jc w:val="center"/>
                    <w:rPr>
                      <w:szCs w:val="21"/>
                    </w:rPr>
                  </w:pPr>
                </w:p>
              </w:tc>
              <w:tc>
                <w:tcPr>
                  <w:tcW w:w="1301" w:type="dxa"/>
                  <w:vAlign w:val="center"/>
                </w:tcPr>
                <w:p w14:paraId="37744E0D">
                  <w:pPr>
                    <w:pStyle w:val="2"/>
                    <w:spacing w:after="0" w:line="331" w:lineRule="auto"/>
                    <w:ind w:left="0" w:leftChars="0" w:firstLine="0" w:firstLineChars="0"/>
                    <w:jc w:val="center"/>
                    <w:rPr>
                      <w:szCs w:val="21"/>
                    </w:rPr>
                  </w:pPr>
                  <w:r>
                    <w:rPr>
                      <w:szCs w:val="21"/>
                    </w:rPr>
                    <w:t>30</w:t>
                  </w:r>
                </w:p>
              </w:tc>
              <w:tc>
                <w:tcPr>
                  <w:tcW w:w="1134" w:type="dxa"/>
                  <w:vAlign w:val="center"/>
                </w:tcPr>
                <w:p w14:paraId="03E32616">
                  <w:pPr>
                    <w:jc w:val="center"/>
                    <w:rPr>
                      <w:rFonts w:ascii="Times New Roman" w:hAnsi="Times New Roman"/>
                      <w:szCs w:val="21"/>
                    </w:rPr>
                  </w:pPr>
                  <w:r>
                    <w:rPr>
                      <w:rFonts w:ascii="Times New Roman" w:hAnsi="Times New Roman"/>
                      <w:szCs w:val="21"/>
                    </w:rPr>
                    <w:t>0.05</w:t>
                  </w:r>
                </w:p>
              </w:tc>
              <w:tc>
                <w:tcPr>
                  <w:tcW w:w="992" w:type="dxa"/>
                  <w:vAlign w:val="center"/>
                </w:tcPr>
                <w:p w14:paraId="3C38D9E8">
                  <w:pPr>
                    <w:jc w:val="center"/>
                    <w:rPr>
                      <w:rFonts w:ascii="Times New Roman" w:hAnsi="Times New Roman"/>
                      <w:szCs w:val="21"/>
                    </w:rPr>
                  </w:pPr>
                  <w:r>
                    <w:rPr>
                      <w:rFonts w:ascii="Times New Roman" w:hAnsi="Times New Roman"/>
                      <w:szCs w:val="21"/>
                    </w:rPr>
                    <w:t>0.92</w:t>
                  </w:r>
                </w:p>
              </w:tc>
              <w:tc>
                <w:tcPr>
                  <w:tcW w:w="993" w:type="dxa"/>
                  <w:vAlign w:val="center"/>
                </w:tcPr>
                <w:p w14:paraId="6C0C70CC">
                  <w:pPr>
                    <w:jc w:val="center"/>
                    <w:rPr>
                      <w:rFonts w:ascii="Times New Roman" w:hAnsi="Times New Roman"/>
                      <w:szCs w:val="21"/>
                    </w:rPr>
                  </w:pPr>
                  <w:r>
                    <w:rPr>
                      <w:rFonts w:ascii="Times New Roman" w:hAnsi="Times New Roman"/>
                      <w:szCs w:val="21"/>
                    </w:rPr>
                    <w:t>0.18</w:t>
                  </w:r>
                </w:p>
              </w:tc>
              <w:tc>
                <w:tcPr>
                  <w:tcW w:w="992" w:type="dxa"/>
                  <w:vAlign w:val="center"/>
                </w:tcPr>
                <w:p w14:paraId="345021F2">
                  <w:pPr>
                    <w:jc w:val="center"/>
                    <w:rPr>
                      <w:rFonts w:ascii="Times New Roman" w:hAnsi="Times New Roman"/>
                      <w:szCs w:val="21"/>
                    </w:rPr>
                  </w:pPr>
                  <w:r>
                    <w:rPr>
                      <w:rFonts w:ascii="Times New Roman" w:hAnsi="Times New Roman"/>
                      <w:szCs w:val="21"/>
                    </w:rPr>
                    <w:t>0.28</w:t>
                  </w:r>
                </w:p>
              </w:tc>
              <w:tc>
                <w:tcPr>
                  <w:tcW w:w="992" w:type="dxa"/>
                  <w:vAlign w:val="center"/>
                </w:tcPr>
                <w:p w14:paraId="013300AF">
                  <w:pPr>
                    <w:jc w:val="center"/>
                    <w:rPr>
                      <w:rFonts w:ascii="Times New Roman" w:hAnsi="Times New Roman"/>
                      <w:szCs w:val="21"/>
                    </w:rPr>
                  </w:pPr>
                  <w:r>
                    <w:rPr>
                      <w:rFonts w:ascii="Times New Roman" w:hAnsi="Times New Roman"/>
                      <w:szCs w:val="21"/>
                    </w:rPr>
                    <w:t>3.68</w:t>
                  </w:r>
                </w:p>
              </w:tc>
              <w:tc>
                <w:tcPr>
                  <w:tcW w:w="873" w:type="dxa"/>
                  <w:vAlign w:val="center"/>
                </w:tcPr>
                <w:p w14:paraId="1CADDCCB">
                  <w:pPr>
                    <w:jc w:val="center"/>
                    <w:rPr>
                      <w:rFonts w:ascii="Times New Roman" w:hAnsi="Times New Roman"/>
                      <w:szCs w:val="21"/>
                    </w:rPr>
                  </w:pPr>
                  <w:r>
                    <w:rPr>
                      <w:rFonts w:ascii="Times New Roman" w:hAnsi="Times New Roman"/>
                      <w:szCs w:val="21"/>
                    </w:rPr>
                    <w:t>4.60</w:t>
                  </w:r>
                </w:p>
              </w:tc>
            </w:tr>
            <w:tr w14:paraId="06C0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restart"/>
                  <w:vAlign w:val="center"/>
                </w:tcPr>
                <w:p w14:paraId="66698E4E">
                  <w:pPr>
                    <w:pStyle w:val="2"/>
                    <w:spacing w:after="0" w:line="331" w:lineRule="auto"/>
                    <w:ind w:left="0" w:leftChars="0" w:firstLine="0" w:firstLineChars="0"/>
                    <w:jc w:val="center"/>
                    <w:rPr>
                      <w:szCs w:val="21"/>
                    </w:rPr>
                  </w:pPr>
                  <w:r>
                    <w:rPr>
                      <w:szCs w:val="21"/>
                    </w:rPr>
                    <w:t>XT3005D型定向X射线探伤机</w:t>
                  </w:r>
                </w:p>
              </w:tc>
              <w:tc>
                <w:tcPr>
                  <w:tcW w:w="1301" w:type="dxa"/>
                  <w:vAlign w:val="center"/>
                </w:tcPr>
                <w:p w14:paraId="7A8544F6">
                  <w:pPr>
                    <w:pStyle w:val="2"/>
                    <w:spacing w:after="0" w:line="331" w:lineRule="auto"/>
                    <w:ind w:left="0" w:leftChars="0" w:firstLine="0" w:firstLineChars="0"/>
                    <w:jc w:val="center"/>
                    <w:rPr>
                      <w:szCs w:val="21"/>
                    </w:rPr>
                  </w:pPr>
                  <w:r>
                    <w:rPr>
                      <w:szCs w:val="21"/>
                    </w:rPr>
                    <w:t>1</w:t>
                  </w:r>
                </w:p>
              </w:tc>
              <w:tc>
                <w:tcPr>
                  <w:tcW w:w="1134" w:type="dxa"/>
                  <w:vAlign w:val="center"/>
                </w:tcPr>
                <w:p w14:paraId="65B39085">
                  <w:pPr>
                    <w:jc w:val="center"/>
                    <w:rPr>
                      <w:rFonts w:ascii="Times New Roman" w:hAnsi="Times New Roman"/>
                      <w:szCs w:val="21"/>
                    </w:rPr>
                  </w:pPr>
                  <w:r>
                    <w:rPr>
                      <w:rFonts w:ascii="Times New Roman" w:hAnsi="Times New Roman"/>
                      <w:szCs w:val="21"/>
                    </w:rPr>
                    <w:t>52.25</w:t>
                  </w:r>
                </w:p>
              </w:tc>
              <w:tc>
                <w:tcPr>
                  <w:tcW w:w="992" w:type="dxa"/>
                  <w:vAlign w:val="center"/>
                </w:tcPr>
                <w:p w14:paraId="34BC2199">
                  <w:pPr>
                    <w:jc w:val="center"/>
                    <w:rPr>
                      <w:rFonts w:ascii="Times New Roman" w:hAnsi="Times New Roman"/>
                      <w:szCs w:val="21"/>
                    </w:rPr>
                  </w:pPr>
                  <w:r>
                    <w:rPr>
                      <w:rFonts w:ascii="Times New Roman" w:hAnsi="Times New Roman"/>
                      <w:szCs w:val="21"/>
                    </w:rPr>
                    <w:t>104.50</w:t>
                  </w:r>
                </w:p>
              </w:tc>
              <w:tc>
                <w:tcPr>
                  <w:tcW w:w="993" w:type="dxa"/>
                  <w:vAlign w:val="center"/>
                </w:tcPr>
                <w:p w14:paraId="3061B7E9">
                  <w:pPr>
                    <w:jc w:val="center"/>
                    <w:rPr>
                      <w:rFonts w:ascii="Times New Roman" w:hAnsi="Times New Roman"/>
                      <w:szCs w:val="21"/>
                    </w:rPr>
                  </w:pPr>
                  <w:r>
                    <w:rPr>
                      <w:rFonts w:ascii="Times New Roman" w:hAnsi="Times New Roman"/>
                      <w:szCs w:val="21"/>
                    </w:rPr>
                    <w:t>209.00</w:t>
                  </w:r>
                </w:p>
              </w:tc>
              <w:tc>
                <w:tcPr>
                  <w:tcW w:w="992" w:type="dxa"/>
                  <w:vAlign w:val="center"/>
                </w:tcPr>
                <w:p w14:paraId="2FD92A81">
                  <w:pPr>
                    <w:jc w:val="center"/>
                    <w:rPr>
                      <w:rFonts w:ascii="Times New Roman" w:hAnsi="Times New Roman"/>
                      <w:szCs w:val="21"/>
                    </w:rPr>
                  </w:pPr>
                  <w:r>
                    <w:rPr>
                      <w:rFonts w:ascii="Times New Roman" w:hAnsi="Times New Roman"/>
                      <w:szCs w:val="21"/>
                    </w:rPr>
                    <w:t>313.50</w:t>
                  </w:r>
                </w:p>
              </w:tc>
              <w:tc>
                <w:tcPr>
                  <w:tcW w:w="992" w:type="dxa"/>
                  <w:vAlign w:val="center"/>
                </w:tcPr>
                <w:p w14:paraId="39406DEE">
                  <w:pPr>
                    <w:jc w:val="center"/>
                    <w:rPr>
                      <w:rFonts w:ascii="Times New Roman" w:hAnsi="Times New Roman"/>
                      <w:szCs w:val="21"/>
                    </w:rPr>
                  </w:pPr>
                  <w:r>
                    <w:rPr>
                      <w:rFonts w:ascii="Times New Roman" w:hAnsi="Times New Roman"/>
                      <w:szCs w:val="21"/>
                    </w:rPr>
                    <w:t>418.00</w:t>
                  </w:r>
                </w:p>
              </w:tc>
              <w:tc>
                <w:tcPr>
                  <w:tcW w:w="873" w:type="dxa"/>
                  <w:vAlign w:val="center"/>
                </w:tcPr>
                <w:p w14:paraId="77C61FD8">
                  <w:pPr>
                    <w:jc w:val="center"/>
                    <w:rPr>
                      <w:rFonts w:ascii="Times New Roman" w:hAnsi="Times New Roman"/>
                      <w:szCs w:val="21"/>
                    </w:rPr>
                  </w:pPr>
                  <w:r>
                    <w:rPr>
                      <w:rFonts w:ascii="Times New Roman" w:hAnsi="Times New Roman"/>
                      <w:szCs w:val="21"/>
                    </w:rPr>
                    <w:t>522.50</w:t>
                  </w:r>
                </w:p>
              </w:tc>
            </w:tr>
            <w:tr w14:paraId="303F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26D0779E">
                  <w:pPr>
                    <w:pStyle w:val="2"/>
                    <w:spacing w:after="0" w:line="331" w:lineRule="auto"/>
                    <w:ind w:left="0" w:leftChars="0" w:firstLine="0" w:firstLineChars="0"/>
                    <w:jc w:val="center"/>
                    <w:rPr>
                      <w:szCs w:val="21"/>
                    </w:rPr>
                  </w:pPr>
                </w:p>
              </w:tc>
              <w:tc>
                <w:tcPr>
                  <w:tcW w:w="1301" w:type="dxa"/>
                  <w:vAlign w:val="center"/>
                </w:tcPr>
                <w:p w14:paraId="26899D00">
                  <w:pPr>
                    <w:pStyle w:val="2"/>
                    <w:spacing w:after="0" w:line="331" w:lineRule="auto"/>
                    <w:ind w:left="0" w:leftChars="0" w:firstLine="0" w:firstLineChars="0"/>
                    <w:jc w:val="center"/>
                    <w:rPr>
                      <w:szCs w:val="21"/>
                    </w:rPr>
                  </w:pPr>
                  <w:r>
                    <w:rPr>
                      <w:szCs w:val="21"/>
                    </w:rPr>
                    <w:t>5</w:t>
                  </w:r>
                </w:p>
              </w:tc>
              <w:tc>
                <w:tcPr>
                  <w:tcW w:w="1134" w:type="dxa"/>
                  <w:vAlign w:val="center"/>
                </w:tcPr>
                <w:p w14:paraId="0858D01C">
                  <w:pPr>
                    <w:jc w:val="center"/>
                    <w:rPr>
                      <w:rFonts w:ascii="Times New Roman" w:hAnsi="Times New Roman"/>
                      <w:szCs w:val="21"/>
                    </w:rPr>
                  </w:pPr>
                  <w:r>
                    <w:rPr>
                      <w:rFonts w:ascii="Times New Roman" w:hAnsi="Times New Roman"/>
                      <w:szCs w:val="21"/>
                    </w:rPr>
                    <w:t>2.09</w:t>
                  </w:r>
                </w:p>
              </w:tc>
              <w:tc>
                <w:tcPr>
                  <w:tcW w:w="992" w:type="dxa"/>
                  <w:vAlign w:val="center"/>
                </w:tcPr>
                <w:p w14:paraId="5234841C">
                  <w:pPr>
                    <w:jc w:val="center"/>
                    <w:rPr>
                      <w:rFonts w:ascii="Times New Roman" w:hAnsi="Times New Roman"/>
                      <w:szCs w:val="21"/>
                    </w:rPr>
                  </w:pPr>
                  <w:r>
                    <w:rPr>
                      <w:rFonts w:ascii="Times New Roman" w:hAnsi="Times New Roman"/>
                      <w:szCs w:val="21"/>
                    </w:rPr>
                    <w:t>4.18</w:t>
                  </w:r>
                </w:p>
              </w:tc>
              <w:tc>
                <w:tcPr>
                  <w:tcW w:w="993" w:type="dxa"/>
                  <w:vAlign w:val="center"/>
                </w:tcPr>
                <w:p w14:paraId="43BCFA04">
                  <w:pPr>
                    <w:jc w:val="center"/>
                    <w:rPr>
                      <w:rFonts w:ascii="Times New Roman" w:hAnsi="Times New Roman"/>
                      <w:szCs w:val="21"/>
                    </w:rPr>
                  </w:pPr>
                  <w:r>
                    <w:rPr>
                      <w:rFonts w:ascii="Times New Roman" w:hAnsi="Times New Roman"/>
                      <w:szCs w:val="21"/>
                    </w:rPr>
                    <w:t>8.36</w:t>
                  </w:r>
                </w:p>
              </w:tc>
              <w:tc>
                <w:tcPr>
                  <w:tcW w:w="992" w:type="dxa"/>
                  <w:vAlign w:val="center"/>
                </w:tcPr>
                <w:p w14:paraId="43D04F1C">
                  <w:pPr>
                    <w:jc w:val="center"/>
                    <w:rPr>
                      <w:rFonts w:ascii="Times New Roman" w:hAnsi="Times New Roman"/>
                      <w:szCs w:val="21"/>
                    </w:rPr>
                  </w:pPr>
                  <w:r>
                    <w:rPr>
                      <w:rFonts w:ascii="Times New Roman" w:hAnsi="Times New Roman"/>
                      <w:szCs w:val="21"/>
                    </w:rPr>
                    <w:t>12.54</w:t>
                  </w:r>
                </w:p>
              </w:tc>
              <w:tc>
                <w:tcPr>
                  <w:tcW w:w="992" w:type="dxa"/>
                  <w:vAlign w:val="center"/>
                </w:tcPr>
                <w:p w14:paraId="2977AEFA">
                  <w:pPr>
                    <w:jc w:val="center"/>
                    <w:rPr>
                      <w:rFonts w:ascii="Times New Roman" w:hAnsi="Times New Roman"/>
                      <w:szCs w:val="21"/>
                    </w:rPr>
                  </w:pPr>
                  <w:r>
                    <w:rPr>
                      <w:rFonts w:ascii="Times New Roman" w:hAnsi="Times New Roman"/>
                      <w:szCs w:val="21"/>
                    </w:rPr>
                    <w:t>16.72</w:t>
                  </w:r>
                </w:p>
              </w:tc>
              <w:tc>
                <w:tcPr>
                  <w:tcW w:w="873" w:type="dxa"/>
                  <w:vAlign w:val="center"/>
                </w:tcPr>
                <w:p w14:paraId="6F80836F">
                  <w:pPr>
                    <w:jc w:val="center"/>
                    <w:rPr>
                      <w:rFonts w:ascii="Times New Roman" w:hAnsi="Times New Roman"/>
                      <w:szCs w:val="21"/>
                    </w:rPr>
                  </w:pPr>
                  <w:r>
                    <w:rPr>
                      <w:rFonts w:ascii="Times New Roman" w:hAnsi="Times New Roman"/>
                      <w:szCs w:val="21"/>
                    </w:rPr>
                    <w:t>20.90</w:t>
                  </w:r>
                </w:p>
              </w:tc>
            </w:tr>
            <w:tr w14:paraId="3ACE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046C4358">
                  <w:pPr>
                    <w:pStyle w:val="2"/>
                    <w:spacing w:after="0" w:line="331" w:lineRule="auto"/>
                    <w:ind w:left="0" w:leftChars="0" w:firstLine="0" w:firstLineChars="0"/>
                    <w:jc w:val="center"/>
                    <w:rPr>
                      <w:szCs w:val="21"/>
                    </w:rPr>
                  </w:pPr>
                </w:p>
              </w:tc>
              <w:tc>
                <w:tcPr>
                  <w:tcW w:w="1301" w:type="dxa"/>
                  <w:vAlign w:val="center"/>
                </w:tcPr>
                <w:p w14:paraId="48604C0D">
                  <w:pPr>
                    <w:pStyle w:val="2"/>
                    <w:spacing w:after="0" w:line="331" w:lineRule="auto"/>
                    <w:ind w:left="0" w:leftChars="0" w:firstLine="0" w:firstLineChars="0"/>
                    <w:jc w:val="center"/>
                    <w:rPr>
                      <w:szCs w:val="21"/>
                    </w:rPr>
                  </w:pPr>
                  <w:r>
                    <w:rPr>
                      <w:szCs w:val="21"/>
                    </w:rPr>
                    <w:t>10</w:t>
                  </w:r>
                </w:p>
              </w:tc>
              <w:tc>
                <w:tcPr>
                  <w:tcW w:w="1134" w:type="dxa"/>
                  <w:vAlign w:val="center"/>
                </w:tcPr>
                <w:p w14:paraId="31527AB2">
                  <w:pPr>
                    <w:jc w:val="center"/>
                    <w:rPr>
                      <w:rFonts w:ascii="Times New Roman" w:hAnsi="Times New Roman"/>
                      <w:szCs w:val="21"/>
                    </w:rPr>
                  </w:pPr>
                  <w:r>
                    <w:rPr>
                      <w:rFonts w:ascii="Times New Roman" w:hAnsi="Times New Roman"/>
                      <w:szCs w:val="21"/>
                    </w:rPr>
                    <w:t>0.52</w:t>
                  </w:r>
                </w:p>
              </w:tc>
              <w:tc>
                <w:tcPr>
                  <w:tcW w:w="992" w:type="dxa"/>
                  <w:vAlign w:val="center"/>
                </w:tcPr>
                <w:p w14:paraId="4439CEB0">
                  <w:pPr>
                    <w:jc w:val="center"/>
                    <w:rPr>
                      <w:rFonts w:ascii="Times New Roman" w:hAnsi="Times New Roman"/>
                      <w:szCs w:val="21"/>
                    </w:rPr>
                  </w:pPr>
                  <w:r>
                    <w:rPr>
                      <w:rFonts w:ascii="Times New Roman" w:hAnsi="Times New Roman"/>
                      <w:szCs w:val="21"/>
                    </w:rPr>
                    <w:t>1.04</w:t>
                  </w:r>
                </w:p>
              </w:tc>
              <w:tc>
                <w:tcPr>
                  <w:tcW w:w="993" w:type="dxa"/>
                  <w:vAlign w:val="center"/>
                </w:tcPr>
                <w:p w14:paraId="78BB0F79">
                  <w:pPr>
                    <w:jc w:val="center"/>
                    <w:rPr>
                      <w:rFonts w:ascii="Times New Roman" w:hAnsi="Times New Roman"/>
                      <w:szCs w:val="21"/>
                    </w:rPr>
                  </w:pPr>
                  <w:r>
                    <w:rPr>
                      <w:rFonts w:ascii="Times New Roman" w:hAnsi="Times New Roman"/>
                      <w:szCs w:val="21"/>
                    </w:rPr>
                    <w:t>2.09</w:t>
                  </w:r>
                </w:p>
              </w:tc>
              <w:tc>
                <w:tcPr>
                  <w:tcW w:w="992" w:type="dxa"/>
                  <w:vAlign w:val="center"/>
                </w:tcPr>
                <w:p w14:paraId="3B4D977C">
                  <w:pPr>
                    <w:jc w:val="center"/>
                    <w:rPr>
                      <w:rFonts w:ascii="Times New Roman" w:hAnsi="Times New Roman"/>
                      <w:szCs w:val="21"/>
                    </w:rPr>
                  </w:pPr>
                  <w:r>
                    <w:rPr>
                      <w:rFonts w:ascii="Times New Roman" w:hAnsi="Times New Roman"/>
                      <w:szCs w:val="21"/>
                    </w:rPr>
                    <w:t>3.14</w:t>
                  </w:r>
                </w:p>
              </w:tc>
              <w:tc>
                <w:tcPr>
                  <w:tcW w:w="992" w:type="dxa"/>
                  <w:vAlign w:val="center"/>
                </w:tcPr>
                <w:p w14:paraId="2AB933B5">
                  <w:pPr>
                    <w:jc w:val="center"/>
                    <w:rPr>
                      <w:rFonts w:ascii="Times New Roman" w:hAnsi="Times New Roman"/>
                      <w:szCs w:val="21"/>
                    </w:rPr>
                  </w:pPr>
                  <w:r>
                    <w:rPr>
                      <w:rFonts w:ascii="Times New Roman" w:hAnsi="Times New Roman"/>
                      <w:szCs w:val="21"/>
                    </w:rPr>
                    <w:t>4.16</w:t>
                  </w:r>
                </w:p>
              </w:tc>
              <w:tc>
                <w:tcPr>
                  <w:tcW w:w="873" w:type="dxa"/>
                  <w:vAlign w:val="center"/>
                </w:tcPr>
                <w:p w14:paraId="1E01816B">
                  <w:pPr>
                    <w:jc w:val="center"/>
                    <w:rPr>
                      <w:rFonts w:ascii="Times New Roman" w:hAnsi="Times New Roman"/>
                      <w:szCs w:val="21"/>
                    </w:rPr>
                  </w:pPr>
                  <w:r>
                    <w:rPr>
                      <w:rFonts w:ascii="Times New Roman" w:hAnsi="Times New Roman"/>
                      <w:szCs w:val="21"/>
                    </w:rPr>
                    <w:t>5.20</w:t>
                  </w:r>
                </w:p>
              </w:tc>
            </w:tr>
            <w:tr w14:paraId="49C6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27614904">
                  <w:pPr>
                    <w:pStyle w:val="2"/>
                    <w:spacing w:after="0" w:line="331" w:lineRule="auto"/>
                    <w:ind w:left="0" w:leftChars="0" w:firstLine="0" w:firstLineChars="0"/>
                    <w:jc w:val="center"/>
                    <w:rPr>
                      <w:szCs w:val="21"/>
                    </w:rPr>
                  </w:pPr>
                </w:p>
              </w:tc>
              <w:tc>
                <w:tcPr>
                  <w:tcW w:w="1301" w:type="dxa"/>
                  <w:vAlign w:val="center"/>
                </w:tcPr>
                <w:p w14:paraId="5A3AF0CC">
                  <w:pPr>
                    <w:pStyle w:val="2"/>
                    <w:spacing w:after="0" w:line="331" w:lineRule="auto"/>
                    <w:ind w:left="0" w:leftChars="0" w:firstLine="0" w:firstLineChars="0"/>
                    <w:jc w:val="center"/>
                    <w:rPr>
                      <w:szCs w:val="21"/>
                    </w:rPr>
                  </w:pPr>
                  <w:r>
                    <w:rPr>
                      <w:szCs w:val="21"/>
                    </w:rPr>
                    <w:t>20</w:t>
                  </w:r>
                </w:p>
              </w:tc>
              <w:tc>
                <w:tcPr>
                  <w:tcW w:w="1134" w:type="dxa"/>
                  <w:vAlign w:val="center"/>
                </w:tcPr>
                <w:p w14:paraId="2234B3DA">
                  <w:pPr>
                    <w:jc w:val="center"/>
                    <w:rPr>
                      <w:rFonts w:ascii="Times New Roman" w:hAnsi="Times New Roman"/>
                      <w:szCs w:val="21"/>
                    </w:rPr>
                  </w:pPr>
                  <w:r>
                    <w:rPr>
                      <w:rFonts w:ascii="Times New Roman" w:hAnsi="Times New Roman"/>
                      <w:szCs w:val="21"/>
                    </w:rPr>
                    <w:t>0.13</w:t>
                  </w:r>
                </w:p>
              </w:tc>
              <w:tc>
                <w:tcPr>
                  <w:tcW w:w="992" w:type="dxa"/>
                  <w:vAlign w:val="center"/>
                </w:tcPr>
                <w:p w14:paraId="5AE481B1">
                  <w:pPr>
                    <w:jc w:val="center"/>
                    <w:rPr>
                      <w:rFonts w:ascii="Times New Roman" w:hAnsi="Times New Roman"/>
                      <w:szCs w:val="21"/>
                    </w:rPr>
                  </w:pPr>
                  <w:r>
                    <w:rPr>
                      <w:rFonts w:ascii="Times New Roman" w:hAnsi="Times New Roman"/>
                      <w:szCs w:val="21"/>
                    </w:rPr>
                    <w:t>0.26</w:t>
                  </w:r>
                </w:p>
              </w:tc>
              <w:tc>
                <w:tcPr>
                  <w:tcW w:w="993" w:type="dxa"/>
                  <w:vAlign w:val="center"/>
                </w:tcPr>
                <w:p w14:paraId="0B5058CB">
                  <w:pPr>
                    <w:jc w:val="center"/>
                    <w:rPr>
                      <w:rFonts w:ascii="Times New Roman" w:hAnsi="Times New Roman"/>
                      <w:szCs w:val="21"/>
                    </w:rPr>
                  </w:pPr>
                  <w:r>
                    <w:rPr>
                      <w:rFonts w:ascii="Times New Roman" w:hAnsi="Times New Roman"/>
                      <w:szCs w:val="21"/>
                    </w:rPr>
                    <w:t>0.52</w:t>
                  </w:r>
                </w:p>
              </w:tc>
              <w:tc>
                <w:tcPr>
                  <w:tcW w:w="992" w:type="dxa"/>
                  <w:vAlign w:val="center"/>
                </w:tcPr>
                <w:p w14:paraId="246B1008">
                  <w:pPr>
                    <w:jc w:val="center"/>
                    <w:rPr>
                      <w:rFonts w:ascii="Times New Roman" w:hAnsi="Times New Roman"/>
                      <w:szCs w:val="21"/>
                    </w:rPr>
                  </w:pPr>
                  <w:r>
                    <w:rPr>
                      <w:rFonts w:ascii="Times New Roman" w:hAnsi="Times New Roman"/>
                      <w:szCs w:val="21"/>
                    </w:rPr>
                    <w:t>0.78</w:t>
                  </w:r>
                </w:p>
              </w:tc>
              <w:tc>
                <w:tcPr>
                  <w:tcW w:w="992" w:type="dxa"/>
                  <w:vAlign w:val="center"/>
                </w:tcPr>
                <w:p w14:paraId="3A52C3CB">
                  <w:pPr>
                    <w:jc w:val="center"/>
                    <w:rPr>
                      <w:rFonts w:ascii="Times New Roman" w:hAnsi="Times New Roman"/>
                      <w:szCs w:val="21"/>
                    </w:rPr>
                  </w:pPr>
                  <w:r>
                    <w:rPr>
                      <w:rFonts w:ascii="Times New Roman" w:hAnsi="Times New Roman"/>
                      <w:szCs w:val="21"/>
                    </w:rPr>
                    <w:t>1.04</w:t>
                  </w:r>
                </w:p>
              </w:tc>
              <w:tc>
                <w:tcPr>
                  <w:tcW w:w="873" w:type="dxa"/>
                  <w:vAlign w:val="center"/>
                </w:tcPr>
                <w:p w14:paraId="142E2821">
                  <w:pPr>
                    <w:jc w:val="center"/>
                    <w:rPr>
                      <w:rFonts w:ascii="Times New Roman" w:hAnsi="Times New Roman"/>
                      <w:szCs w:val="21"/>
                    </w:rPr>
                  </w:pPr>
                  <w:r>
                    <w:rPr>
                      <w:rFonts w:ascii="Times New Roman" w:hAnsi="Times New Roman"/>
                      <w:szCs w:val="21"/>
                    </w:rPr>
                    <w:t>1.30</w:t>
                  </w:r>
                </w:p>
              </w:tc>
            </w:tr>
            <w:tr w14:paraId="33EF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vMerge w:val="continue"/>
                  <w:vAlign w:val="center"/>
                </w:tcPr>
                <w:p w14:paraId="51696FCF">
                  <w:pPr>
                    <w:pStyle w:val="2"/>
                    <w:spacing w:after="0" w:line="331" w:lineRule="auto"/>
                    <w:ind w:left="0" w:leftChars="0" w:firstLine="0" w:firstLineChars="0"/>
                    <w:jc w:val="center"/>
                    <w:rPr>
                      <w:szCs w:val="21"/>
                    </w:rPr>
                  </w:pPr>
                </w:p>
              </w:tc>
              <w:tc>
                <w:tcPr>
                  <w:tcW w:w="1301" w:type="dxa"/>
                  <w:vAlign w:val="center"/>
                </w:tcPr>
                <w:p w14:paraId="54F339C1">
                  <w:pPr>
                    <w:pStyle w:val="2"/>
                    <w:spacing w:after="0" w:line="331" w:lineRule="auto"/>
                    <w:ind w:left="0" w:leftChars="0" w:firstLine="0" w:firstLineChars="0"/>
                    <w:jc w:val="center"/>
                    <w:rPr>
                      <w:szCs w:val="21"/>
                    </w:rPr>
                  </w:pPr>
                  <w:r>
                    <w:rPr>
                      <w:szCs w:val="21"/>
                    </w:rPr>
                    <w:t>30</w:t>
                  </w:r>
                </w:p>
              </w:tc>
              <w:tc>
                <w:tcPr>
                  <w:tcW w:w="1134" w:type="dxa"/>
                  <w:vAlign w:val="center"/>
                </w:tcPr>
                <w:p w14:paraId="11FB8DFD">
                  <w:pPr>
                    <w:jc w:val="center"/>
                    <w:rPr>
                      <w:rFonts w:ascii="Times New Roman" w:hAnsi="Times New Roman"/>
                      <w:szCs w:val="21"/>
                    </w:rPr>
                  </w:pPr>
                  <w:r>
                    <w:rPr>
                      <w:rFonts w:ascii="Times New Roman" w:hAnsi="Times New Roman"/>
                      <w:szCs w:val="21"/>
                    </w:rPr>
                    <w:t>0.06</w:t>
                  </w:r>
                </w:p>
              </w:tc>
              <w:tc>
                <w:tcPr>
                  <w:tcW w:w="992" w:type="dxa"/>
                  <w:vAlign w:val="center"/>
                </w:tcPr>
                <w:p w14:paraId="7A82D376">
                  <w:pPr>
                    <w:jc w:val="center"/>
                    <w:rPr>
                      <w:rFonts w:ascii="Times New Roman" w:hAnsi="Times New Roman"/>
                      <w:szCs w:val="21"/>
                    </w:rPr>
                  </w:pPr>
                  <w:r>
                    <w:rPr>
                      <w:rFonts w:ascii="Times New Roman" w:hAnsi="Times New Roman"/>
                      <w:szCs w:val="21"/>
                    </w:rPr>
                    <w:t>0.12</w:t>
                  </w:r>
                </w:p>
              </w:tc>
              <w:tc>
                <w:tcPr>
                  <w:tcW w:w="993" w:type="dxa"/>
                  <w:vAlign w:val="center"/>
                </w:tcPr>
                <w:p w14:paraId="07F74AAF">
                  <w:pPr>
                    <w:jc w:val="center"/>
                    <w:rPr>
                      <w:rFonts w:ascii="Times New Roman" w:hAnsi="Times New Roman"/>
                      <w:szCs w:val="21"/>
                    </w:rPr>
                  </w:pPr>
                  <w:r>
                    <w:rPr>
                      <w:rFonts w:ascii="Times New Roman" w:hAnsi="Times New Roman"/>
                      <w:szCs w:val="21"/>
                    </w:rPr>
                    <w:t>0.23</w:t>
                  </w:r>
                </w:p>
              </w:tc>
              <w:tc>
                <w:tcPr>
                  <w:tcW w:w="992" w:type="dxa"/>
                  <w:vAlign w:val="center"/>
                </w:tcPr>
                <w:p w14:paraId="34F8D5F2">
                  <w:pPr>
                    <w:jc w:val="center"/>
                    <w:rPr>
                      <w:rFonts w:ascii="Times New Roman" w:hAnsi="Times New Roman"/>
                      <w:szCs w:val="21"/>
                    </w:rPr>
                  </w:pPr>
                  <w:r>
                    <w:rPr>
                      <w:rFonts w:ascii="Times New Roman" w:hAnsi="Times New Roman"/>
                      <w:szCs w:val="21"/>
                    </w:rPr>
                    <w:t>0.35</w:t>
                  </w:r>
                </w:p>
              </w:tc>
              <w:tc>
                <w:tcPr>
                  <w:tcW w:w="992" w:type="dxa"/>
                  <w:vAlign w:val="center"/>
                </w:tcPr>
                <w:p w14:paraId="49346B7F">
                  <w:pPr>
                    <w:jc w:val="center"/>
                    <w:rPr>
                      <w:rFonts w:ascii="Times New Roman" w:hAnsi="Times New Roman"/>
                      <w:szCs w:val="21"/>
                    </w:rPr>
                  </w:pPr>
                  <w:r>
                    <w:rPr>
                      <w:rFonts w:ascii="Times New Roman" w:hAnsi="Times New Roman"/>
                      <w:szCs w:val="21"/>
                    </w:rPr>
                    <w:t>0.48</w:t>
                  </w:r>
                </w:p>
              </w:tc>
              <w:tc>
                <w:tcPr>
                  <w:tcW w:w="873" w:type="dxa"/>
                  <w:vAlign w:val="center"/>
                </w:tcPr>
                <w:p w14:paraId="7B0CC505">
                  <w:pPr>
                    <w:jc w:val="center"/>
                    <w:rPr>
                      <w:rFonts w:ascii="Times New Roman" w:hAnsi="Times New Roman"/>
                      <w:szCs w:val="21"/>
                    </w:rPr>
                  </w:pPr>
                  <w:r>
                    <w:rPr>
                      <w:rFonts w:ascii="Times New Roman" w:hAnsi="Times New Roman"/>
                      <w:szCs w:val="21"/>
                    </w:rPr>
                    <w:t>0.60</w:t>
                  </w:r>
                </w:p>
              </w:tc>
            </w:tr>
          </w:tbl>
          <w:p w14:paraId="7CB0F941">
            <w:pPr>
              <w:pStyle w:val="2"/>
              <w:spacing w:after="0" w:line="360" w:lineRule="exact"/>
              <w:ind w:left="0" w:leftChars="0" w:firstLine="480"/>
              <w:rPr>
                <w:sz w:val="24"/>
              </w:rPr>
            </w:pPr>
            <w:r>
              <w:rPr>
                <w:sz w:val="24"/>
              </w:rPr>
              <w:t>2.辐射事故影响综合分析</w:t>
            </w:r>
          </w:p>
          <w:p w14:paraId="2C573B6F">
            <w:pPr>
              <w:pStyle w:val="2"/>
              <w:spacing w:after="0" w:line="360" w:lineRule="exact"/>
              <w:ind w:left="0" w:leftChars="0" w:firstLine="482"/>
              <w:rPr>
                <w:rFonts w:eastAsiaTheme="minorEastAsia"/>
                <w:sz w:val="24"/>
              </w:rPr>
            </w:pPr>
            <w:r>
              <w:rPr>
                <w:rFonts w:eastAsiaTheme="minorEastAsia"/>
                <w:b/>
                <w:bCs/>
                <w:sz w:val="24"/>
              </w:rPr>
              <w:t>根据上述事故情况分析，本次评价事故分析考虑最大可信事故，即</w:t>
            </w:r>
            <w:r>
              <w:rPr>
                <w:rFonts w:eastAsiaTheme="minorEastAsia"/>
                <w:sz w:val="24"/>
              </w:rPr>
              <w:t>X</w:t>
            </w:r>
            <w:r>
              <w:rPr>
                <w:rFonts w:eastAsiaTheme="minorEastAsia"/>
                <w:b/>
                <w:bCs/>
                <w:sz w:val="24"/>
              </w:rPr>
              <w:t>射线探伤机被误开机，无屏蔽防护遮挡且无防护，主射方向上造成职业人员及公众被误照射。</w:t>
            </w:r>
            <w:r>
              <w:rPr>
                <w:rFonts w:eastAsiaTheme="minorEastAsia"/>
                <w:sz w:val="24"/>
              </w:rPr>
              <w:t>根据计算可知，本项目野外（室外）探伤最大可能受照剂量为717.50mSv/次，高于《电离辐射防护与辐射源安全基本标准》（GB 18871-2002）规定的职业人员20mSv/a的剂量限值，亦超过公众1mSv/a的剂量限值，结合表11-9、11-10可知，会构成一般辐射事故。但随着时间推移，若人员未及时撤离或采取相应措施，人员受照剂量将不断累加，以至于可能构成较大甚至于更高的辐射事故等级。</w:t>
            </w:r>
          </w:p>
          <w:p w14:paraId="298FDEE0">
            <w:pPr>
              <w:pStyle w:val="2"/>
              <w:spacing w:after="0" w:line="360" w:lineRule="exact"/>
              <w:ind w:left="0" w:leftChars="0" w:firstLine="480"/>
              <w:rPr>
                <w:rFonts w:eastAsiaTheme="minorEastAsia"/>
                <w:sz w:val="24"/>
              </w:rPr>
            </w:pPr>
            <w:r>
              <w:rPr>
                <w:rFonts w:eastAsiaTheme="minorEastAsia"/>
                <w:sz w:val="24"/>
              </w:rPr>
              <w:t>根据上述情况及其危害结果，结合分析，若本项目发生辐射事故，最大可能为</w:t>
            </w:r>
            <w:r>
              <w:rPr>
                <w:rFonts w:eastAsiaTheme="minorEastAsia"/>
                <w:b/>
                <w:bCs/>
                <w:sz w:val="24"/>
              </w:rPr>
              <w:t>一般辐射事故</w:t>
            </w:r>
            <w:r>
              <w:rPr>
                <w:rFonts w:eastAsiaTheme="minorEastAsia"/>
                <w:sz w:val="24"/>
              </w:rPr>
              <w:t>。本项目射线装置一旦发生辐射事故，应立即切断电源，停止射线装置。建设单位在管理中必须认真执行安全操作规程和各项规章制度，强化安全管理，杜绝此类事故发生。</w:t>
            </w:r>
          </w:p>
          <w:p w14:paraId="0F661124">
            <w:pPr>
              <w:pStyle w:val="2"/>
              <w:spacing w:after="0" w:line="360" w:lineRule="exact"/>
              <w:ind w:left="0" w:leftChars="0" w:firstLine="419" w:firstLineChars="174"/>
              <w:rPr>
                <w:rFonts w:eastAsiaTheme="minorEastAsia"/>
                <w:sz w:val="24"/>
              </w:rPr>
            </w:pPr>
            <w:r>
              <w:rPr>
                <w:rFonts w:eastAsiaTheme="minorEastAsia"/>
                <w:b/>
                <w:sz w:val="24"/>
              </w:rPr>
              <w:t>四、事故风险预防措施及应急预案</w:t>
            </w:r>
          </w:p>
          <w:p w14:paraId="59AC5CC8">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为杜绝上述辐射事故的发生，建设单位需严格执行以下风险预防措施：</w:t>
            </w:r>
          </w:p>
          <w:p w14:paraId="4470422B">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1、要求定期对单位射线装置的安全和防护措施，设施的安全防护效果进行检测和检查，完善各项管理制度，并严格执行。</w:t>
            </w:r>
          </w:p>
          <w:p w14:paraId="21A73979">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2、室外探伤时需严格执行</w:t>
            </w:r>
            <w:r>
              <w:rPr>
                <w:rFonts w:ascii="Times New Roman" w:hAnsi="Times New Roman"/>
                <w:sz w:val="24"/>
              </w:rPr>
              <w:t>《工业探伤放射防护要求》（GBZ 117-2022）</w:t>
            </w:r>
            <w:r>
              <w:rPr>
                <w:rFonts w:ascii="Times New Roman" w:hAnsi="Times New Roman" w:eastAsiaTheme="minorEastAsia"/>
                <w:sz w:val="24"/>
              </w:rPr>
              <w:t>中关于事前公告、安全防护区设置、探伤工作区清场、巡视等要求。定期对探伤机进行维护，现场探伤时，先进行清场，控制区边界悬挂“禁止进入X射线区”警告牌、监督区边界设置“无关人员禁止入内”警告牌、设置专人警戒巡逻。并在控制区边界设置“预备”和“照射”状态的工作信号灯。</w:t>
            </w:r>
          </w:p>
          <w:p w14:paraId="2754A63C">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3、建设单位所有辐射工作人员均进行专业培训，并加强管理，禁止未经过培训的操作人员操作X射线机。（学习网站为</w:t>
            </w:r>
            <w:r>
              <w:fldChar w:fldCharType="begin"/>
            </w:r>
            <w:r>
              <w:instrText xml:space="preserve"> HYPERLINK "http://fushe.mee.gov.cn/" </w:instrText>
            </w:r>
            <w:r>
              <w:fldChar w:fldCharType="separate"/>
            </w:r>
            <w:r>
              <w:rPr>
                <w:rStyle w:val="42"/>
                <w:rFonts w:ascii="Times New Roman" w:hAnsi="Times New Roman" w:eastAsiaTheme="minorEastAsia"/>
                <w:color w:val="auto"/>
                <w:sz w:val="24"/>
              </w:rPr>
              <w:t>http://fushe.mee.gov.cn/</w:t>
            </w:r>
            <w:r>
              <w:rPr>
                <w:rStyle w:val="42"/>
                <w:rFonts w:ascii="Times New Roman" w:hAnsi="Times New Roman" w:eastAsiaTheme="minorEastAsia"/>
                <w:color w:val="auto"/>
                <w:sz w:val="24"/>
              </w:rPr>
              <w:fldChar w:fldCharType="end"/>
            </w:r>
            <w:r>
              <w:rPr>
                <w:rFonts w:ascii="Times New Roman" w:hAnsi="Times New Roman" w:eastAsiaTheme="minorEastAsia"/>
                <w:sz w:val="24"/>
              </w:rPr>
              <w:t>）</w:t>
            </w:r>
          </w:p>
          <w:p w14:paraId="757A0603">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4、加强对X射线机在贮存、使用现场的管理，防止发生射线机的被盗、丢失。当发生X射线意外事故，应立即关机断电，启动应急预案，同时估计事故剂量，据此判断是否实施医学监护，对可能受辐射损伤的人员立即采取救护措施。设备检测时，必须先切断电源，然后按规定程序对设备进行检测。要求探伤机操作人员遵守相关操作规程，严格细致的开展工作，杜绝事故的发生。</w:t>
            </w:r>
          </w:p>
          <w:p w14:paraId="70CF63FB">
            <w:pPr>
              <w:spacing w:line="360" w:lineRule="exact"/>
              <w:ind w:firstLine="480" w:firstLineChars="200"/>
              <w:rPr>
                <w:rFonts w:ascii="Times New Roman" w:hAnsi="Times New Roman" w:eastAsiaTheme="minorEastAsia"/>
                <w:sz w:val="24"/>
              </w:rPr>
            </w:pPr>
            <w:r>
              <w:rPr>
                <w:rFonts w:ascii="Times New Roman" w:hAnsi="Times New Roman" w:eastAsiaTheme="minorEastAsia"/>
                <w:sz w:val="24"/>
              </w:rPr>
              <w:t>5、加强辐射安全管理，建设单位已成立了辐射安全与环境保护管理领导小组（见附件），负责全单位辐射防护工作的监督、监测、检查、指导和管理；负责收集、整理、分析全单位辐射防护的有关资料，掌握辐射防护的发展趋势，及时制定并采取防护措施；督促各有关人员采取有效的防护措施，合理使用个人防护用品，遵守个人防护守则，使个人辐射剂量保持在最低水平，并对放射工作人员建立健康档案，负责辐射防护的培训、咨询及技术指导。</w:t>
            </w:r>
          </w:p>
        </w:tc>
      </w:tr>
    </w:tbl>
    <w:p w14:paraId="0E58820E">
      <w:pPr>
        <w:pStyle w:val="14"/>
        <w:jc w:val="left"/>
        <w:outlineLvl w:val="0"/>
        <w:rPr>
          <w:rFonts w:ascii="Times New Roman" w:hAnsi="Times New Roman"/>
          <w:b/>
          <w:bCs/>
          <w:szCs w:val="28"/>
        </w:rPr>
        <w:sectPr>
          <w:pgSz w:w="11906" w:h="16838"/>
          <w:pgMar w:top="1134" w:right="1134" w:bottom="1134" w:left="1701" w:header="851" w:footer="851" w:gutter="0"/>
          <w:cols w:space="720" w:num="1"/>
          <w:docGrid w:linePitch="312" w:charSpace="0"/>
        </w:sectPr>
      </w:pPr>
    </w:p>
    <w:p w14:paraId="0652B668">
      <w:pPr>
        <w:pStyle w:val="14"/>
        <w:jc w:val="left"/>
        <w:outlineLvl w:val="0"/>
        <w:rPr>
          <w:rFonts w:ascii="Times New Roman" w:hAnsi="Times New Roman"/>
          <w:b/>
          <w:bCs/>
          <w:sz w:val="30"/>
          <w:szCs w:val="30"/>
        </w:rPr>
      </w:pPr>
      <w:bookmarkStart w:id="44" w:name="_Toc188277749"/>
      <w:r>
        <w:rPr>
          <w:rFonts w:ascii="Times New Roman" w:hAnsi="Times New Roman"/>
          <w:b/>
          <w:bCs/>
          <w:szCs w:val="28"/>
        </w:rPr>
        <w:t>表12 辐射安全管理</w:t>
      </w:r>
      <w:bookmarkEnd w:id="44"/>
    </w:p>
    <w:tbl>
      <w:tblPr>
        <w:tblStyle w:val="36"/>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3"/>
      </w:tblGrid>
      <w:tr w14:paraId="0FA7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263" w:type="dxa"/>
          </w:tcPr>
          <w:p w14:paraId="2E2C7532">
            <w:pPr>
              <w:adjustRightInd w:val="0"/>
              <w:snapToGrid w:val="0"/>
              <w:spacing w:before="120" w:beforeLines="50" w:line="360" w:lineRule="auto"/>
              <w:jc w:val="left"/>
              <w:rPr>
                <w:rFonts w:ascii="Times New Roman" w:hAnsi="Times New Roman"/>
                <w:b/>
                <w:bCs/>
                <w:sz w:val="28"/>
                <w:szCs w:val="28"/>
              </w:rPr>
            </w:pPr>
            <w:r>
              <w:rPr>
                <w:rFonts w:ascii="Times New Roman" w:hAnsi="Times New Roman"/>
                <w:b/>
                <w:bCs/>
                <w:sz w:val="28"/>
                <w:szCs w:val="28"/>
              </w:rPr>
              <w:t>辐射安全与环境保护管理机构的设置</w:t>
            </w:r>
          </w:p>
          <w:p w14:paraId="7A98C897">
            <w:pPr>
              <w:adjustRightInd w:val="0"/>
              <w:snapToGrid w:val="0"/>
              <w:spacing w:line="360" w:lineRule="auto"/>
              <w:ind w:firstLine="482" w:firstLineChars="200"/>
              <w:rPr>
                <w:rFonts w:ascii="Times New Roman" w:hAnsi="Times New Roman"/>
                <w:b/>
                <w:sz w:val="24"/>
              </w:rPr>
            </w:pPr>
            <w:r>
              <w:rPr>
                <w:rFonts w:ascii="Times New Roman" w:hAnsi="Times New Roman"/>
                <w:b/>
                <w:sz w:val="24"/>
              </w:rPr>
              <w:t>1、环境管理机构</w:t>
            </w:r>
          </w:p>
          <w:p w14:paraId="5254495B">
            <w:pPr>
              <w:adjustRightInd w:val="0"/>
              <w:snapToGrid w:val="0"/>
              <w:spacing w:line="360" w:lineRule="auto"/>
              <w:ind w:firstLine="480" w:firstLineChars="200"/>
              <w:rPr>
                <w:rFonts w:ascii="Times New Roman" w:hAnsi="Times New Roman"/>
                <w:sz w:val="24"/>
              </w:rPr>
            </w:pPr>
            <w:r>
              <w:rPr>
                <w:rFonts w:ascii="Times New Roman" w:hAnsi="Times New Roman"/>
                <w:sz w:val="24"/>
              </w:rPr>
              <w:t>为了贯彻执行国家放射性污染防治的法律法规，落实国家生态环境部颁布的有关辐射安全管理文件精神，加强单位辐射安全管理工作，强化责任意识、安全意识，建设单位于2024年12月成立了辐射安全与防护管理领导小组（附件2），明确辐射防护与安全管理领导小组的人员及职责，机构设置如下：</w:t>
            </w:r>
          </w:p>
          <w:p w14:paraId="068F15AF">
            <w:pPr>
              <w:adjustRightInd w:val="0"/>
              <w:snapToGrid w:val="0"/>
              <w:spacing w:line="360" w:lineRule="auto"/>
              <w:ind w:firstLine="480" w:firstLineChars="200"/>
              <w:rPr>
                <w:rFonts w:ascii="Times New Roman" w:hAnsi="Times New Roman"/>
                <w:sz w:val="24"/>
              </w:rPr>
            </w:pPr>
            <w:r>
              <w:rPr>
                <w:rFonts w:ascii="Times New Roman" w:hAnsi="Times New Roman"/>
                <w:sz w:val="24"/>
              </w:rPr>
              <w:t>组长：袁和新</w:t>
            </w:r>
          </w:p>
          <w:p w14:paraId="3A3F8416">
            <w:pPr>
              <w:adjustRightInd w:val="0"/>
              <w:snapToGrid w:val="0"/>
              <w:spacing w:line="360" w:lineRule="auto"/>
              <w:ind w:firstLine="480" w:firstLineChars="200"/>
              <w:rPr>
                <w:rFonts w:ascii="Times New Roman" w:hAnsi="Times New Roman"/>
                <w:sz w:val="24"/>
              </w:rPr>
            </w:pPr>
            <w:r>
              <w:rPr>
                <w:rFonts w:ascii="Times New Roman" w:hAnsi="Times New Roman"/>
                <w:sz w:val="24"/>
              </w:rPr>
              <w:t>副组长：石立威</w:t>
            </w:r>
          </w:p>
          <w:p w14:paraId="31BB0B99">
            <w:pPr>
              <w:adjustRightInd w:val="0"/>
              <w:snapToGrid w:val="0"/>
              <w:spacing w:line="360" w:lineRule="auto"/>
              <w:ind w:firstLine="480" w:firstLineChars="200"/>
              <w:rPr>
                <w:rFonts w:ascii="Times New Roman" w:hAnsi="Times New Roman"/>
                <w:sz w:val="24"/>
              </w:rPr>
            </w:pPr>
            <w:r>
              <w:rPr>
                <w:rFonts w:ascii="Times New Roman" w:hAnsi="Times New Roman"/>
                <w:sz w:val="24"/>
              </w:rPr>
              <w:t>组员：孙国庆、杨非、王然、魏鑫、卢宁、丛上棋</w:t>
            </w:r>
          </w:p>
          <w:p w14:paraId="6FB8AA9F">
            <w:pPr>
              <w:adjustRightInd w:val="0"/>
              <w:snapToGrid w:val="0"/>
              <w:spacing w:line="360" w:lineRule="auto"/>
              <w:ind w:firstLine="480" w:firstLineChars="200"/>
              <w:rPr>
                <w:rFonts w:ascii="Times New Roman" w:hAnsi="Times New Roman"/>
                <w:sz w:val="24"/>
              </w:rPr>
            </w:pPr>
            <w:r>
              <w:rPr>
                <w:rFonts w:ascii="Times New Roman" w:hAnsi="Times New Roman"/>
                <w:sz w:val="24"/>
              </w:rPr>
              <w:t>为进一步加强单位管理，提出以下建议：</w:t>
            </w:r>
          </w:p>
          <w:p w14:paraId="1A767EE4">
            <w:pPr>
              <w:adjustRightInd w:val="0"/>
              <w:snapToGrid w:val="0"/>
              <w:spacing w:line="36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认真学习贯彻国家相关法规、标准，结合本单位实际制定安全规章制度并 检查监督实施；</w:t>
            </w:r>
          </w:p>
          <w:p w14:paraId="4EEE9E4F">
            <w:pPr>
              <w:adjustRightInd w:val="0"/>
              <w:snapToGrid w:val="0"/>
              <w:spacing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负责单位辐射工作人员的法规教育和安全环保知识培训；</w:t>
            </w:r>
          </w:p>
          <w:p w14:paraId="333C205B">
            <w:pPr>
              <w:adjustRightInd w:val="0"/>
              <w:snapToGrid w:val="0"/>
              <w:spacing w:line="360" w:lineRule="auto"/>
              <w:ind w:left="420" w:leftChars="200"/>
              <w:rPr>
                <w:rFonts w:ascii="Times New Roman" w:hAnsi="Times New Roman"/>
                <w:sz w:val="24"/>
              </w:rPr>
            </w:pPr>
            <w:r>
              <w:rPr>
                <w:rFonts w:hint="eastAsia" w:ascii="宋体" w:hAnsi="宋体" w:cs="宋体"/>
                <w:sz w:val="24"/>
              </w:rPr>
              <w:t>③</w:t>
            </w:r>
            <w:r>
              <w:rPr>
                <w:rFonts w:ascii="Times New Roman" w:hAnsi="Times New Roman"/>
                <w:sz w:val="24"/>
              </w:rPr>
              <w:t xml:space="preserve">检查单位的环保设施，对单位使用X射线探伤机的安全防护情况进行年度评估； </w:t>
            </w:r>
            <w:r>
              <w:rPr>
                <w:rFonts w:hint="eastAsia" w:ascii="宋体" w:hAnsi="宋体" w:cs="宋体"/>
                <w:sz w:val="24"/>
              </w:rPr>
              <w:t>④</w:t>
            </w:r>
            <w:r>
              <w:rPr>
                <w:rFonts w:ascii="Times New Roman" w:hAnsi="Times New Roman"/>
                <w:sz w:val="24"/>
              </w:rPr>
              <w:t>实施辐射工作人员的个人剂量检测并做好个人剂量的档案管理工作；</w:t>
            </w:r>
          </w:p>
          <w:p w14:paraId="24B20CDD">
            <w:pPr>
              <w:adjustRightInd w:val="0"/>
              <w:snapToGrid w:val="0"/>
              <w:spacing w:line="360" w:lineRule="auto"/>
              <w:ind w:left="420" w:leftChars="200"/>
              <w:rPr>
                <w:rFonts w:ascii="Times New Roman" w:hAnsi="Times New Roman"/>
                <w:sz w:val="24"/>
              </w:rPr>
            </w:pPr>
            <w:r>
              <w:rPr>
                <w:rFonts w:hint="eastAsia" w:ascii="宋体" w:hAnsi="宋体" w:cs="宋体"/>
                <w:sz w:val="24"/>
              </w:rPr>
              <w:t>⑤</w:t>
            </w:r>
            <w:r>
              <w:rPr>
                <w:rFonts w:ascii="Times New Roman" w:hAnsi="Times New Roman"/>
                <w:sz w:val="24"/>
              </w:rPr>
              <w:t>定期向生态环境主管部门报告辐射安全相关工作，接受监督检查和指导。</w:t>
            </w:r>
          </w:p>
          <w:p w14:paraId="5DA450E7">
            <w:pPr>
              <w:adjustRightInd w:val="0"/>
              <w:snapToGrid w:val="0"/>
              <w:spacing w:line="360" w:lineRule="auto"/>
              <w:ind w:firstLine="482" w:firstLineChars="200"/>
              <w:rPr>
                <w:rFonts w:ascii="Times New Roman" w:hAnsi="Times New Roman"/>
                <w:b/>
                <w:sz w:val="24"/>
              </w:rPr>
            </w:pPr>
            <w:r>
              <w:rPr>
                <w:rFonts w:ascii="Times New Roman" w:hAnsi="Times New Roman"/>
                <w:b/>
                <w:sz w:val="24"/>
              </w:rPr>
              <w:t>2、“三同时”竣工验收</w:t>
            </w:r>
          </w:p>
          <w:p w14:paraId="03C086DD">
            <w:pPr>
              <w:adjustRightInd w:val="0"/>
              <w:snapToGrid w:val="0"/>
              <w:spacing w:line="360" w:lineRule="auto"/>
              <w:ind w:firstLine="480" w:firstLineChars="200"/>
              <w:rPr>
                <w:rFonts w:ascii="Times New Roman" w:hAnsi="Times New Roman"/>
                <w:sz w:val="24"/>
              </w:rPr>
            </w:pPr>
            <w:r>
              <w:rPr>
                <w:rFonts w:ascii="Times New Roman" w:hAnsi="Times New Roman"/>
                <w:sz w:val="24"/>
              </w:rPr>
              <w:t>建设项目需要配套建设的环境保护设施，必须与主体工程同时设计、同时施工、同时投产使用。建设项目“三同时”验收内容和要求见表12-1。</w:t>
            </w:r>
          </w:p>
          <w:p w14:paraId="0C0270B4">
            <w:pPr>
              <w:adjustRightInd w:val="0"/>
              <w:snapToGrid w:val="0"/>
              <w:jc w:val="center"/>
              <w:rPr>
                <w:rFonts w:ascii="Times New Roman" w:hAnsi="Times New Roman"/>
                <w:b/>
              </w:rPr>
            </w:pPr>
            <w:r>
              <w:rPr>
                <w:rFonts w:ascii="Times New Roman" w:hAnsi="Times New Roman"/>
                <w:b/>
              </w:rPr>
              <w:t>表12-1  本项目验收内容及要求</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6037"/>
              <w:gridCol w:w="1417"/>
            </w:tblGrid>
            <w:tr w14:paraId="52BE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54AA6781">
                  <w:pPr>
                    <w:pStyle w:val="2"/>
                    <w:spacing w:after="0"/>
                    <w:ind w:left="0" w:leftChars="0" w:firstLine="0" w:firstLineChars="0"/>
                    <w:jc w:val="center"/>
                    <w:rPr>
                      <w:sz w:val="13"/>
                    </w:rPr>
                  </w:pPr>
                  <w:r>
                    <w:rPr>
                      <w:b/>
                      <w:bCs/>
                      <w:szCs w:val="21"/>
                    </w:rPr>
                    <w:t>项目</w:t>
                  </w:r>
                </w:p>
              </w:tc>
              <w:tc>
                <w:tcPr>
                  <w:tcW w:w="4124" w:type="pct"/>
                  <w:gridSpan w:val="2"/>
                  <w:tcBorders>
                    <w:top w:val="single" w:color="auto" w:sz="4" w:space="0"/>
                    <w:left w:val="single" w:color="auto" w:sz="4" w:space="0"/>
                    <w:bottom w:val="single" w:color="auto" w:sz="4" w:space="0"/>
                    <w:right w:val="single" w:color="auto" w:sz="4" w:space="0"/>
                  </w:tcBorders>
                  <w:vAlign w:val="center"/>
                </w:tcPr>
                <w:p w14:paraId="5D5CF8BA">
                  <w:pPr>
                    <w:pStyle w:val="2"/>
                    <w:spacing w:after="0"/>
                    <w:ind w:left="0" w:leftChars="0" w:firstLine="0" w:firstLineChars="0"/>
                    <w:jc w:val="center"/>
                    <w:rPr>
                      <w:sz w:val="13"/>
                    </w:rPr>
                  </w:pPr>
                  <w:r>
                    <w:rPr>
                      <w:b/>
                      <w:bCs/>
                      <w:szCs w:val="21"/>
                    </w:rPr>
                    <w:t>验收内容及要求</w:t>
                  </w:r>
                </w:p>
              </w:tc>
            </w:tr>
            <w:tr w14:paraId="6ACD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20451061">
                  <w:pPr>
                    <w:pStyle w:val="2"/>
                    <w:spacing w:after="0"/>
                    <w:ind w:left="0" w:leftChars="0" w:firstLine="0" w:firstLineChars="0"/>
                    <w:jc w:val="center"/>
                    <w:rPr>
                      <w:szCs w:val="21"/>
                    </w:rPr>
                  </w:pPr>
                  <w:r>
                    <w:rPr>
                      <w:szCs w:val="21"/>
                    </w:rPr>
                    <w:t>剂量限值</w:t>
                  </w:r>
                </w:p>
              </w:tc>
              <w:tc>
                <w:tcPr>
                  <w:tcW w:w="4124" w:type="pct"/>
                  <w:gridSpan w:val="2"/>
                  <w:tcBorders>
                    <w:top w:val="single" w:color="auto" w:sz="4" w:space="0"/>
                    <w:left w:val="single" w:color="auto" w:sz="4" w:space="0"/>
                    <w:bottom w:val="single" w:color="auto" w:sz="4" w:space="0"/>
                    <w:right w:val="single" w:color="auto" w:sz="4" w:space="0"/>
                  </w:tcBorders>
                  <w:vAlign w:val="center"/>
                </w:tcPr>
                <w:p w14:paraId="453DB172">
                  <w:pPr>
                    <w:pStyle w:val="2"/>
                    <w:spacing w:after="0"/>
                    <w:ind w:left="0" w:leftChars="0" w:firstLine="0" w:firstLineChars="0"/>
                    <w:rPr>
                      <w:szCs w:val="21"/>
                    </w:rPr>
                  </w:pPr>
                  <w:r>
                    <w:rPr>
                      <w:szCs w:val="21"/>
                    </w:rPr>
                    <w:t>《电离辐射防护与辐射源安全基本标准》（GB 18871-2002）中职业人员每年所受到的有效剂量不超过20mSv，关键人群组的公众成员每年所接受的平均有效剂量不超过1mSv作为评价标准；本项目职业人员的剂量约束值为5mSv/a，公众成员的剂量约束值为0.25mSv/a。</w:t>
                  </w:r>
                </w:p>
              </w:tc>
            </w:tr>
            <w:tr w14:paraId="241E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restart"/>
                  <w:vAlign w:val="center"/>
                </w:tcPr>
                <w:p w14:paraId="00E4133F">
                  <w:pPr>
                    <w:pStyle w:val="2"/>
                    <w:spacing w:after="0"/>
                    <w:ind w:left="0" w:leftChars="0" w:firstLine="0" w:firstLineChars="0"/>
                    <w:jc w:val="center"/>
                    <w:rPr>
                      <w:sz w:val="13"/>
                    </w:rPr>
                  </w:pPr>
                  <w:r>
                    <w:rPr>
                      <w:szCs w:val="21"/>
                    </w:rPr>
                    <w:t>警告标识</w:t>
                  </w:r>
                </w:p>
              </w:tc>
              <w:tc>
                <w:tcPr>
                  <w:tcW w:w="3340" w:type="pct"/>
                  <w:vAlign w:val="center"/>
                </w:tcPr>
                <w:p w14:paraId="7E4438B2">
                  <w:pPr>
                    <w:pStyle w:val="2"/>
                    <w:spacing w:after="0"/>
                    <w:ind w:left="0" w:leftChars="0" w:firstLine="0" w:firstLineChars="0"/>
                    <w:jc w:val="center"/>
                    <w:rPr>
                      <w:sz w:val="13"/>
                    </w:rPr>
                  </w:pPr>
                  <w:r>
                    <w:rPr>
                      <w:szCs w:val="21"/>
                    </w:rPr>
                    <w:t>作业公告牌、安全信息公示牌（面积应不小于2m</w:t>
                  </w:r>
                  <w:r>
                    <w:rPr>
                      <w:szCs w:val="21"/>
                      <w:vertAlign w:val="superscript"/>
                    </w:rPr>
                    <w:t>2</w:t>
                  </w:r>
                  <w:r>
                    <w:rPr>
                      <w:szCs w:val="21"/>
                    </w:rPr>
                    <w:t>）</w:t>
                  </w:r>
                </w:p>
              </w:tc>
              <w:tc>
                <w:tcPr>
                  <w:tcW w:w="784" w:type="pct"/>
                  <w:vAlign w:val="center"/>
                </w:tcPr>
                <w:p w14:paraId="1A3FFECD">
                  <w:pPr>
                    <w:pStyle w:val="2"/>
                    <w:spacing w:after="0"/>
                    <w:ind w:left="0" w:leftChars="0" w:firstLine="0" w:firstLineChars="0"/>
                    <w:jc w:val="center"/>
                    <w:rPr>
                      <w:sz w:val="13"/>
                    </w:rPr>
                  </w:pPr>
                  <w:r>
                    <w:rPr>
                      <w:szCs w:val="21"/>
                    </w:rPr>
                    <w:t>至少1个</w:t>
                  </w:r>
                </w:p>
              </w:tc>
            </w:tr>
            <w:tr w14:paraId="4E99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491083C7">
                  <w:pPr>
                    <w:pStyle w:val="2"/>
                    <w:ind w:left="0" w:leftChars="0" w:firstLine="0" w:firstLineChars="0"/>
                    <w:jc w:val="center"/>
                    <w:rPr>
                      <w:sz w:val="13"/>
                    </w:rPr>
                  </w:pPr>
                </w:p>
              </w:tc>
              <w:tc>
                <w:tcPr>
                  <w:tcW w:w="3340" w:type="pct"/>
                  <w:vAlign w:val="center"/>
                </w:tcPr>
                <w:p w14:paraId="19021576">
                  <w:pPr>
                    <w:pStyle w:val="2"/>
                    <w:spacing w:after="0"/>
                    <w:ind w:left="0" w:leftChars="0" w:firstLine="0" w:firstLineChars="0"/>
                    <w:jc w:val="center"/>
                    <w:rPr>
                      <w:sz w:val="13"/>
                    </w:rPr>
                  </w:pPr>
                  <w:r>
                    <w:rPr>
                      <w:szCs w:val="21"/>
                    </w:rPr>
                    <w:t>电离辐射警告标志若干、现场警示标志若干、安全警示线若干</w:t>
                  </w:r>
                </w:p>
              </w:tc>
              <w:tc>
                <w:tcPr>
                  <w:tcW w:w="784" w:type="pct"/>
                  <w:vAlign w:val="center"/>
                </w:tcPr>
                <w:p w14:paraId="7FFE01D7">
                  <w:pPr>
                    <w:pStyle w:val="2"/>
                    <w:spacing w:after="0"/>
                    <w:ind w:left="0" w:leftChars="0" w:firstLine="0" w:firstLineChars="0"/>
                    <w:jc w:val="center"/>
                    <w:rPr>
                      <w:sz w:val="13"/>
                    </w:rPr>
                  </w:pPr>
                  <w:r>
                    <w:rPr>
                      <w:szCs w:val="21"/>
                    </w:rPr>
                    <w:t>至少1套</w:t>
                  </w:r>
                </w:p>
              </w:tc>
            </w:tr>
            <w:tr w14:paraId="3740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restart"/>
                  <w:vAlign w:val="center"/>
                </w:tcPr>
                <w:p w14:paraId="75E4DF4D">
                  <w:pPr>
                    <w:pStyle w:val="2"/>
                    <w:spacing w:after="0"/>
                    <w:ind w:left="0" w:leftChars="0" w:firstLine="0" w:firstLineChars="0"/>
                    <w:jc w:val="center"/>
                    <w:rPr>
                      <w:sz w:val="13"/>
                    </w:rPr>
                  </w:pPr>
                  <w:r>
                    <w:rPr>
                      <w:szCs w:val="21"/>
                    </w:rPr>
                    <w:t>通讯设施</w:t>
                  </w:r>
                </w:p>
              </w:tc>
              <w:tc>
                <w:tcPr>
                  <w:tcW w:w="3340" w:type="pct"/>
                  <w:vAlign w:val="center"/>
                </w:tcPr>
                <w:p w14:paraId="01097219">
                  <w:pPr>
                    <w:pStyle w:val="2"/>
                    <w:spacing w:after="0"/>
                    <w:ind w:left="0" w:leftChars="0" w:firstLine="0" w:firstLineChars="0"/>
                    <w:jc w:val="center"/>
                    <w:rPr>
                      <w:sz w:val="13"/>
                    </w:rPr>
                  </w:pPr>
                  <w:r>
                    <w:rPr>
                      <w:szCs w:val="21"/>
                    </w:rPr>
                    <w:t>大功率喊话器</w:t>
                  </w:r>
                </w:p>
              </w:tc>
              <w:tc>
                <w:tcPr>
                  <w:tcW w:w="784" w:type="pct"/>
                  <w:vAlign w:val="center"/>
                </w:tcPr>
                <w:p w14:paraId="626AD37D">
                  <w:pPr>
                    <w:pStyle w:val="2"/>
                    <w:spacing w:after="0"/>
                    <w:ind w:left="0" w:leftChars="0" w:firstLine="0" w:firstLineChars="0"/>
                    <w:jc w:val="center"/>
                    <w:rPr>
                      <w:sz w:val="13"/>
                    </w:rPr>
                  </w:pPr>
                  <w:r>
                    <w:rPr>
                      <w:szCs w:val="21"/>
                    </w:rPr>
                    <w:t>1个</w:t>
                  </w:r>
                </w:p>
              </w:tc>
            </w:tr>
            <w:tr w14:paraId="6F13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3AFA4AD8">
                  <w:pPr>
                    <w:pStyle w:val="2"/>
                    <w:ind w:left="0" w:leftChars="0" w:firstLine="0" w:firstLineChars="0"/>
                    <w:jc w:val="center"/>
                    <w:rPr>
                      <w:sz w:val="13"/>
                    </w:rPr>
                  </w:pPr>
                </w:p>
              </w:tc>
              <w:tc>
                <w:tcPr>
                  <w:tcW w:w="3340" w:type="pct"/>
                  <w:vAlign w:val="center"/>
                </w:tcPr>
                <w:p w14:paraId="7FBF6610">
                  <w:pPr>
                    <w:pStyle w:val="2"/>
                    <w:spacing w:after="0"/>
                    <w:ind w:left="0" w:leftChars="0" w:firstLine="0" w:firstLineChars="0"/>
                    <w:jc w:val="center"/>
                    <w:rPr>
                      <w:sz w:val="13"/>
                    </w:rPr>
                  </w:pPr>
                  <w:r>
                    <w:rPr>
                      <w:szCs w:val="21"/>
                    </w:rPr>
                    <w:t>对讲机</w:t>
                  </w:r>
                </w:p>
              </w:tc>
              <w:tc>
                <w:tcPr>
                  <w:tcW w:w="784" w:type="pct"/>
                  <w:vAlign w:val="center"/>
                </w:tcPr>
                <w:p w14:paraId="6CBB78BC">
                  <w:pPr>
                    <w:pStyle w:val="2"/>
                    <w:spacing w:after="0"/>
                    <w:ind w:left="0" w:leftChars="0" w:firstLine="0" w:firstLineChars="0"/>
                    <w:jc w:val="center"/>
                    <w:rPr>
                      <w:sz w:val="13"/>
                    </w:rPr>
                  </w:pPr>
                  <w:r>
                    <w:rPr>
                      <w:szCs w:val="21"/>
                    </w:rPr>
                    <w:t>3个</w:t>
                  </w:r>
                </w:p>
              </w:tc>
            </w:tr>
            <w:tr w14:paraId="734D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restart"/>
                  <w:vAlign w:val="center"/>
                </w:tcPr>
                <w:p w14:paraId="5FFF66F1">
                  <w:pPr>
                    <w:pStyle w:val="2"/>
                    <w:spacing w:after="0"/>
                    <w:ind w:left="0" w:leftChars="0" w:firstLine="0" w:firstLineChars="0"/>
                    <w:jc w:val="center"/>
                    <w:rPr>
                      <w:sz w:val="13"/>
                    </w:rPr>
                  </w:pPr>
                  <w:r>
                    <w:rPr>
                      <w:szCs w:val="21"/>
                    </w:rPr>
                    <w:t>个人防护用品</w:t>
                  </w:r>
                </w:p>
              </w:tc>
              <w:tc>
                <w:tcPr>
                  <w:tcW w:w="3340" w:type="pct"/>
                  <w:vAlign w:val="center"/>
                </w:tcPr>
                <w:p w14:paraId="4A028C60">
                  <w:pPr>
                    <w:pStyle w:val="2"/>
                    <w:spacing w:after="0"/>
                    <w:ind w:left="0" w:leftChars="0" w:firstLine="0" w:firstLineChars="0"/>
                    <w:jc w:val="center"/>
                    <w:rPr>
                      <w:sz w:val="13"/>
                    </w:rPr>
                  </w:pPr>
                  <w:r>
                    <w:rPr>
                      <w:szCs w:val="21"/>
                    </w:rPr>
                    <w:t>个人剂量计</w:t>
                  </w:r>
                </w:p>
              </w:tc>
              <w:tc>
                <w:tcPr>
                  <w:tcW w:w="784" w:type="pct"/>
                  <w:vAlign w:val="center"/>
                </w:tcPr>
                <w:p w14:paraId="5ED02CA5">
                  <w:pPr>
                    <w:pStyle w:val="2"/>
                    <w:spacing w:after="0"/>
                    <w:ind w:left="0" w:leftChars="0" w:firstLine="0" w:firstLineChars="0"/>
                    <w:jc w:val="center"/>
                    <w:rPr>
                      <w:sz w:val="13"/>
                    </w:rPr>
                  </w:pPr>
                  <w:r>
                    <w:rPr>
                      <w:szCs w:val="21"/>
                    </w:rPr>
                    <w:t>8套</w:t>
                  </w:r>
                </w:p>
              </w:tc>
            </w:tr>
            <w:tr w14:paraId="179B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022A167A">
                  <w:pPr>
                    <w:pStyle w:val="2"/>
                    <w:ind w:left="0" w:leftChars="0" w:firstLine="0" w:firstLineChars="0"/>
                    <w:jc w:val="center"/>
                    <w:rPr>
                      <w:sz w:val="13"/>
                    </w:rPr>
                  </w:pPr>
                </w:p>
              </w:tc>
              <w:tc>
                <w:tcPr>
                  <w:tcW w:w="3340" w:type="pct"/>
                  <w:vAlign w:val="center"/>
                </w:tcPr>
                <w:p w14:paraId="3FACC520">
                  <w:pPr>
                    <w:pStyle w:val="2"/>
                    <w:spacing w:after="0"/>
                    <w:ind w:left="0" w:leftChars="0" w:firstLine="0" w:firstLineChars="0"/>
                    <w:jc w:val="center"/>
                    <w:rPr>
                      <w:sz w:val="13"/>
                    </w:rPr>
                  </w:pPr>
                  <w:r>
                    <w:rPr>
                      <w:szCs w:val="21"/>
                    </w:rPr>
                    <w:t>个人剂量报警仪</w:t>
                  </w:r>
                </w:p>
              </w:tc>
              <w:tc>
                <w:tcPr>
                  <w:tcW w:w="784" w:type="pct"/>
                  <w:vAlign w:val="center"/>
                </w:tcPr>
                <w:p w14:paraId="6213406D">
                  <w:pPr>
                    <w:pStyle w:val="2"/>
                    <w:spacing w:after="0"/>
                    <w:ind w:left="0" w:leftChars="0" w:firstLine="0" w:firstLineChars="0"/>
                    <w:jc w:val="center"/>
                    <w:rPr>
                      <w:sz w:val="13"/>
                    </w:rPr>
                  </w:pPr>
                  <w:r>
                    <w:rPr>
                      <w:szCs w:val="21"/>
                    </w:rPr>
                    <w:t>4个</w:t>
                  </w:r>
                </w:p>
              </w:tc>
            </w:tr>
            <w:tr w14:paraId="6D8E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467E2EC4">
                  <w:pPr>
                    <w:pStyle w:val="2"/>
                    <w:ind w:left="0" w:leftChars="0" w:firstLine="0" w:firstLineChars="0"/>
                    <w:jc w:val="center"/>
                    <w:rPr>
                      <w:sz w:val="13"/>
                    </w:rPr>
                  </w:pPr>
                </w:p>
              </w:tc>
              <w:tc>
                <w:tcPr>
                  <w:tcW w:w="3340" w:type="pct"/>
                  <w:vAlign w:val="center"/>
                </w:tcPr>
                <w:p w14:paraId="10DD8AEE">
                  <w:pPr>
                    <w:pStyle w:val="2"/>
                    <w:spacing w:after="0"/>
                    <w:ind w:left="0" w:leftChars="0" w:firstLine="0" w:firstLineChars="0"/>
                    <w:jc w:val="center"/>
                    <w:rPr>
                      <w:sz w:val="13"/>
                    </w:rPr>
                  </w:pPr>
                  <w:r>
                    <w:rPr>
                      <w:szCs w:val="21"/>
                    </w:rPr>
                    <w:t>个人防护用品（如铅衣、铅帽和铅眼镜等）</w:t>
                  </w:r>
                </w:p>
              </w:tc>
              <w:tc>
                <w:tcPr>
                  <w:tcW w:w="784" w:type="pct"/>
                  <w:vAlign w:val="center"/>
                </w:tcPr>
                <w:p w14:paraId="1E2787BB">
                  <w:pPr>
                    <w:pStyle w:val="2"/>
                    <w:spacing w:after="0"/>
                    <w:ind w:left="0" w:leftChars="0" w:firstLine="0" w:firstLineChars="0"/>
                    <w:jc w:val="center"/>
                    <w:rPr>
                      <w:sz w:val="13"/>
                    </w:rPr>
                  </w:pPr>
                  <w:r>
                    <w:rPr>
                      <w:szCs w:val="21"/>
                    </w:rPr>
                    <w:t>2套</w:t>
                  </w:r>
                </w:p>
              </w:tc>
            </w:tr>
            <w:tr w14:paraId="710B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1CF734F1">
                  <w:pPr>
                    <w:pStyle w:val="2"/>
                    <w:spacing w:after="0"/>
                    <w:ind w:left="0" w:leftChars="0" w:firstLine="0" w:firstLineChars="0"/>
                    <w:jc w:val="center"/>
                    <w:rPr>
                      <w:sz w:val="13"/>
                    </w:rPr>
                  </w:pPr>
                  <w:r>
                    <w:rPr>
                      <w:szCs w:val="21"/>
                    </w:rPr>
                    <w:t>监测仪器</w:t>
                  </w:r>
                </w:p>
              </w:tc>
              <w:tc>
                <w:tcPr>
                  <w:tcW w:w="3340" w:type="pct"/>
                  <w:vAlign w:val="center"/>
                </w:tcPr>
                <w:p w14:paraId="4A67AFE2">
                  <w:pPr>
                    <w:pStyle w:val="2"/>
                    <w:spacing w:after="0"/>
                    <w:ind w:left="0" w:leftChars="0" w:firstLine="0" w:firstLineChars="0"/>
                    <w:jc w:val="center"/>
                    <w:rPr>
                      <w:sz w:val="13"/>
                    </w:rPr>
                  </w:pPr>
                  <w:r>
                    <w:rPr>
                      <w:szCs w:val="21"/>
                    </w:rPr>
                    <w:t>便携式X-γ射剂量监测仪</w:t>
                  </w:r>
                </w:p>
              </w:tc>
              <w:tc>
                <w:tcPr>
                  <w:tcW w:w="784" w:type="pct"/>
                  <w:vAlign w:val="center"/>
                </w:tcPr>
                <w:p w14:paraId="06D33E5B">
                  <w:pPr>
                    <w:pStyle w:val="2"/>
                    <w:spacing w:after="0"/>
                    <w:ind w:left="0" w:leftChars="0" w:firstLine="0" w:firstLineChars="0"/>
                    <w:jc w:val="center"/>
                    <w:rPr>
                      <w:sz w:val="13"/>
                    </w:rPr>
                  </w:pPr>
                  <w:r>
                    <w:rPr>
                      <w:szCs w:val="21"/>
                    </w:rPr>
                    <w:t>1台</w:t>
                  </w:r>
                </w:p>
              </w:tc>
            </w:tr>
            <w:tr w14:paraId="2A85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restart"/>
                  <w:vAlign w:val="center"/>
                </w:tcPr>
                <w:p w14:paraId="70A7D376">
                  <w:pPr>
                    <w:pStyle w:val="2"/>
                    <w:spacing w:after="0"/>
                    <w:ind w:left="0" w:leftChars="0" w:firstLine="0" w:firstLineChars="0"/>
                    <w:jc w:val="center"/>
                    <w:rPr>
                      <w:sz w:val="13"/>
                    </w:rPr>
                  </w:pPr>
                  <w:r>
                    <w:rPr>
                      <w:szCs w:val="21"/>
                    </w:rPr>
                    <w:t>安全装置</w:t>
                  </w:r>
                </w:p>
              </w:tc>
              <w:tc>
                <w:tcPr>
                  <w:tcW w:w="3340" w:type="pct"/>
                  <w:vAlign w:val="center"/>
                </w:tcPr>
                <w:p w14:paraId="4B10FE68">
                  <w:pPr>
                    <w:pStyle w:val="2"/>
                    <w:spacing w:after="0"/>
                    <w:ind w:left="0" w:leftChars="0"/>
                    <w:jc w:val="center"/>
                    <w:rPr>
                      <w:sz w:val="13"/>
                    </w:rPr>
                  </w:pPr>
                  <w:r>
                    <w:rPr>
                      <w:szCs w:val="21"/>
                    </w:rPr>
                    <w:t>控制台钥匙控制、控制台紧急停机按钮（设备自带）</w:t>
                  </w:r>
                </w:p>
              </w:tc>
              <w:tc>
                <w:tcPr>
                  <w:tcW w:w="784" w:type="pct"/>
                  <w:vAlign w:val="center"/>
                </w:tcPr>
                <w:p w14:paraId="65FCB3AC">
                  <w:pPr>
                    <w:pStyle w:val="2"/>
                    <w:spacing w:after="0"/>
                    <w:ind w:left="0" w:leftChars="0" w:firstLine="0" w:firstLineChars="0"/>
                    <w:jc w:val="center"/>
                    <w:rPr>
                      <w:sz w:val="13"/>
                    </w:rPr>
                  </w:pPr>
                  <w:r>
                    <w:rPr>
                      <w:szCs w:val="21"/>
                    </w:rPr>
                    <w:t>2套</w:t>
                  </w:r>
                </w:p>
              </w:tc>
            </w:tr>
            <w:tr w14:paraId="0491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64CFC88E">
                  <w:pPr>
                    <w:pStyle w:val="2"/>
                    <w:ind w:left="0" w:leftChars="0" w:firstLine="0" w:firstLineChars="0"/>
                    <w:jc w:val="center"/>
                    <w:rPr>
                      <w:sz w:val="13"/>
                    </w:rPr>
                  </w:pPr>
                </w:p>
              </w:tc>
              <w:tc>
                <w:tcPr>
                  <w:tcW w:w="3340" w:type="pct"/>
                  <w:vAlign w:val="center"/>
                </w:tcPr>
                <w:p w14:paraId="4FC1AEE9">
                  <w:pPr>
                    <w:pStyle w:val="2"/>
                    <w:spacing w:after="0"/>
                    <w:ind w:left="0" w:leftChars="0" w:firstLine="0" w:firstLineChars="0"/>
                    <w:jc w:val="center"/>
                    <w:rPr>
                      <w:sz w:val="13"/>
                    </w:rPr>
                  </w:pPr>
                  <w:r>
                    <w:rPr>
                      <w:szCs w:val="21"/>
                    </w:rPr>
                    <w:t>声光报警装置若干</w:t>
                  </w:r>
                </w:p>
              </w:tc>
              <w:tc>
                <w:tcPr>
                  <w:tcW w:w="784" w:type="pct"/>
                  <w:vAlign w:val="center"/>
                </w:tcPr>
                <w:p w14:paraId="546011A3">
                  <w:pPr>
                    <w:pStyle w:val="2"/>
                    <w:spacing w:after="0"/>
                    <w:ind w:left="0" w:leftChars="0" w:firstLine="0" w:firstLineChars="0"/>
                    <w:jc w:val="center"/>
                    <w:rPr>
                      <w:sz w:val="13"/>
                    </w:rPr>
                  </w:pPr>
                  <w:r>
                    <w:rPr>
                      <w:szCs w:val="21"/>
                    </w:rPr>
                    <w:t>1套</w:t>
                  </w:r>
                </w:p>
              </w:tc>
            </w:tr>
            <w:tr w14:paraId="672F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5A9F9472">
                  <w:pPr>
                    <w:pStyle w:val="2"/>
                    <w:ind w:left="0" w:leftChars="0" w:firstLine="0" w:firstLineChars="0"/>
                    <w:jc w:val="center"/>
                    <w:rPr>
                      <w:sz w:val="13"/>
                    </w:rPr>
                  </w:pPr>
                </w:p>
              </w:tc>
              <w:tc>
                <w:tcPr>
                  <w:tcW w:w="3340" w:type="pct"/>
                  <w:vAlign w:val="center"/>
                </w:tcPr>
                <w:p w14:paraId="4E1BA6F4">
                  <w:pPr>
                    <w:pStyle w:val="2"/>
                    <w:spacing w:after="0"/>
                    <w:ind w:left="0" w:leftChars="0" w:firstLine="0" w:firstLineChars="0"/>
                    <w:jc w:val="center"/>
                    <w:rPr>
                      <w:sz w:val="13"/>
                    </w:rPr>
                  </w:pPr>
                  <w:r>
                    <w:rPr>
                      <w:szCs w:val="21"/>
                    </w:rPr>
                    <w:t>移动式铅屏风（4个10mmPb铅屏风+4个5mmPb铅屏风）</w:t>
                  </w:r>
                </w:p>
              </w:tc>
              <w:tc>
                <w:tcPr>
                  <w:tcW w:w="784" w:type="pct"/>
                  <w:vAlign w:val="center"/>
                </w:tcPr>
                <w:p w14:paraId="15E0ABE5">
                  <w:pPr>
                    <w:pStyle w:val="2"/>
                    <w:spacing w:after="0"/>
                    <w:ind w:left="0" w:leftChars="0" w:firstLine="0" w:firstLineChars="0"/>
                    <w:jc w:val="center"/>
                    <w:rPr>
                      <w:sz w:val="13"/>
                    </w:rPr>
                  </w:pPr>
                  <w:r>
                    <w:rPr>
                      <w:szCs w:val="21"/>
                    </w:rPr>
                    <w:t>8个</w:t>
                  </w:r>
                </w:p>
              </w:tc>
            </w:tr>
            <w:tr w14:paraId="7AF4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restart"/>
                  <w:vAlign w:val="center"/>
                </w:tcPr>
                <w:p w14:paraId="1807B6D2">
                  <w:pPr>
                    <w:pStyle w:val="2"/>
                    <w:spacing w:after="0"/>
                    <w:ind w:left="0" w:leftChars="0" w:firstLine="0" w:firstLineChars="0"/>
                    <w:jc w:val="center"/>
                    <w:rPr>
                      <w:sz w:val="13"/>
                    </w:rPr>
                  </w:pPr>
                  <w:r>
                    <w:rPr>
                      <w:szCs w:val="21"/>
                    </w:rPr>
                    <w:t>辐射安全</w:t>
                  </w:r>
                </w:p>
              </w:tc>
              <w:tc>
                <w:tcPr>
                  <w:tcW w:w="3340" w:type="pct"/>
                  <w:vAlign w:val="center"/>
                </w:tcPr>
                <w:p w14:paraId="6257121F">
                  <w:pPr>
                    <w:pStyle w:val="2"/>
                    <w:spacing w:after="0"/>
                    <w:ind w:left="0" w:leftChars="0" w:firstLine="0" w:firstLineChars="0"/>
                    <w:jc w:val="center"/>
                    <w:rPr>
                      <w:sz w:val="13"/>
                    </w:rPr>
                  </w:pPr>
                  <w:r>
                    <w:rPr>
                      <w:szCs w:val="21"/>
                    </w:rPr>
                    <w:t>辐射安全培训及考核</w:t>
                  </w:r>
                </w:p>
              </w:tc>
              <w:tc>
                <w:tcPr>
                  <w:tcW w:w="784" w:type="pct"/>
                  <w:vAlign w:val="center"/>
                </w:tcPr>
                <w:p w14:paraId="415F2AAB">
                  <w:pPr>
                    <w:pStyle w:val="2"/>
                    <w:spacing w:after="0"/>
                    <w:ind w:left="0" w:leftChars="0" w:firstLine="0" w:firstLineChars="0"/>
                    <w:jc w:val="center"/>
                    <w:rPr>
                      <w:sz w:val="13"/>
                    </w:rPr>
                  </w:pPr>
                  <w:r>
                    <w:rPr>
                      <w:sz w:val="13"/>
                    </w:rPr>
                    <w:t>/</w:t>
                  </w:r>
                </w:p>
              </w:tc>
            </w:tr>
            <w:tr w14:paraId="1F9E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Merge w:val="continue"/>
                  <w:vAlign w:val="center"/>
                </w:tcPr>
                <w:p w14:paraId="1ACA334F">
                  <w:pPr>
                    <w:pStyle w:val="2"/>
                    <w:ind w:left="0" w:leftChars="0" w:firstLine="0" w:firstLineChars="0"/>
                    <w:jc w:val="center"/>
                    <w:rPr>
                      <w:sz w:val="13"/>
                    </w:rPr>
                  </w:pPr>
                </w:p>
              </w:tc>
              <w:tc>
                <w:tcPr>
                  <w:tcW w:w="3340" w:type="pct"/>
                  <w:vAlign w:val="center"/>
                </w:tcPr>
                <w:p w14:paraId="754FF81A">
                  <w:pPr>
                    <w:pStyle w:val="2"/>
                    <w:spacing w:after="0"/>
                    <w:ind w:left="0" w:leftChars="0" w:firstLine="0" w:firstLineChars="0"/>
                    <w:jc w:val="center"/>
                    <w:rPr>
                      <w:sz w:val="13"/>
                    </w:rPr>
                  </w:pPr>
                  <w:r>
                    <w:rPr>
                      <w:szCs w:val="21"/>
                    </w:rPr>
                    <w:t>设备室监控</w:t>
                  </w:r>
                </w:p>
              </w:tc>
              <w:tc>
                <w:tcPr>
                  <w:tcW w:w="784" w:type="pct"/>
                  <w:vAlign w:val="center"/>
                </w:tcPr>
                <w:p w14:paraId="17EDFA0E">
                  <w:pPr>
                    <w:pStyle w:val="2"/>
                    <w:spacing w:after="0"/>
                    <w:ind w:left="0" w:leftChars="0" w:firstLine="0" w:firstLineChars="0"/>
                    <w:jc w:val="center"/>
                    <w:rPr>
                      <w:sz w:val="13"/>
                    </w:rPr>
                  </w:pPr>
                  <w:r>
                    <w:rPr>
                      <w:szCs w:val="21"/>
                    </w:rPr>
                    <w:t>1套</w:t>
                  </w:r>
                </w:p>
              </w:tc>
            </w:tr>
            <w:tr w14:paraId="23E7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239D4755">
                  <w:pPr>
                    <w:pStyle w:val="2"/>
                    <w:spacing w:after="0"/>
                    <w:ind w:left="0" w:leftChars="0" w:firstLine="0" w:firstLineChars="0"/>
                    <w:jc w:val="center"/>
                    <w:rPr>
                      <w:sz w:val="13"/>
                    </w:rPr>
                  </w:pPr>
                  <w:r>
                    <w:rPr>
                      <w:szCs w:val="21"/>
                    </w:rPr>
                    <w:t>废物处置</w:t>
                  </w:r>
                </w:p>
              </w:tc>
              <w:tc>
                <w:tcPr>
                  <w:tcW w:w="3340" w:type="pct"/>
                  <w:vAlign w:val="center"/>
                </w:tcPr>
                <w:p w14:paraId="47921BB6">
                  <w:pPr>
                    <w:pStyle w:val="2"/>
                    <w:spacing w:after="0"/>
                    <w:ind w:left="0" w:leftChars="0" w:firstLine="0" w:firstLineChars="0"/>
                    <w:jc w:val="center"/>
                    <w:rPr>
                      <w:sz w:val="13"/>
                    </w:rPr>
                  </w:pPr>
                  <w:r>
                    <w:rPr>
                      <w:szCs w:val="21"/>
                    </w:rPr>
                    <w:t>废显、定影液及废胶片处理</w:t>
                  </w:r>
                </w:p>
              </w:tc>
              <w:tc>
                <w:tcPr>
                  <w:tcW w:w="784" w:type="pct"/>
                  <w:vAlign w:val="center"/>
                </w:tcPr>
                <w:p w14:paraId="4B3DFB8B">
                  <w:pPr>
                    <w:pStyle w:val="2"/>
                    <w:spacing w:after="0"/>
                    <w:ind w:left="0" w:leftChars="0" w:firstLine="0" w:firstLineChars="0"/>
                    <w:jc w:val="center"/>
                    <w:rPr>
                      <w:sz w:val="13"/>
                    </w:rPr>
                  </w:pPr>
                  <w:r>
                    <w:rPr>
                      <w:sz w:val="13"/>
                    </w:rPr>
                    <w:t>/</w:t>
                  </w:r>
                </w:p>
              </w:tc>
            </w:tr>
            <w:tr w14:paraId="7DED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12E089DF">
                  <w:pPr>
                    <w:pStyle w:val="2"/>
                    <w:spacing w:after="0"/>
                    <w:ind w:left="0" w:leftChars="0" w:firstLine="0" w:firstLineChars="0"/>
                    <w:jc w:val="center"/>
                    <w:rPr>
                      <w:sz w:val="13"/>
                    </w:rPr>
                  </w:pPr>
                  <w:r>
                    <w:rPr>
                      <w:szCs w:val="21"/>
                    </w:rPr>
                    <w:t>设备维护</w:t>
                  </w:r>
                </w:p>
              </w:tc>
              <w:tc>
                <w:tcPr>
                  <w:tcW w:w="3340" w:type="pct"/>
                  <w:vAlign w:val="center"/>
                </w:tcPr>
                <w:p w14:paraId="23B64DB6">
                  <w:pPr>
                    <w:pStyle w:val="2"/>
                    <w:spacing w:after="0"/>
                    <w:ind w:left="0" w:leftChars="0"/>
                    <w:jc w:val="center"/>
                    <w:rPr>
                      <w:szCs w:val="21"/>
                    </w:rPr>
                  </w:pPr>
                  <w:r>
                    <w:rPr>
                      <w:szCs w:val="21"/>
                    </w:rPr>
                    <w:t>定期对设备进行检修、维护，及时更换零部件</w:t>
                  </w:r>
                </w:p>
              </w:tc>
              <w:tc>
                <w:tcPr>
                  <w:tcW w:w="784" w:type="pct"/>
                  <w:vAlign w:val="center"/>
                </w:tcPr>
                <w:p w14:paraId="23D0021B">
                  <w:pPr>
                    <w:pStyle w:val="2"/>
                    <w:spacing w:after="0"/>
                    <w:ind w:left="0" w:leftChars="0" w:firstLine="0" w:firstLineChars="0"/>
                    <w:jc w:val="center"/>
                    <w:rPr>
                      <w:sz w:val="13"/>
                    </w:rPr>
                  </w:pPr>
                  <w:r>
                    <w:rPr>
                      <w:sz w:val="13"/>
                    </w:rPr>
                    <w:t>/</w:t>
                  </w:r>
                </w:p>
              </w:tc>
            </w:tr>
            <w:tr w14:paraId="4EFC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1C8BDD96">
                  <w:pPr>
                    <w:pStyle w:val="2"/>
                    <w:spacing w:after="0"/>
                    <w:ind w:left="0" w:leftChars="0" w:firstLine="0" w:firstLineChars="0"/>
                    <w:jc w:val="center"/>
                    <w:rPr>
                      <w:sz w:val="13"/>
                    </w:rPr>
                  </w:pPr>
                  <w:r>
                    <w:rPr>
                      <w:szCs w:val="21"/>
                    </w:rPr>
                    <w:t>应急预案</w:t>
                  </w:r>
                </w:p>
              </w:tc>
              <w:tc>
                <w:tcPr>
                  <w:tcW w:w="3340" w:type="pct"/>
                  <w:vAlign w:val="center"/>
                </w:tcPr>
                <w:p w14:paraId="42C2AA2C">
                  <w:pPr>
                    <w:pStyle w:val="2"/>
                    <w:spacing w:after="0"/>
                    <w:ind w:left="0" w:leftChars="0" w:firstLine="0" w:firstLineChars="0"/>
                    <w:jc w:val="center"/>
                    <w:rPr>
                      <w:szCs w:val="21"/>
                    </w:rPr>
                  </w:pPr>
                  <w:r>
                    <w:rPr>
                      <w:szCs w:val="21"/>
                    </w:rPr>
                    <w:t>应急和救助的资金、物资准备</w:t>
                  </w:r>
                </w:p>
              </w:tc>
              <w:tc>
                <w:tcPr>
                  <w:tcW w:w="784" w:type="pct"/>
                  <w:vAlign w:val="center"/>
                </w:tcPr>
                <w:p w14:paraId="4107455B">
                  <w:pPr>
                    <w:pStyle w:val="2"/>
                    <w:spacing w:after="0"/>
                    <w:ind w:left="0" w:leftChars="0" w:firstLine="0" w:firstLineChars="0"/>
                    <w:jc w:val="center"/>
                    <w:rPr>
                      <w:sz w:val="13"/>
                    </w:rPr>
                  </w:pPr>
                  <w:r>
                    <w:rPr>
                      <w:sz w:val="13"/>
                    </w:rPr>
                    <w:t>/</w:t>
                  </w:r>
                </w:p>
              </w:tc>
            </w:tr>
            <w:tr w14:paraId="7139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14:paraId="4B88CEF5">
                  <w:pPr>
                    <w:pStyle w:val="2"/>
                    <w:spacing w:after="0"/>
                    <w:ind w:left="0" w:leftChars="0" w:firstLine="0" w:firstLineChars="0"/>
                    <w:jc w:val="center"/>
                    <w:rPr>
                      <w:sz w:val="13"/>
                    </w:rPr>
                  </w:pPr>
                  <w:r>
                    <w:rPr>
                      <w:szCs w:val="21"/>
                    </w:rPr>
                    <w:t>规章制度</w:t>
                  </w:r>
                </w:p>
              </w:tc>
              <w:tc>
                <w:tcPr>
                  <w:tcW w:w="3340" w:type="pct"/>
                  <w:vAlign w:val="center"/>
                </w:tcPr>
                <w:p w14:paraId="57F45F4E">
                  <w:pPr>
                    <w:pStyle w:val="2"/>
                    <w:spacing w:after="0"/>
                    <w:ind w:left="0" w:leftChars="0" w:firstLine="0" w:firstLineChars="0"/>
                    <w:jc w:val="center"/>
                    <w:rPr>
                      <w:szCs w:val="21"/>
                    </w:rPr>
                  </w:pPr>
                  <w:r>
                    <w:rPr>
                      <w:szCs w:val="21"/>
                    </w:rPr>
                    <w:t>各项管理规章制度得到落实，记录完备，制度成册或上墙。</w:t>
                  </w:r>
                </w:p>
              </w:tc>
              <w:tc>
                <w:tcPr>
                  <w:tcW w:w="784" w:type="pct"/>
                  <w:vAlign w:val="center"/>
                </w:tcPr>
                <w:p w14:paraId="54F90B73">
                  <w:pPr>
                    <w:pStyle w:val="2"/>
                    <w:spacing w:after="0"/>
                    <w:ind w:left="0" w:leftChars="0" w:firstLine="0" w:firstLineChars="0"/>
                    <w:jc w:val="center"/>
                    <w:rPr>
                      <w:sz w:val="13"/>
                    </w:rPr>
                  </w:pPr>
                  <w:r>
                    <w:rPr>
                      <w:sz w:val="13"/>
                    </w:rPr>
                    <w:t>/</w:t>
                  </w:r>
                </w:p>
              </w:tc>
            </w:tr>
          </w:tbl>
          <w:p w14:paraId="3D9170F7">
            <w:pPr>
              <w:pStyle w:val="2"/>
              <w:ind w:left="0" w:leftChars="0" w:firstLine="0" w:firstLineChars="0"/>
              <w:rPr>
                <w:sz w:val="13"/>
              </w:rPr>
            </w:pPr>
          </w:p>
        </w:tc>
      </w:tr>
      <w:tr w14:paraId="21FA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9" w:hRule="atLeast"/>
          <w:jc w:val="center"/>
        </w:trPr>
        <w:tc>
          <w:tcPr>
            <w:tcW w:w="9263" w:type="dxa"/>
          </w:tcPr>
          <w:p w14:paraId="2A8D049A">
            <w:pPr>
              <w:adjustRightInd w:val="0"/>
              <w:snapToGrid w:val="0"/>
              <w:spacing w:line="360" w:lineRule="auto"/>
              <w:jc w:val="left"/>
              <w:rPr>
                <w:rFonts w:ascii="Times New Roman" w:hAnsi="Times New Roman"/>
                <w:b/>
                <w:bCs/>
                <w:sz w:val="28"/>
                <w:szCs w:val="28"/>
              </w:rPr>
            </w:pPr>
            <w:r>
              <w:rPr>
                <w:rFonts w:ascii="Times New Roman" w:hAnsi="Times New Roman"/>
                <w:b/>
                <w:bCs/>
                <w:sz w:val="28"/>
                <w:szCs w:val="28"/>
              </w:rPr>
              <w:t>从事放射性同位素与射线装置的能力分析</w:t>
            </w:r>
          </w:p>
          <w:p w14:paraId="7EF63E7D">
            <w:pPr>
              <w:spacing w:line="360" w:lineRule="auto"/>
              <w:ind w:firstLine="480" w:firstLineChars="200"/>
              <w:rPr>
                <w:rFonts w:ascii="Times New Roman" w:hAnsi="Times New Roman"/>
                <w:sz w:val="24"/>
              </w:rPr>
            </w:pPr>
            <w:r>
              <w:rPr>
                <w:rFonts w:ascii="Times New Roman" w:hAnsi="Times New Roman"/>
                <w:sz w:val="24"/>
              </w:rPr>
              <w:t>依据《</w:t>
            </w:r>
            <w:r>
              <w:rPr>
                <w:rFonts w:ascii="Times New Roman" w:hAnsi="Times New Roman"/>
                <w:kern w:val="0"/>
                <w:sz w:val="24"/>
              </w:rPr>
              <w:t>放射性同位素与射线装置安全许可管理办法》（2021年修正版）生态环境部令第7号</w:t>
            </w:r>
            <w:r>
              <w:rPr>
                <w:rFonts w:ascii="Times New Roman" w:hAnsi="Times New Roman"/>
                <w:sz w:val="24"/>
              </w:rPr>
              <w:t>第十六条规定和中华人民共和国国务院令第709号《放射性同位素与射线装置安全和防护条例》（2019年3月2日），该公司使用射线装置应具备相应的条件，详情见表12-2。</w:t>
            </w:r>
          </w:p>
          <w:p w14:paraId="47C84A9B">
            <w:pPr>
              <w:adjustRightInd w:val="0"/>
              <w:snapToGrid w:val="0"/>
              <w:jc w:val="center"/>
              <w:rPr>
                <w:rFonts w:ascii="Times New Roman" w:hAnsi="Times New Roman"/>
                <w:b/>
                <w:bCs/>
              </w:rPr>
            </w:pPr>
            <w:r>
              <w:rPr>
                <w:rFonts w:ascii="Times New Roman" w:hAnsi="Times New Roman"/>
                <w:b/>
                <w:bCs/>
              </w:rPr>
              <w:t>表12-2  公司从事辐射活动能力分析表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55"/>
              <w:gridCol w:w="3464"/>
              <w:gridCol w:w="898"/>
            </w:tblGrid>
            <w:tr w14:paraId="26094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69E2E643">
                  <w:pPr>
                    <w:jc w:val="center"/>
                    <w:rPr>
                      <w:rFonts w:ascii="Times New Roman" w:hAnsi="Times New Roman"/>
                      <w:b/>
                      <w:szCs w:val="21"/>
                    </w:rPr>
                  </w:pPr>
                  <w:r>
                    <w:rPr>
                      <w:rFonts w:ascii="Times New Roman" w:hAnsi="Times New Roman"/>
                      <w:b/>
                      <w:szCs w:val="21"/>
                    </w:rPr>
                    <w:t>应具备条件</w:t>
                  </w:r>
                </w:p>
              </w:tc>
              <w:tc>
                <w:tcPr>
                  <w:tcW w:w="1921" w:type="pct"/>
                  <w:vAlign w:val="center"/>
                </w:tcPr>
                <w:p w14:paraId="40A87CE5">
                  <w:pPr>
                    <w:jc w:val="center"/>
                    <w:rPr>
                      <w:rFonts w:ascii="Times New Roman" w:hAnsi="Times New Roman"/>
                      <w:b/>
                      <w:szCs w:val="21"/>
                    </w:rPr>
                  </w:pPr>
                  <w:r>
                    <w:rPr>
                      <w:rFonts w:ascii="Times New Roman" w:hAnsi="Times New Roman"/>
                      <w:b/>
                      <w:szCs w:val="21"/>
                    </w:rPr>
                    <w:t>落实情况</w:t>
                  </w:r>
                </w:p>
              </w:tc>
              <w:tc>
                <w:tcPr>
                  <w:tcW w:w="498" w:type="pct"/>
                  <w:vAlign w:val="center"/>
                </w:tcPr>
                <w:p w14:paraId="1ACC2DE4">
                  <w:pPr>
                    <w:jc w:val="center"/>
                    <w:rPr>
                      <w:rFonts w:ascii="Times New Roman" w:hAnsi="Times New Roman"/>
                      <w:b/>
                      <w:szCs w:val="21"/>
                    </w:rPr>
                  </w:pPr>
                  <w:r>
                    <w:rPr>
                      <w:rFonts w:ascii="Times New Roman" w:hAnsi="Times New Roman"/>
                      <w:b/>
                      <w:szCs w:val="21"/>
                    </w:rPr>
                    <w:t>符合性</w:t>
                  </w:r>
                </w:p>
              </w:tc>
            </w:tr>
            <w:tr w14:paraId="1388E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4E36337E">
                  <w:pPr>
                    <w:adjustRightInd w:val="0"/>
                    <w:snapToGrid w:val="0"/>
                    <w:jc w:val="left"/>
                    <w:rPr>
                      <w:rFonts w:ascii="Times New Roman" w:hAnsi="Times New Roman"/>
                      <w:szCs w:val="21"/>
                    </w:rPr>
                  </w:pPr>
                  <w:r>
                    <w:rPr>
                      <w:rFonts w:ascii="Times New Roman" w:hAnsi="Times New Roman"/>
                      <w:szCs w:val="21"/>
                    </w:rPr>
                    <w:t>使用I类、II类、III类放射源，使用I类、II类射线装置的，应当设有专门的辐射安全与环境保护管理机构，或者至少有一名本科以上学历的技术人员专职负责辐射安全与环境保护管理工作。</w:t>
                  </w:r>
                </w:p>
              </w:tc>
              <w:tc>
                <w:tcPr>
                  <w:tcW w:w="1921" w:type="pct"/>
                  <w:vAlign w:val="center"/>
                </w:tcPr>
                <w:p w14:paraId="10625606">
                  <w:pPr>
                    <w:adjustRightInd w:val="0"/>
                    <w:snapToGrid w:val="0"/>
                    <w:rPr>
                      <w:rFonts w:ascii="Times New Roman" w:hAnsi="Times New Roman"/>
                      <w:szCs w:val="21"/>
                    </w:rPr>
                  </w:pPr>
                  <w:r>
                    <w:rPr>
                      <w:rFonts w:ascii="Times New Roman" w:hAnsi="Times New Roman"/>
                      <w:szCs w:val="21"/>
                    </w:rPr>
                    <w:t>成立专门的辐射安全与环境保护管理机构。</w:t>
                  </w:r>
                </w:p>
              </w:tc>
              <w:tc>
                <w:tcPr>
                  <w:tcW w:w="498" w:type="pct"/>
                  <w:vAlign w:val="center"/>
                </w:tcPr>
                <w:p w14:paraId="278AD137">
                  <w:pPr>
                    <w:adjustRightInd w:val="0"/>
                    <w:snapToGrid w:val="0"/>
                    <w:jc w:val="center"/>
                    <w:rPr>
                      <w:rFonts w:ascii="Times New Roman" w:hAnsi="Times New Roman"/>
                      <w:szCs w:val="21"/>
                    </w:rPr>
                  </w:pPr>
                  <w:r>
                    <w:rPr>
                      <w:rFonts w:ascii="Times New Roman" w:hAnsi="Times New Roman"/>
                      <w:szCs w:val="21"/>
                    </w:rPr>
                    <w:t>符合</w:t>
                  </w:r>
                </w:p>
              </w:tc>
            </w:tr>
            <w:tr w14:paraId="591A8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05BF5530">
                  <w:pPr>
                    <w:adjustRightInd w:val="0"/>
                    <w:snapToGrid w:val="0"/>
                    <w:jc w:val="left"/>
                    <w:rPr>
                      <w:rFonts w:ascii="Times New Roman" w:hAnsi="Times New Roman"/>
                      <w:szCs w:val="21"/>
                    </w:rPr>
                  </w:pPr>
                  <w:r>
                    <w:rPr>
                      <w:rFonts w:ascii="Times New Roman" w:hAnsi="Times New Roman"/>
                      <w:szCs w:val="21"/>
                    </w:rPr>
                    <w:t>从事辐射工作的人员必须通过辐射安全和防护专业知识及相关法律法规的培训和考核。</w:t>
                  </w:r>
                </w:p>
              </w:tc>
              <w:tc>
                <w:tcPr>
                  <w:tcW w:w="1921" w:type="pct"/>
                  <w:vAlign w:val="center"/>
                </w:tcPr>
                <w:p w14:paraId="1833C072">
                  <w:pPr>
                    <w:adjustRightInd w:val="0"/>
                    <w:snapToGrid w:val="0"/>
                    <w:rPr>
                      <w:rFonts w:ascii="Times New Roman" w:hAnsi="Times New Roman"/>
                      <w:szCs w:val="21"/>
                    </w:rPr>
                  </w:pPr>
                  <w:r>
                    <w:rPr>
                      <w:rFonts w:ascii="Times New Roman" w:hAnsi="Times New Roman"/>
                      <w:szCs w:val="21"/>
                    </w:rPr>
                    <w:t>制定了培训计划，公司安排辐射工作人员参加辐射安全上岗的培训和考核。</w:t>
                  </w:r>
                </w:p>
              </w:tc>
              <w:tc>
                <w:tcPr>
                  <w:tcW w:w="498" w:type="pct"/>
                  <w:vAlign w:val="center"/>
                </w:tcPr>
                <w:p w14:paraId="146A9D20">
                  <w:pPr>
                    <w:adjustRightInd w:val="0"/>
                    <w:snapToGrid w:val="0"/>
                    <w:jc w:val="center"/>
                    <w:rPr>
                      <w:rFonts w:ascii="Times New Roman" w:hAnsi="Times New Roman"/>
                      <w:szCs w:val="21"/>
                    </w:rPr>
                  </w:pPr>
                  <w:r>
                    <w:rPr>
                      <w:rFonts w:ascii="Times New Roman" w:hAnsi="Times New Roman"/>
                      <w:szCs w:val="21"/>
                    </w:rPr>
                    <w:t>符合</w:t>
                  </w:r>
                </w:p>
              </w:tc>
            </w:tr>
            <w:tr w14:paraId="4B56B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68EA0A5E">
                  <w:pPr>
                    <w:adjustRightInd w:val="0"/>
                    <w:snapToGrid w:val="0"/>
                    <w:rPr>
                      <w:rFonts w:ascii="Times New Roman" w:hAnsi="Times New Roman"/>
                      <w:szCs w:val="21"/>
                    </w:rPr>
                  </w:pPr>
                  <w:r>
                    <w:rPr>
                      <w:rFonts w:ascii="Times New Roman" w:hAnsi="Times New Roman"/>
                      <w:spacing w:val="8"/>
                      <w:kern w:val="0"/>
                      <w:szCs w:val="21"/>
                    </w:rPr>
                    <w:t>配备与辐射类型和辐射水平相适应的防护用品和监测仪器，包括个人剂量测量报警、辐射监测等仪器。</w:t>
                  </w:r>
                </w:p>
              </w:tc>
              <w:tc>
                <w:tcPr>
                  <w:tcW w:w="1921" w:type="pct"/>
                  <w:vAlign w:val="center"/>
                </w:tcPr>
                <w:p w14:paraId="759C9ECC">
                  <w:pPr>
                    <w:adjustRightInd w:val="0"/>
                    <w:snapToGrid w:val="0"/>
                    <w:rPr>
                      <w:rFonts w:ascii="Times New Roman" w:hAnsi="Times New Roman"/>
                      <w:szCs w:val="21"/>
                    </w:rPr>
                  </w:pPr>
                  <w:r>
                    <w:rPr>
                      <w:rFonts w:ascii="Times New Roman" w:hAnsi="Times New Roman"/>
                      <w:kern w:val="0"/>
                      <w:szCs w:val="21"/>
                    </w:rPr>
                    <w:t>配备X-γ辐射剂量率仪1台，个人剂量计1套/人，个人剂量报警仪8台。</w:t>
                  </w:r>
                </w:p>
              </w:tc>
              <w:tc>
                <w:tcPr>
                  <w:tcW w:w="498" w:type="pct"/>
                  <w:vAlign w:val="center"/>
                </w:tcPr>
                <w:p w14:paraId="1484F278">
                  <w:pPr>
                    <w:adjustRightInd w:val="0"/>
                    <w:snapToGrid w:val="0"/>
                    <w:jc w:val="center"/>
                    <w:rPr>
                      <w:rFonts w:ascii="Times New Roman" w:hAnsi="Times New Roman"/>
                      <w:szCs w:val="21"/>
                    </w:rPr>
                  </w:pPr>
                  <w:r>
                    <w:rPr>
                      <w:rFonts w:ascii="Times New Roman" w:hAnsi="Times New Roman"/>
                      <w:szCs w:val="21"/>
                    </w:rPr>
                    <w:t>符合</w:t>
                  </w:r>
                </w:p>
              </w:tc>
            </w:tr>
            <w:tr w14:paraId="10A90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57CD3016">
                  <w:pPr>
                    <w:adjustRightInd w:val="0"/>
                    <w:snapToGrid w:val="0"/>
                    <w:rPr>
                      <w:rFonts w:ascii="Times New Roman" w:hAnsi="Times New Roman"/>
                      <w:szCs w:val="21"/>
                    </w:rPr>
                  </w:pPr>
                  <w:r>
                    <w:rPr>
                      <w:rFonts w:ascii="Times New Roman" w:hAnsi="Times New Roman"/>
                      <w:szCs w:val="21"/>
                    </w:rPr>
                    <w:t>有健全的操作规程、岗位职责、辐射防护和安全保卫制度、设备检修维护制度、人员培训计划、监测方案等。</w:t>
                  </w:r>
                </w:p>
              </w:tc>
              <w:tc>
                <w:tcPr>
                  <w:tcW w:w="1921" w:type="pct"/>
                  <w:vAlign w:val="center"/>
                </w:tcPr>
                <w:p w14:paraId="75BA8F3C">
                  <w:pPr>
                    <w:adjustRightInd w:val="0"/>
                    <w:snapToGrid w:val="0"/>
                    <w:rPr>
                      <w:rFonts w:ascii="Times New Roman" w:hAnsi="Times New Roman"/>
                      <w:szCs w:val="21"/>
                    </w:rPr>
                  </w:pPr>
                  <w:r>
                    <w:rPr>
                      <w:rFonts w:ascii="Times New Roman" w:hAnsi="Times New Roman"/>
                      <w:szCs w:val="21"/>
                    </w:rPr>
                    <w:t>各项制度已制定，各类人员职责明确，并不断健全完善。</w:t>
                  </w:r>
                </w:p>
              </w:tc>
              <w:tc>
                <w:tcPr>
                  <w:tcW w:w="498" w:type="pct"/>
                  <w:vAlign w:val="center"/>
                </w:tcPr>
                <w:p w14:paraId="1115E96F">
                  <w:pPr>
                    <w:adjustRightInd w:val="0"/>
                    <w:snapToGrid w:val="0"/>
                    <w:jc w:val="center"/>
                    <w:rPr>
                      <w:rFonts w:ascii="Times New Roman" w:hAnsi="Times New Roman"/>
                      <w:szCs w:val="21"/>
                    </w:rPr>
                  </w:pPr>
                  <w:r>
                    <w:rPr>
                      <w:rFonts w:ascii="Times New Roman" w:hAnsi="Times New Roman"/>
                      <w:szCs w:val="21"/>
                    </w:rPr>
                    <w:t>符合</w:t>
                  </w:r>
                </w:p>
              </w:tc>
            </w:tr>
            <w:tr w14:paraId="16915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4039BEA9">
                  <w:pPr>
                    <w:adjustRightInd w:val="0"/>
                    <w:snapToGrid w:val="0"/>
                    <w:ind w:firstLine="420" w:firstLineChars="200"/>
                    <w:jc w:val="left"/>
                    <w:rPr>
                      <w:rFonts w:ascii="Times New Roman" w:hAnsi="Times New Roman"/>
                      <w:szCs w:val="21"/>
                    </w:rPr>
                  </w:pPr>
                  <w:r>
                    <w:rPr>
                      <w:rFonts w:ascii="Times New Roman" w:hAnsi="Times New Roman"/>
                      <w:szCs w:val="21"/>
                    </w:rPr>
                    <w:t>有完善的辐射事故应急措施。</w:t>
                  </w:r>
                </w:p>
              </w:tc>
              <w:tc>
                <w:tcPr>
                  <w:tcW w:w="1921" w:type="pct"/>
                  <w:vAlign w:val="center"/>
                </w:tcPr>
                <w:p w14:paraId="02541FE8">
                  <w:pPr>
                    <w:adjustRightInd w:val="0"/>
                    <w:snapToGrid w:val="0"/>
                    <w:jc w:val="left"/>
                    <w:rPr>
                      <w:rFonts w:ascii="Times New Roman" w:hAnsi="Times New Roman"/>
                      <w:szCs w:val="21"/>
                    </w:rPr>
                  </w:pPr>
                  <w:r>
                    <w:rPr>
                      <w:rFonts w:ascii="Times New Roman" w:hAnsi="Times New Roman"/>
                      <w:szCs w:val="21"/>
                    </w:rPr>
                    <w:t>已制定辐射事故应急预案，并成立辐射事故应急领导小组。</w:t>
                  </w:r>
                </w:p>
              </w:tc>
              <w:tc>
                <w:tcPr>
                  <w:tcW w:w="498" w:type="pct"/>
                  <w:vAlign w:val="center"/>
                </w:tcPr>
                <w:p w14:paraId="7058B7D5">
                  <w:pPr>
                    <w:adjustRightInd w:val="0"/>
                    <w:snapToGrid w:val="0"/>
                    <w:jc w:val="center"/>
                    <w:rPr>
                      <w:rFonts w:ascii="Times New Roman" w:hAnsi="Times New Roman"/>
                      <w:szCs w:val="21"/>
                    </w:rPr>
                  </w:pPr>
                  <w:r>
                    <w:rPr>
                      <w:rFonts w:ascii="Times New Roman" w:hAnsi="Times New Roman"/>
                      <w:szCs w:val="21"/>
                    </w:rPr>
                    <w:t>符合</w:t>
                  </w:r>
                </w:p>
              </w:tc>
            </w:tr>
            <w:tr w14:paraId="27734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1" w:type="pct"/>
                  <w:vAlign w:val="center"/>
                </w:tcPr>
                <w:p w14:paraId="61645E76">
                  <w:pPr>
                    <w:adjustRightInd w:val="0"/>
                    <w:snapToGrid w:val="0"/>
                    <w:rPr>
                      <w:rFonts w:ascii="Times New Roman" w:hAnsi="Times New Roman"/>
                      <w:szCs w:val="21"/>
                    </w:rPr>
                  </w:pPr>
                  <w:r>
                    <w:rPr>
                      <w:rFonts w:ascii="Times New Roman" w:hAnsi="Times New Roman"/>
                      <w:szCs w:val="21"/>
                    </w:rPr>
                    <w:t>产生放射性废气、废液、固体废物的，还应具有确保放射性废气、废液、固体废物达标排放的处理能力或者可行的处理方案。</w:t>
                  </w:r>
                </w:p>
              </w:tc>
              <w:tc>
                <w:tcPr>
                  <w:tcW w:w="1921" w:type="pct"/>
                  <w:vAlign w:val="center"/>
                </w:tcPr>
                <w:p w14:paraId="6288B1C7">
                  <w:pPr>
                    <w:adjustRightInd w:val="0"/>
                    <w:snapToGrid w:val="0"/>
                    <w:rPr>
                      <w:rFonts w:ascii="Times New Roman" w:hAnsi="Times New Roman"/>
                      <w:szCs w:val="21"/>
                    </w:rPr>
                  </w:pPr>
                  <w:r>
                    <w:rPr>
                      <w:rFonts w:ascii="Times New Roman" w:hAnsi="Times New Roman"/>
                      <w:szCs w:val="21"/>
                    </w:rPr>
                    <w:t>本项目在运行过程中产生的废气主要为臭氧及少量氮氧化物，经自然分解和稀释，不会对环境场所影响。无放射性废气、废液。若所存放的射线装置长期计划退役或停止使用，按相关规定将射线装置交由有资质的单位代为处置。</w:t>
                  </w:r>
                </w:p>
              </w:tc>
              <w:tc>
                <w:tcPr>
                  <w:tcW w:w="498" w:type="pct"/>
                  <w:vAlign w:val="center"/>
                </w:tcPr>
                <w:p w14:paraId="31190220">
                  <w:pPr>
                    <w:adjustRightInd w:val="0"/>
                    <w:snapToGrid w:val="0"/>
                    <w:jc w:val="center"/>
                    <w:rPr>
                      <w:rFonts w:ascii="Times New Roman" w:hAnsi="Times New Roman"/>
                      <w:szCs w:val="21"/>
                    </w:rPr>
                  </w:pPr>
                  <w:r>
                    <w:rPr>
                      <w:rFonts w:ascii="Times New Roman" w:hAnsi="Times New Roman"/>
                      <w:szCs w:val="21"/>
                    </w:rPr>
                    <w:t>符合</w:t>
                  </w:r>
                </w:p>
              </w:tc>
            </w:tr>
          </w:tbl>
          <w:p w14:paraId="0F7AEE42">
            <w:pPr>
              <w:adjustRightInd w:val="0"/>
              <w:snapToGrid w:val="0"/>
              <w:spacing w:before="120" w:beforeLines="50" w:line="360" w:lineRule="auto"/>
              <w:ind w:firstLine="480" w:firstLineChars="200"/>
              <w:rPr>
                <w:rFonts w:ascii="Times New Roman" w:hAnsi="Times New Roman"/>
                <w:bCs/>
                <w:sz w:val="24"/>
              </w:rPr>
            </w:pPr>
            <w:r>
              <w:rPr>
                <w:rFonts w:ascii="Times New Roman" w:hAnsi="Times New Roman"/>
                <w:bCs/>
                <w:kern w:val="0"/>
                <w:sz w:val="24"/>
              </w:rPr>
              <w:t>《</w:t>
            </w:r>
            <w:r>
              <w:rPr>
                <w:rFonts w:ascii="Times New Roman" w:hAnsi="Times New Roman"/>
                <w:kern w:val="0"/>
                <w:sz w:val="24"/>
              </w:rPr>
              <w:t>放射性同位素与射线装置安全和防护管理办法</w:t>
            </w:r>
            <w:r>
              <w:rPr>
                <w:rFonts w:ascii="Times New Roman" w:hAnsi="Times New Roman"/>
                <w:bCs/>
                <w:kern w:val="0"/>
                <w:sz w:val="24"/>
              </w:rPr>
              <w:t>》，原环保部第18号令，2011年04月18日，</w:t>
            </w:r>
            <w:r>
              <w:rPr>
                <w:rFonts w:ascii="Times New Roman" w:hAnsi="Times New Roman"/>
                <w:bCs/>
                <w:sz w:val="24"/>
              </w:rPr>
              <w:t>对</w:t>
            </w:r>
            <w:r>
              <w:rPr>
                <w:rFonts w:ascii="Times New Roman" w:hAnsi="Times New Roman"/>
                <w:sz w:val="24"/>
              </w:rPr>
              <w:t>购置</w:t>
            </w:r>
            <w:r>
              <w:rPr>
                <w:rFonts w:ascii="Times New Roman" w:hAnsi="Times New Roman"/>
                <w:bCs/>
                <w:sz w:val="24"/>
              </w:rPr>
              <w:t>射线装置的单位提出了具体条件，本项目具备的条件与“环保部18号令”要求的对照检查如表12-3所示。</w:t>
            </w:r>
          </w:p>
          <w:p w14:paraId="7A130F19">
            <w:pPr>
              <w:jc w:val="center"/>
              <w:rPr>
                <w:rFonts w:ascii="Times New Roman" w:hAnsi="Times New Roman"/>
                <w:b/>
                <w:bCs/>
              </w:rPr>
            </w:pPr>
            <w:r>
              <w:rPr>
                <w:rFonts w:ascii="Times New Roman" w:hAnsi="Times New Roman"/>
                <w:b/>
                <w:bCs/>
              </w:rPr>
              <w:t>表12-3  项目执行“环保部18号令”要求对照表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642"/>
              <w:gridCol w:w="2373"/>
              <w:gridCol w:w="1219"/>
            </w:tblGrid>
            <w:tr w14:paraId="30825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tcPr>
                <w:p w14:paraId="483729F8">
                  <w:pPr>
                    <w:spacing w:line="0" w:lineRule="atLeast"/>
                    <w:jc w:val="center"/>
                    <w:rPr>
                      <w:rFonts w:ascii="Times New Roman" w:hAnsi="Times New Roman"/>
                      <w:b/>
                      <w:szCs w:val="21"/>
                    </w:rPr>
                  </w:pPr>
                  <w:r>
                    <w:rPr>
                      <w:rFonts w:ascii="Times New Roman" w:hAnsi="Times New Roman"/>
                      <w:b/>
                      <w:szCs w:val="21"/>
                    </w:rPr>
                    <w:t>序号</w:t>
                  </w:r>
                </w:p>
              </w:tc>
              <w:tc>
                <w:tcPr>
                  <w:tcW w:w="2574" w:type="pct"/>
                  <w:vAlign w:val="center"/>
                </w:tcPr>
                <w:p w14:paraId="0751DA8D">
                  <w:pPr>
                    <w:spacing w:line="0" w:lineRule="atLeast"/>
                    <w:jc w:val="center"/>
                    <w:rPr>
                      <w:rFonts w:ascii="Times New Roman" w:hAnsi="Times New Roman"/>
                      <w:b/>
                      <w:szCs w:val="21"/>
                    </w:rPr>
                  </w:pPr>
                  <w:r>
                    <w:rPr>
                      <w:rFonts w:ascii="Times New Roman" w:hAnsi="Times New Roman"/>
                      <w:b/>
                      <w:szCs w:val="21"/>
                    </w:rPr>
                    <w:t>安全和防护管理办法要求</w:t>
                  </w:r>
                </w:p>
              </w:tc>
              <w:tc>
                <w:tcPr>
                  <w:tcW w:w="1316" w:type="pct"/>
                  <w:vAlign w:val="center"/>
                </w:tcPr>
                <w:p w14:paraId="6A3A0353">
                  <w:pPr>
                    <w:spacing w:line="0" w:lineRule="atLeast"/>
                    <w:jc w:val="center"/>
                    <w:rPr>
                      <w:rFonts w:ascii="Times New Roman" w:hAnsi="Times New Roman"/>
                      <w:b/>
                      <w:szCs w:val="21"/>
                    </w:rPr>
                  </w:pPr>
                  <w:r>
                    <w:rPr>
                      <w:rFonts w:ascii="Times New Roman" w:hAnsi="Times New Roman"/>
                      <w:b/>
                      <w:szCs w:val="21"/>
                    </w:rPr>
                    <w:t>落实情况</w:t>
                  </w:r>
                </w:p>
              </w:tc>
              <w:tc>
                <w:tcPr>
                  <w:tcW w:w="676" w:type="pct"/>
                </w:tcPr>
                <w:p w14:paraId="4E9E7885">
                  <w:pPr>
                    <w:spacing w:line="0" w:lineRule="atLeast"/>
                    <w:jc w:val="center"/>
                    <w:rPr>
                      <w:rFonts w:ascii="Times New Roman" w:hAnsi="Times New Roman"/>
                      <w:b/>
                      <w:szCs w:val="21"/>
                    </w:rPr>
                  </w:pPr>
                  <w:r>
                    <w:rPr>
                      <w:rFonts w:ascii="Times New Roman" w:hAnsi="Times New Roman"/>
                      <w:b/>
                      <w:szCs w:val="21"/>
                    </w:rPr>
                    <w:t>符合情况</w:t>
                  </w:r>
                </w:p>
              </w:tc>
            </w:tr>
            <w:tr w14:paraId="595D0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13AA1BFA">
                  <w:pPr>
                    <w:spacing w:before="120" w:beforeLines="50" w:line="0" w:lineRule="atLeast"/>
                    <w:jc w:val="center"/>
                    <w:rPr>
                      <w:rFonts w:ascii="Times New Roman" w:hAnsi="Times New Roman"/>
                      <w:szCs w:val="21"/>
                    </w:rPr>
                  </w:pPr>
                  <w:r>
                    <w:rPr>
                      <w:rFonts w:ascii="Times New Roman" w:hAnsi="Times New Roman"/>
                      <w:szCs w:val="21"/>
                    </w:rPr>
                    <w:t>1</w:t>
                  </w:r>
                </w:p>
              </w:tc>
              <w:tc>
                <w:tcPr>
                  <w:tcW w:w="2574" w:type="pct"/>
                  <w:vAlign w:val="center"/>
                </w:tcPr>
                <w:p w14:paraId="7FFFF03A">
                  <w:pPr>
                    <w:autoSpaceDE w:val="0"/>
                    <w:autoSpaceDN w:val="0"/>
                    <w:adjustRightInd w:val="0"/>
                    <w:jc w:val="left"/>
                    <w:rPr>
                      <w:rFonts w:ascii="Times New Roman" w:hAnsi="Times New Roman"/>
                      <w:kern w:val="0"/>
                      <w:szCs w:val="21"/>
                    </w:rPr>
                  </w:pPr>
                  <w:r>
                    <w:rPr>
                      <w:rFonts w:ascii="Times New Roman" w:hAnsi="Times New Roman"/>
                      <w:kern w:val="0"/>
                      <w:szCs w:val="21"/>
                    </w:rPr>
                    <w:t>第五条</w:t>
                  </w:r>
                </w:p>
                <w:p w14:paraId="18AFD9EF">
                  <w:pPr>
                    <w:autoSpaceDE w:val="0"/>
                    <w:autoSpaceDN w:val="0"/>
                    <w:adjustRightInd w:val="0"/>
                    <w:jc w:val="left"/>
                    <w:rPr>
                      <w:rFonts w:ascii="Times New Roman" w:hAnsi="Times New Roman"/>
                      <w:szCs w:val="21"/>
                    </w:rPr>
                  </w:pPr>
                  <w:r>
                    <w:rPr>
                      <w:rFonts w:ascii="Times New Roman" w:hAnsi="Times New Roman"/>
                      <w:kern w:val="0"/>
                      <w:szCs w:val="21"/>
                    </w:rPr>
                    <w:t>生产、销售、使用、贮存放射性同位素与射线装置的场所，应当按照国家有关规定设置明显的放射性标志，其出口处应当按照国家有关安全和防护标准的要求，设置安全和防护设施以及必要的防护安全联锁、报警装置或者工作信号。</w:t>
                  </w:r>
                </w:p>
              </w:tc>
              <w:tc>
                <w:tcPr>
                  <w:tcW w:w="1316" w:type="pct"/>
                  <w:vAlign w:val="center"/>
                </w:tcPr>
                <w:p w14:paraId="2D4858DA">
                  <w:pPr>
                    <w:autoSpaceDE w:val="0"/>
                    <w:autoSpaceDN w:val="0"/>
                    <w:adjustRightInd w:val="0"/>
                    <w:rPr>
                      <w:rFonts w:ascii="Times New Roman" w:hAnsi="Times New Roman"/>
                      <w:szCs w:val="21"/>
                    </w:rPr>
                  </w:pPr>
                  <w:r>
                    <w:rPr>
                      <w:rFonts w:ascii="Times New Roman" w:hAnsi="Times New Roman"/>
                      <w:kern w:val="0"/>
                    </w:rPr>
                    <w:t>辐射工作场所设计有辐射防护措施和安全联锁系统，能够防止工作人员和公众受到意外照射的安全措施。</w:t>
                  </w:r>
                  <w:r>
                    <w:rPr>
                      <w:rFonts w:ascii="Times New Roman" w:hAnsi="Times New Roman"/>
                      <w:kern w:val="0"/>
                      <w:szCs w:val="21"/>
                    </w:rPr>
                    <w:t>相关场所明显位置处设电离辐射警告标志。</w:t>
                  </w:r>
                </w:p>
              </w:tc>
              <w:tc>
                <w:tcPr>
                  <w:tcW w:w="676" w:type="pct"/>
                  <w:vAlign w:val="center"/>
                </w:tcPr>
                <w:p w14:paraId="4B85716C">
                  <w:pPr>
                    <w:spacing w:before="120" w:beforeLines="50" w:line="0" w:lineRule="atLeast"/>
                    <w:jc w:val="center"/>
                    <w:rPr>
                      <w:rFonts w:ascii="Times New Roman" w:hAnsi="Times New Roman"/>
                      <w:szCs w:val="21"/>
                    </w:rPr>
                  </w:pPr>
                  <w:r>
                    <w:rPr>
                      <w:rFonts w:ascii="Times New Roman" w:hAnsi="Times New Roman"/>
                      <w:szCs w:val="21"/>
                    </w:rPr>
                    <w:t>符合</w:t>
                  </w:r>
                </w:p>
              </w:tc>
            </w:tr>
            <w:tr w14:paraId="407E6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610840E3">
                  <w:pPr>
                    <w:spacing w:before="120" w:beforeLines="50" w:line="0" w:lineRule="atLeast"/>
                    <w:jc w:val="center"/>
                    <w:rPr>
                      <w:rFonts w:ascii="Times New Roman" w:hAnsi="Times New Roman"/>
                      <w:szCs w:val="21"/>
                    </w:rPr>
                  </w:pPr>
                  <w:r>
                    <w:rPr>
                      <w:rFonts w:ascii="Times New Roman" w:hAnsi="Times New Roman"/>
                      <w:szCs w:val="21"/>
                    </w:rPr>
                    <w:t>3</w:t>
                  </w:r>
                </w:p>
              </w:tc>
              <w:tc>
                <w:tcPr>
                  <w:tcW w:w="2574" w:type="pct"/>
                  <w:vAlign w:val="center"/>
                </w:tcPr>
                <w:p w14:paraId="14AE255A">
                  <w:pPr>
                    <w:autoSpaceDE w:val="0"/>
                    <w:autoSpaceDN w:val="0"/>
                    <w:adjustRightInd w:val="0"/>
                    <w:jc w:val="left"/>
                    <w:rPr>
                      <w:rFonts w:ascii="Times New Roman" w:hAnsi="Times New Roman"/>
                      <w:kern w:val="0"/>
                      <w:szCs w:val="21"/>
                    </w:rPr>
                  </w:pPr>
                  <w:r>
                    <w:rPr>
                      <w:rFonts w:ascii="Times New Roman" w:hAnsi="Times New Roman"/>
                      <w:kern w:val="0"/>
                      <w:szCs w:val="21"/>
                    </w:rPr>
                    <w:t>第九条</w:t>
                  </w:r>
                </w:p>
                <w:p w14:paraId="77DB9BD9">
                  <w:pPr>
                    <w:autoSpaceDE w:val="0"/>
                    <w:autoSpaceDN w:val="0"/>
                    <w:adjustRightInd w:val="0"/>
                    <w:jc w:val="left"/>
                    <w:rPr>
                      <w:rFonts w:ascii="Times New Roman" w:hAnsi="Times New Roman"/>
                      <w:szCs w:val="21"/>
                    </w:rPr>
                  </w:pPr>
                  <w:r>
                    <w:rPr>
                      <w:rFonts w:ascii="Times New Roman" w:hAnsi="Times New Roman"/>
                      <w:kern w:val="0"/>
                      <w:szCs w:val="21"/>
                    </w:rPr>
                    <w:t>生产、销售、使用放射性同位素与射线装置的单位，应当按照国家环境监测规范，对相关场所进行辐射监测，并对监测数据的真实性、可靠性负责；不具备自行监测能力的，可以委托经省级人民政府环境保护主管部门认定的环境监测机构进行监测。</w:t>
                  </w:r>
                </w:p>
              </w:tc>
              <w:tc>
                <w:tcPr>
                  <w:tcW w:w="1316" w:type="pct"/>
                  <w:vAlign w:val="center"/>
                </w:tcPr>
                <w:p w14:paraId="3EF6CFD7">
                  <w:pPr>
                    <w:autoSpaceDE w:val="0"/>
                    <w:autoSpaceDN w:val="0"/>
                    <w:adjustRightInd w:val="0"/>
                    <w:rPr>
                      <w:rFonts w:ascii="Times New Roman" w:hAnsi="Times New Roman"/>
                      <w:szCs w:val="21"/>
                    </w:rPr>
                  </w:pPr>
                  <w:r>
                    <w:rPr>
                      <w:rFonts w:ascii="Times New Roman" w:hAnsi="Times New Roman"/>
                      <w:kern w:val="0"/>
                      <w:szCs w:val="21"/>
                    </w:rPr>
                    <w:t>委托有辐射水平监测资质单位每年跟随对现场辐射工作场所及其周围环境进行1次监测。</w:t>
                  </w:r>
                </w:p>
              </w:tc>
              <w:tc>
                <w:tcPr>
                  <w:tcW w:w="676" w:type="pct"/>
                  <w:vAlign w:val="center"/>
                </w:tcPr>
                <w:p w14:paraId="1D903643">
                  <w:pPr>
                    <w:spacing w:before="120" w:beforeLines="50" w:line="0" w:lineRule="atLeast"/>
                    <w:jc w:val="center"/>
                    <w:rPr>
                      <w:rFonts w:ascii="Times New Roman" w:hAnsi="Times New Roman"/>
                      <w:szCs w:val="21"/>
                    </w:rPr>
                  </w:pPr>
                  <w:r>
                    <w:rPr>
                      <w:rFonts w:ascii="Times New Roman" w:hAnsi="Times New Roman"/>
                      <w:szCs w:val="21"/>
                    </w:rPr>
                    <w:t>符合</w:t>
                  </w:r>
                </w:p>
              </w:tc>
            </w:tr>
            <w:tr w14:paraId="0F0C3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4BA64650">
                  <w:pPr>
                    <w:spacing w:before="120" w:beforeLines="50" w:line="0" w:lineRule="atLeast"/>
                    <w:jc w:val="center"/>
                    <w:rPr>
                      <w:rFonts w:ascii="Times New Roman" w:hAnsi="Times New Roman"/>
                      <w:szCs w:val="21"/>
                    </w:rPr>
                  </w:pPr>
                  <w:r>
                    <w:rPr>
                      <w:rFonts w:ascii="Times New Roman" w:hAnsi="Times New Roman"/>
                      <w:szCs w:val="21"/>
                    </w:rPr>
                    <w:t>4</w:t>
                  </w:r>
                </w:p>
              </w:tc>
              <w:tc>
                <w:tcPr>
                  <w:tcW w:w="2574" w:type="pct"/>
                  <w:vAlign w:val="center"/>
                </w:tcPr>
                <w:p w14:paraId="44E43C96">
                  <w:pPr>
                    <w:autoSpaceDE w:val="0"/>
                    <w:autoSpaceDN w:val="0"/>
                    <w:adjustRightInd w:val="0"/>
                    <w:jc w:val="left"/>
                    <w:rPr>
                      <w:rFonts w:ascii="Times New Roman" w:hAnsi="Times New Roman"/>
                      <w:kern w:val="0"/>
                      <w:szCs w:val="21"/>
                    </w:rPr>
                  </w:pPr>
                  <w:r>
                    <w:rPr>
                      <w:rFonts w:ascii="Times New Roman" w:hAnsi="Times New Roman"/>
                      <w:kern w:val="0"/>
                      <w:szCs w:val="21"/>
                    </w:rPr>
                    <w:t>第十二条</w:t>
                  </w:r>
                </w:p>
                <w:p w14:paraId="02F511F3">
                  <w:pPr>
                    <w:autoSpaceDE w:val="0"/>
                    <w:autoSpaceDN w:val="0"/>
                    <w:adjustRightInd w:val="0"/>
                    <w:jc w:val="left"/>
                    <w:rPr>
                      <w:rFonts w:ascii="Times New Roman" w:hAnsi="Times New Roman"/>
                      <w:szCs w:val="21"/>
                    </w:rPr>
                  </w:pPr>
                  <w:r>
                    <w:rPr>
                      <w:rFonts w:ascii="Times New Roman" w:hAnsi="Times New Roman"/>
                      <w:kern w:val="0"/>
                      <w:szCs w:val="21"/>
                    </w:rPr>
                    <w:t>生产、销售、使用放射性同位素与射线装置的单位，应当对本单位的放射性同位素与射线装置的安全和防护状况进行年度评估，并于每年1月31日前向发证机关提交上一年度的评估报告。</w:t>
                  </w:r>
                </w:p>
              </w:tc>
              <w:tc>
                <w:tcPr>
                  <w:tcW w:w="1316" w:type="pct"/>
                  <w:vAlign w:val="center"/>
                </w:tcPr>
                <w:p w14:paraId="0EBE4762">
                  <w:pPr>
                    <w:autoSpaceDE w:val="0"/>
                    <w:autoSpaceDN w:val="0"/>
                    <w:adjustRightInd w:val="0"/>
                    <w:rPr>
                      <w:rFonts w:ascii="Times New Roman" w:hAnsi="Times New Roman"/>
                      <w:szCs w:val="21"/>
                    </w:rPr>
                  </w:pPr>
                  <w:r>
                    <w:rPr>
                      <w:rFonts w:ascii="Times New Roman" w:hAnsi="Times New Roman"/>
                      <w:kern w:val="0"/>
                      <w:szCs w:val="21"/>
                    </w:rPr>
                    <w:t>承诺每年1月31日前向生态环境管理部门提交年度评估报告。</w:t>
                  </w:r>
                </w:p>
              </w:tc>
              <w:tc>
                <w:tcPr>
                  <w:tcW w:w="676" w:type="pct"/>
                  <w:vAlign w:val="center"/>
                </w:tcPr>
                <w:p w14:paraId="34C5459C">
                  <w:pPr>
                    <w:spacing w:before="120" w:beforeLines="50" w:line="0" w:lineRule="atLeast"/>
                    <w:jc w:val="center"/>
                    <w:rPr>
                      <w:rFonts w:ascii="Times New Roman" w:hAnsi="Times New Roman"/>
                      <w:szCs w:val="21"/>
                    </w:rPr>
                  </w:pPr>
                  <w:r>
                    <w:rPr>
                      <w:rFonts w:ascii="Times New Roman" w:hAnsi="Times New Roman"/>
                      <w:szCs w:val="21"/>
                    </w:rPr>
                    <w:t>符合</w:t>
                  </w:r>
                </w:p>
              </w:tc>
            </w:tr>
            <w:tr w14:paraId="7071A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6266D88A">
                  <w:pPr>
                    <w:spacing w:before="120" w:beforeLines="50" w:line="0" w:lineRule="atLeast"/>
                    <w:jc w:val="center"/>
                    <w:rPr>
                      <w:rFonts w:ascii="Times New Roman" w:hAnsi="Times New Roman"/>
                      <w:szCs w:val="21"/>
                    </w:rPr>
                  </w:pPr>
                  <w:r>
                    <w:rPr>
                      <w:rFonts w:ascii="Times New Roman" w:hAnsi="Times New Roman"/>
                      <w:szCs w:val="21"/>
                    </w:rPr>
                    <w:t>5</w:t>
                  </w:r>
                </w:p>
              </w:tc>
              <w:tc>
                <w:tcPr>
                  <w:tcW w:w="2574" w:type="pct"/>
                  <w:vAlign w:val="center"/>
                </w:tcPr>
                <w:p w14:paraId="1E8E1E18">
                  <w:pPr>
                    <w:autoSpaceDE w:val="0"/>
                    <w:autoSpaceDN w:val="0"/>
                    <w:adjustRightInd w:val="0"/>
                    <w:jc w:val="left"/>
                    <w:rPr>
                      <w:rFonts w:ascii="Times New Roman" w:hAnsi="Times New Roman"/>
                      <w:kern w:val="0"/>
                      <w:szCs w:val="21"/>
                    </w:rPr>
                  </w:pPr>
                  <w:r>
                    <w:rPr>
                      <w:rFonts w:ascii="Times New Roman" w:hAnsi="Times New Roman"/>
                      <w:kern w:val="0"/>
                      <w:szCs w:val="21"/>
                    </w:rPr>
                    <w:t>第十七条</w:t>
                  </w:r>
                </w:p>
                <w:p w14:paraId="4D255124">
                  <w:pPr>
                    <w:autoSpaceDE w:val="0"/>
                    <w:autoSpaceDN w:val="0"/>
                    <w:adjustRightInd w:val="0"/>
                    <w:jc w:val="left"/>
                    <w:rPr>
                      <w:rFonts w:ascii="Times New Roman" w:hAnsi="Times New Roman"/>
                      <w:szCs w:val="21"/>
                    </w:rPr>
                  </w:pPr>
                  <w:r>
                    <w:rPr>
                      <w:rFonts w:ascii="Times New Roman" w:hAnsi="Times New Roman"/>
                      <w:kern w:val="0"/>
                      <w:szCs w:val="21"/>
                    </w:rPr>
                    <w:t>生产、销售、使用放射性同位素与射线装置的单位，应当按照环境保护部审定的辐射安全培训和考试大纲，对直接从事生产、销售、使用活动的操作人员以及辐射防护负责人进行辐射安全培训，并进行考核；考核不合格的，不得上岗。</w:t>
                  </w:r>
                </w:p>
              </w:tc>
              <w:tc>
                <w:tcPr>
                  <w:tcW w:w="1316" w:type="pct"/>
                  <w:vAlign w:val="center"/>
                </w:tcPr>
                <w:p w14:paraId="2BA6A46D">
                  <w:pPr>
                    <w:autoSpaceDE w:val="0"/>
                    <w:autoSpaceDN w:val="0"/>
                    <w:adjustRightInd w:val="0"/>
                    <w:rPr>
                      <w:rFonts w:ascii="Times New Roman" w:hAnsi="Times New Roman"/>
                      <w:szCs w:val="21"/>
                    </w:rPr>
                  </w:pPr>
                  <w:r>
                    <w:rPr>
                      <w:rFonts w:ascii="Times New Roman" w:hAnsi="Times New Roman"/>
                      <w:kern w:val="0"/>
                      <w:szCs w:val="21"/>
                    </w:rPr>
                    <w:t>本项目辐射工作人员拟安排参加辐射安全培训，掌握辐射防护的相关知识。</w:t>
                  </w:r>
                </w:p>
              </w:tc>
              <w:tc>
                <w:tcPr>
                  <w:tcW w:w="676" w:type="pct"/>
                  <w:vAlign w:val="center"/>
                </w:tcPr>
                <w:p w14:paraId="32FEB4FA">
                  <w:pPr>
                    <w:spacing w:before="120" w:beforeLines="50" w:line="0" w:lineRule="atLeast"/>
                    <w:jc w:val="center"/>
                    <w:rPr>
                      <w:rFonts w:ascii="Times New Roman" w:hAnsi="Times New Roman"/>
                      <w:szCs w:val="21"/>
                    </w:rPr>
                  </w:pPr>
                  <w:r>
                    <w:rPr>
                      <w:rFonts w:ascii="Times New Roman" w:hAnsi="Times New Roman"/>
                      <w:szCs w:val="21"/>
                    </w:rPr>
                    <w:t>符合</w:t>
                  </w:r>
                </w:p>
              </w:tc>
            </w:tr>
            <w:tr w14:paraId="38546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539FDAEA">
                  <w:pPr>
                    <w:spacing w:before="120" w:beforeLines="50" w:line="0" w:lineRule="atLeast"/>
                    <w:jc w:val="center"/>
                    <w:rPr>
                      <w:rFonts w:ascii="Times New Roman" w:hAnsi="Times New Roman"/>
                      <w:szCs w:val="21"/>
                    </w:rPr>
                  </w:pPr>
                  <w:r>
                    <w:rPr>
                      <w:rFonts w:ascii="Times New Roman" w:hAnsi="Times New Roman"/>
                      <w:szCs w:val="21"/>
                    </w:rPr>
                    <w:t>6</w:t>
                  </w:r>
                </w:p>
              </w:tc>
              <w:tc>
                <w:tcPr>
                  <w:tcW w:w="2574" w:type="pct"/>
                  <w:vAlign w:val="center"/>
                </w:tcPr>
                <w:p w14:paraId="369E15A8">
                  <w:pPr>
                    <w:autoSpaceDE w:val="0"/>
                    <w:autoSpaceDN w:val="0"/>
                    <w:adjustRightInd w:val="0"/>
                    <w:jc w:val="left"/>
                    <w:rPr>
                      <w:rFonts w:ascii="Times New Roman" w:hAnsi="Times New Roman"/>
                      <w:kern w:val="0"/>
                      <w:szCs w:val="21"/>
                    </w:rPr>
                  </w:pPr>
                  <w:r>
                    <w:rPr>
                      <w:rFonts w:ascii="Times New Roman" w:hAnsi="Times New Roman"/>
                      <w:kern w:val="0"/>
                      <w:szCs w:val="21"/>
                    </w:rPr>
                    <w:t>第二十三条</w:t>
                  </w:r>
                </w:p>
                <w:p w14:paraId="69B18EEB">
                  <w:pPr>
                    <w:autoSpaceDE w:val="0"/>
                    <w:autoSpaceDN w:val="0"/>
                    <w:adjustRightInd w:val="0"/>
                    <w:jc w:val="left"/>
                    <w:rPr>
                      <w:rFonts w:ascii="Times New Roman" w:hAnsi="Times New Roman"/>
                      <w:szCs w:val="21"/>
                    </w:rPr>
                  </w:pPr>
                  <w:r>
                    <w:rPr>
                      <w:rFonts w:ascii="Times New Roman" w:hAnsi="Times New Roman"/>
                      <w:kern w:val="0"/>
                      <w:szCs w:val="21"/>
                    </w:rPr>
                    <w:t>生产、销售、使用放射性同位素与射线装置的单位，应当按照法律、行政法规以及国家环境保护和职业卫生标准，对本单位的辐射工作人员进行个人剂量监测；发现个人剂量监测结果异常的，应当立即核实和调查，并将有关情况及时报告辐射安全许可证发证机关。</w:t>
                  </w:r>
                </w:p>
              </w:tc>
              <w:tc>
                <w:tcPr>
                  <w:tcW w:w="1316" w:type="pct"/>
                  <w:vAlign w:val="center"/>
                </w:tcPr>
                <w:p w14:paraId="5BC4B2BF">
                  <w:pPr>
                    <w:autoSpaceDE w:val="0"/>
                    <w:autoSpaceDN w:val="0"/>
                    <w:adjustRightInd w:val="0"/>
                    <w:rPr>
                      <w:rFonts w:ascii="Times New Roman" w:hAnsi="Times New Roman"/>
                      <w:spacing w:val="-2"/>
                      <w:szCs w:val="21"/>
                    </w:rPr>
                  </w:pPr>
                  <w:r>
                    <w:rPr>
                      <w:rFonts w:ascii="Times New Roman" w:hAnsi="Times New Roman"/>
                      <w:kern w:val="0"/>
                      <w:szCs w:val="21"/>
                    </w:rPr>
                    <w:t>将为所从事辐射工作的人员配备个人剂量计，并委托有资质单位进行个人剂量监测（每季度1次）。</w:t>
                  </w:r>
                </w:p>
              </w:tc>
              <w:tc>
                <w:tcPr>
                  <w:tcW w:w="676" w:type="pct"/>
                  <w:vAlign w:val="center"/>
                </w:tcPr>
                <w:p w14:paraId="240A4060">
                  <w:pPr>
                    <w:spacing w:before="120" w:beforeLines="50" w:line="0" w:lineRule="atLeast"/>
                    <w:jc w:val="center"/>
                    <w:rPr>
                      <w:rFonts w:ascii="Times New Roman" w:hAnsi="Times New Roman"/>
                      <w:szCs w:val="21"/>
                    </w:rPr>
                  </w:pPr>
                  <w:r>
                    <w:rPr>
                      <w:rFonts w:ascii="Times New Roman" w:hAnsi="Times New Roman"/>
                      <w:szCs w:val="21"/>
                    </w:rPr>
                    <w:t>符合</w:t>
                  </w:r>
                </w:p>
              </w:tc>
            </w:tr>
            <w:tr w14:paraId="6575B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1910EEE2">
                  <w:pPr>
                    <w:spacing w:before="120" w:beforeLines="50" w:line="0" w:lineRule="atLeast"/>
                    <w:jc w:val="center"/>
                    <w:rPr>
                      <w:rFonts w:ascii="Times New Roman" w:hAnsi="Times New Roman"/>
                      <w:szCs w:val="21"/>
                    </w:rPr>
                  </w:pPr>
                  <w:r>
                    <w:rPr>
                      <w:rFonts w:ascii="Times New Roman" w:hAnsi="Times New Roman"/>
                      <w:szCs w:val="21"/>
                    </w:rPr>
                    <w:t>7</w:t>
                  </w:r>
                </w:p>
              </w:tc>
              <w:tc>
                <w:tcPr>
                  <w:tcW w:w="2574" w:type="pct"/>
                  <w:vAlign w:val="center"/>
                </w:tcPr>
                <w:p w14:paraId="39A91A9C">
                  <w:pPr>
                    <w:autoSpaceDE w:val="0"/>
                    <w:autoSpaceDN w:val="0"/>
                    <w:adjustRightInd w:val="0"/>
                    <w:jc w:val="left"/>
                    <w:rPr>
                      <w:rFonts w:ascii="Times New Roman" w:hAnsi="Times New Roman"/>
                      <w:kern w:val="0"/>
                      <w:szCs w:val="21"/>
                    </w:rPr>
                  </w:pPr>
                  <w:r>
                    <w:rPr>
                      <w:rFonts w:ascii="Times New Roman" w:hAnsi="Times New Roman"/>
                      <w:kern w:val="0"/>
                      <w:szCs w:val="21"/>
                    </w:rPr>
                    <w:t>第二十四条</w:t>
                  </w:r>
                </w:p>
                <w:p w14:paraId="276EA997">
                  <w:pPr>
                    <w:autoSpaceDE w:val="0"/>
                    <w:autoSpaceDN w:val="0"/>
                    <w:adjustRightInd w:val="0"/>
                    <w:jc w:val="left"/>
                    <w:rPr>
                      <w:rFonts w:ascii="Times New Roman" w:hAnsi="Times New Roman"/>
                      <w:szCs w:val="21"/>
                    </w:rPr>
                  </w:pPr>
                  <w:r>
                    <w:rPr>
                      <w:rFonts w:ascii="Times New Roman" w:hAnsi="Times New Roman"/>
                      <w:kern w:val="0"/>
                      <w:szCs w:val="21"/>
                    </w:rPr>
                    <w:t>生产、销售、使用放射性同位素与射线装置的单位，不具备个人剂量监测能力的，应当委托具备条件的机构进行个人剂量监测。</w:t>
                  </w:r>
                </w:p>
              </w:tc>
              <w:tc>
                <w:tcPr>
                  <w:tcW w:w="1316" w:type="pct"/>
                  <w:vAlign w:val="center"/>
                </w:tcPr>
                <w:p w14:paraId="5B6CD44E">
                  <w:pPr>
                    <w:autoSpaceDE w:val="0"/>
                    <w:autoSpaceDN w:val="0"/>
                    <w:adjustRightInd w:val="0"/>
                    <w:rPr>
                      <w:rFonts w:ascii="Times New Roman" w:hAnsi="Times New Roman"/>
                      <w:szCs w:val="21"/>
                    </w:rPr>
                  </w:pPr>
                  <w:r>
                    <w:rPr>
                      <w:rFonts w:ascii="Times New Roman" w:hAnsi="Times New Roman"/>
                      <w:kern w:val="0"/>
                      <w:szCs w:val="21"/>
                    </w:rPr>
                    <w:t>拟委托有资质单位对辐射工作人员进行个人剂量监测。</w:t>
                  </w:r>
                </w:p>
              </w:tc>
              <w:tc>
                <w:tcPr>
                  <w:tcW w:w="676" w:type="pct"/>
                  <w:vAlign w:val="center"/>
                </w:tcPr>
                <w:p w14:paraId="791994FE">
                  <w:pPr>
                    <w:spacing w:before="120" w:beforeLines="50" w:line="0" w:lineRule="atLeast"/>
                    <w:jc w:val="center"/>
                    <w:rPr>
                      <w:rFonts w:ascii="Times New Roman" w:hAnsi="Times New Roman"/>
                      <w:szCs w:val="21"/>
                    </w:rPr>
                  </w:pPr>
                  <w:r>
                    <w:rPr>
                      <w:rFonts w:ascii="Times New Roman" w:hAnsi="Times New Roman"/>
                      <w:szCs w:val="21"/>
                    </w:rPr>
                    <w:t>符合</w:t>
                  </w:r>
                </w:p>
              </w:tc>
            </w:tr>
          </w:tbl>
          <w:p w14:paraId="70770B54">
            <w:pPr>
              <w:rPr>
                <w:rFonts w:ascii="Times New Roman" w:hAnsi="Times New Roman"/>
              </w:rPr>
            </w:pPr>
          </w:p>
        </w:tc>
      </w:tr>
      <w:tr w14:paraId="2BD2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3" w:type="dxa"/>
          </w:tcPr>
          <w:p w14:paraId="23F874E8">
            <w:pPr>
              <w:adjustRightInd w:val="0"/>
              <w:snapToGrid w:val="0"/>
              <w:spacing w:before="120" w:beforeLines="50" w:line="360" w:lineRule="auto"/>
              <w:jc w:val="left"/>
              <w:rPr>
                <w:rFonts w:ascii="Times New Roman" w:hAnsi="Times New Roman"/>
                <w:b/>
                <w:bCs/>
                <w:sz w:val="28"/>
                <w:szCs w:val="28"/>
              </w:rPr>
            </w:pPr>
            <w:r>
              <w:rPr>
                <w:rFonts w:ascii="Times New Roman" w:hAnsi="Times New Roman"/>
                <w:b/>
                <w:bCs/>
                <w:sz w:val="28"/>
                <w:szCs w:val="28"/>
              </w:rPr>
              <w:t>辐射安全管理规章制度</w:t>
            </w:r>
          </w:p>
          <w:p w14:paraId="6E617501">
            <w:pPr>
              <w:autoSpaceDE w:val="0"/>
              <w:autoSpaceDN w:val="0"/>
              <w:adjustRightInd w:val="0"/>
              <w:spacing w:line="360" w:lineRule="auto"/>
              <w:ind w:firstLine="437"/>
              <w:rPr>
                <w:rFonts w:ascii="Times New Roman" w:hAnsi="Times New Roman"/>
                <w:sz w:val="24"/>
              </w:rPr>
            </w:pPr>
            <w:r>
              <w:rPr>
                <w:rFonts w:ascii="Times New Roman" w:hAnsi="Times New Roman"/>
                <w:sz w:val="24"/>
              </w:rPr>
              <w:t>为了加强辐射安全和防护管理，公司制定了辐射安全管理制度：《辐射安全与环境保护管理机构制度》、《X射线探伤机操作规程》、《辐射工作人员岗位职责》、《辐射安全与防护保卫制度》、《设备检修与维护制度》、《</w:t>
            </w:r>
            <w:r>
              <w:rPr>
                <w:rFonts w:ascii="Times New Roman" w:hAnsi="Times New Roman"/>
                <w:bCs/>
                <w:sz w:val="24"/>
              </w:rPr>
              <w:t>X射线机使用登记制度</w:t>
            </w:r>
            <w:r>
              <w:rPr>
                <w:rFonts w:ascii="Times New Roman" w:hAnsi="Times New Roman"/>
                <w:sz w:val="24"/>
              </w:rPr>
              <w:t>》、《监测仪表使用与校验管理制度》、《辐射工作人员培训管理制度》、《个人剂量监测制度》、《辐射监测方案》、《</w:t>
            </w:r>
            <w:r>
              <w:rPr>
                <w:rFonts w:ascii="Times New Roman" w:hAnsi="Times New Roman"/>
                <w:bCs/>
                <w:sz w:val="24"/>
              </w:rPr>
              <w:t>辐射工作安全责任制度</w:t>
            </w:r>
            <w:r>
              <w:rPr>
                <w:rFonts w:ascii="Times New Roman" w:hAnsi="Times New Roman"/>
                <w:sz w:val="24"/>
              </w:rPr>
              <w:t>》和《辐射事故应急预案》等规章制度。</w:t>
            </w:r>
          </w:p>
        </w:tc>
      </w:tr>
      <w:tr w14:paraId="1184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3" w:type="dxa"/>
          </w:tcPr>
          <w:p w14:paraId="48E3D4E9">
            <w:pPr>
              <w:pStyle w:val="14"/>
              <w:spacing w:before="120" w:beforeLines="50" w:line="360" w:lineRule="auto"/>
              <w:jc w:val="left"/>
              <w:rPr>
                <w:rFonts w:ascii="Times New Roman" w:hAnsi="Times New Roman"/>
                <w:b/>
                <w:bCs/>
                <w:szCs w:val="28"/>
              </w:rPr>
            </w:pPr>
            <w:r>
              <w:rPr>
                <w:rFonts w:ascii="Times New Roman" w:hAnsi="Times New Roman"/>
                <w:b/>
                <w:bCs/>
                <w:szCs w:val="28"/>
              </w:rPr>
              <w:t>辐射监测</w:t>
            </w:r>
          </w:p>
          <w:p w14:paraId="676BBB85">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辐射监测是安全防护的一项必要措施，通过辐射剂量监测得到的数据，可以分析判断和估计电离辐射水平，防止人员受到过量的照射。根据实际情况，需建立辐射剂量监测制度，包括工作场所监测和个人剂量检测。</w:t>
            </w:r>
          </w:p>
          <w:p w14:paraId="2B05C518">
            <w:pPr>
              <w:pStyle w:val="14"/>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一、工作场所监测</w:t>
            </w:r>
          </w:p>
          <w:p w14:paraId="638AD2F1">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1、年度监测：委托有资质的单位跟随现场对辐射工作场所的剂量进行监测，监测周期为1次/年；年度监测报告应作为《安全和防护状况年度评估报告》的重要组成内容一并提交给发证机关。</w:t>
            </w:r>
          </w:p>
          <w:p w14:paraId="5FCB5518">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2、日常自我监测：每次野外（室外）探伤作业时自行开展辐射监测，制定各工作场所的定期监测制度，监测数据应存档备案。</w:t>
            </w:r>
          </w:p>
          <w:p w14:paraId="168C68FD">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1）单位自我监测建设单位定期对辐射工作场所进行监测，随时掌握辐射工作场所剂量变化情况，发现问题及时维护、整改。做好监测数据的审核，制定相应的报送程序，监测数据及报送情况存档备案。建设单位可以购买便携式辐射监测仪自行监测，也可以委托有资质的单位跟随现场对辐射工作场所进行监测。</w:t>
            </w:r>
          </w:p>
          <w:p w14:paraId="23A481A3">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（2）监测内容和要求</w:t>
            </w:r>
          </w:p>
          <w:p w14:paraId="790E07E1">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1）监测内容：X-γ空气吸收剂量率。</w:t>
            </w:r>
          </w:p>
          <w:p w14:paraId="2A512F63">
            <w:pPr>
              <w:pStyle w:val="14"/>
              <w:adjustRightInd w:val="0"/>
              <w:snapToGrid w:val="0"/>
              <w:spacing w:line="440" w:lineRule="exact"/>
              <w:ind w:firstLine="480" w:firstLineChars="200"/>
              <w:rPr>
                <w:rFonts w:ascii="Times New Roman" w:hAnsi="Times New Roman"/>
                <w:sz w:val="24"/>
              </w:rPr>
            </w:pPr>
            <w:r>
              <w:rPr>
                <w:rFonts w:ascii="Times New Roman" w:hAnsi="Times New Roman"/>
                <w:sz w:val="24"/>
              </w:rPr>
              <w:t>2）监测布点及数据管理：监测布点应参考环评提出的监测计划（表12-4）或验收监测布点方案。监测数据应记录完善，并将数据实时汇总，建立好监测数据台账以便核查。</w:t>
            </w:r>
          </w:p>
          <w:p w14:paraId="0793AB21">
            <w:pPr>
              <w:pStyle w:val="14"/>
              <w:adjustRightInd w:val="0"/>
              <w:snapToGrid w:val="0"/>
              <w:spacing w:line="440" w:lineRule="exact"/>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sz w:val="21"/>
                <w:szCs w:val="21"/>
              </w:rPr>
              <w:t xml:space="preserve">12-4 </w:t>
            </w:r>
            <w:r>
              <w:rPr>
                <w:rFonts w:ascii="Times New Roman" w:hAnsi="Times New Roman"/>
                <w:b/>
                <w:bCs/>
                <w:sz w:val="21"/>
                <w:szCs w:val="21"/>
              </w:rPr>
              <w:t>工作场所监测计划建议</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276"/>
              <w:gridCol w:w="3402"/>
              <w:gridCol w:w="2776"/>
            </w:tblGrid>
            <w:tr w14:paraId="3BFF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Align w:val="center"/>
                </w:tcPr>
                <w:p w14:paraId="4718D360">
                  <w:pPr>
                    <w:pStyle w:val="14"/>
                    <w:adjustRightInd w:val="0"/>
                    <w:snapToGrid w:val="0"/>
                    <w:jc w:val="center"/>
                    <w:rPr>
                      <w:rFonts w:ascii="Times New Roman" w:hAnsi="Times New Roman"/>
                      <w:sz w:val="21"/>
                      <w:szCs w:val="21"/>
                    </w:rPr>
                  </w:pPr>
                  <w:r>
                    <w:rPr>
                      <w:rFonts w:ascii="Times New Roman" w:hAnsi="Times New Roman"/>
                      <w:sz w:val="21"/>
                      <w:szCs w:val="21"/>
                    </w:rPr>
                    <w:t>场所</w:t>
                  </w:r>
                </w:p>
              </w:tc>
              <w:tc>
                <w:tcPr>
                  <w:tcW w:w="1276" w:type="dxa"/>
                  <w:vAlign w:val="center"/>
                </w:tcPr>
                <w:p w14:paraId="1E71E12B">
                  <w:pPr>
                    <w:pStyle w:val="14"/>
                    <w:adjustRightInd w:val="0"/>
                    <w:snapToGrid w:val="0"/>
                    <w:jc w:val="center"/>
                    <w:rPr>
                      <w:rFonts w:ascii="Times New Roman" w:hAnsi="Times New Roman"/>
                      <w:sz w:val="21"/>
                      <w:szCs w:val="21"/>
                    </w:rPr>
                  </w:pPr>
                  <w:r>
                    <w:rPr>
                      <w:rFonts w:ascii="Times New Roman" w:hAnsi="Times New Roman"/>
                      <w:sz w:val="21"/>
                      <w:szCs w:val="21"/>
                    </w:rPr>
                    <w:t>监测项目</w:t>
                  </w:r>
                </w:p>
              </w:tc>
              <w:tc>
                <w:tcPr>
                  <w:tcW w:w="3402" w:type="dxa"/>
                  <w:vAlign w:val="center"/>
                </w:tcPr>
                <w:p w14:paraId="11D7F98D">
                  <w:pPr>
                    <w:pStyle w:val="14"/>
                    <w:adjustRightInd w:val="0"/>
                    <w:snapToGrid w:val="0"/>
                    <w:jc w:val="center"/>
                    <w:rPr>
                      <w:rFonts w:ascii="Times New Roman" w:hAnsi="Times New Roman"/>
                      <w:sz w:val="21"/>
                      <w:szCs w:val="21"/>
                    </w:rPr>
                  </w:pPr>
                  <w:r>
                    <w:rPr>
                      <w:rFonts w:ascii="Times New Roman" w:hAnsi="Times New Roman"/>
                      <w:sz w:val="21"/>
                      <w:szCs w:val="21"/>
                    </w:rPr>
                    <w:t>监测周期</w:t>
                  </w:r>
                </w:p>
              </w:tc>
              <w:tc>
                <w:tcPr>
                  <w:tcW w:w="2776" w:type="dxa"/>
                  <w:vAlign w:val="center"/>
                </w:tcPr>
                <w:p w14:paraId="258D6247">
                  <w:pPr>
                    <w:pStyle w:val="14"/>
                    <w:adjustRightInd w:val="0"/>
                    <w:snapToGrid w:val="0"/>
                    <w:jc w:val="center"/>
                    <w:rPr>
                      <w:rFonts w:ascii="Times New Roman" w:hAnsi="Times New Roman"/>
                      <w:sz w:val="21"/>
                      <w:szCs w:val="21"/>
                    </w:rPr>
                  </w:pPr>
                  <w:r>
                    <w:rPr>
                      <w:rFonts w:ascii="Times New Roman" w:hAnsi="Times New Roman"/>
                      <w:sz w:val="21"/>
                      <w:szCs w:val="21"/>
                    </w:rPr>
                    <w:t>监测点位</w:t>
                  </w:r>
                </w:p>
              </w:tc>
            </w:tr>
            <w:tr w14:paraId="4315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Align w:val="center"/>
                </w:tcPr>
                <w:p w14:paraId="66F13D8D">
                  <w:pPr>
                    <w:pStyle w:val="14"/>
                    <w:adjustRightInd w:val="0"/>
                    <w:snapToGrid w:val="0"/>
                    <w:jc w:val="center"/>
                    <w:rPr>
                      <w:rFonts w:ascii="Times New Roman" w:hAnsi="Times New Roman"/>
                      <w:sz w:val="21"/>
                      <w:szCs w:val="21"/>
                    </w:rPr>
                  </w:pPr>
                  <w:r>
                    <w:rPr>
                      <w:rFonts w:ascii="Times New Roman" w:hAnsi="Times New Roman"/>
                      <w:sz w:val="21"/>
                      <w:szCs w:val="21"/>
                    </w:rPr>
                    <w:t>野外（室外）探伤场所</w:t>
                  </w:r>
                </w:p>
              </w:tc>
              <w:tc>
                <w:tcPr>
                  <w:tcW w:w="1276" w:type="dxa"/>
                  <w:vAlign w:val="center"/>
                </w:tcPr>
                <w:p w14:paraId="4FD3469A">
                  <w:pPr>
                    <w:pStyle w:val="14"/>
                    <w:adjustRightInd w:val="0"/>
                    <w:snapToGrid w:val="0"/>
                    <w:jc w:val="center"/>
                    <w:rPr>
                      <w:rFonts w:ascii="Times New Roman" w:hAnsi="Times New Roman"/>
                      <w:b/>
                      <w:sz w:val="21"/>
                      <w:szCs w:val="21"/>
                    </w:rPr>
                  </w:pPr>
                  <w:r>
                    <w:rPr>
                      <w:rFonts w:ascii="Times New Roman" w:hAnsi="Times New Roman"/>
                      <w:sz w:val="21"/>
                      <w:szCs w:val="21"/>
                    </w:rPr>
                    <w:t>X-γ空气吸收剂量率</w:t>
                  </w:r>
                </w:p>
              </w:tc>
              <w:tc>
                <w:tcPr>
                  <w:tcW w:w="3402" w:type="dxa"/>
                  <w:vAlign w:val="center"/>
                </w:tcPr>
                <w:p w14:paraId="77486FDD">
                  <w:pPr>
                    <w:pStyle w:val="14"/>
                    <w:adjustRightInd w:val="0"/>
                    <w:snapToGrid w:val="0"/>
                    <w:rPr>
                      <w:rFonts w:ascii="Times New Roman" w:hAnsi="Times New Roman"/>
                      <w:sz w:val="21"/>
                      <w:szCs w:val="21"/>
                    </w:rPr>
                  </w:pPr>
                  <w:r>
                    <w:rPr>
                      <w:rFonts w:ascii="Times New Roman" w:hAnsi="Times New Roman"/>
                      <w:sz w:val="21"/>
                      <w:szCs w:val="21"/>
                    </w:rPr>
                    <w:t>年度监测委托有资质的单位跟随现场进行监测，周期为1次/年；每次野外（室外）探伤作业自行开展辐射监测</w:t>
                  </w:r>
                </w:p>
              </w:tc>
              <w:tc>
                <w:tcPr>
                  <w:tcW w:w="2776" w:type="dxa"/>
                  <w:vAlign w:val="center"/>
                </w:tcPr>
                <w:p w14:paraId="30F85D09">
                  <w:pPr>
                    <w:pStyle w:val="14"/>
                    <w:adjustRightInd w:val="0"/>
                    <w:snapToGrid w:val="0"/>
                    <w:rPr>
                      <w:rFonts w:ascii="Times New Roman" w:hAnsi="Times New Roman"/>
                      <w:sz w:val="21"/>
                      <w:szCs w:val="21"/>
                    </w:rPr>
                  </w:pPr>
                  <w:r>
                    <w:rPr>
                      <w:rFonts w:ascii="Times New Roman" w:hAnsi="Times New Roman"/>
                      <w:sz w:val="21"/>
                      <w:szCs w:val="21"/>
                    </w:rPr>
                    <w:t>野外（室外）探伤控制区、监督区边界以及探伤操作人员位，同时对于邻近监督区边界外经常有人员活动区域</w:t>
                  </w:r>
                </w:p>
              </w:tc>
            </w:tr>
          </w:tbl>
          <w:p w14:paraId="38E0C49C">
            <w:pPr>
              <w:pStyle w:val="14"/>
              <w:adjustRightInd w:val="0"/>
              <w:snapToGrid w:val="0"/>
              <w:spacing w:line="360" w:lineRule="exact"/>
              <w:ind w:firstLine="480" w:firstLineChars="200"/>
              <w:rPr>
                <w:rFonts w:ascii="Times New Roman" w:hAnsi="Times New Roman"/>
                <w:sz w:val="24"/>
              </w:rPr>
            </w:pPr>
            <w:r>
              <w:rPr>
                <w:rFonts w:ascii="Times New Roman" w:hAnsi="Times New Roman"/>
                <w:sz w:val="24"/>
              </w:rPr>
              <w:t>3）监测范围：控制区和监督区域及周围环境。</w:t>
            </w:r>
          </w:p>
          <w:p w14:paraId="21E36778">
            <w:pPr>
              <w:pStyle w:val="14"/>
              <w:adjustRightInd w:val="0"/>
              <w:snapToGrid w:val="0"/>
              <w:spacing w:line="360" w:lineRule="exact"/>
              <w:ind w:firstLine="480" w:firstLineChars="200"/>
              <w:rPr>
                <w:rFonts w:ascii="Times New Roman" w:hAnsi="Times New Roman"/>
                <w:sz w:val="24"/>
              </w:rPr>
            </w:pPr>
            <w:r>
              <w:rPr>
                <w:rFonts w:ascii="Times New Roman" w:hAnsi="Times New Roman"/>
                <w:sz w:val="24"/>
              </w:rPr>
              <w:t>4）监测质量保证</w:t>
            </w:r>
          </w:p>
          <w:p w14:paraId="2C05356B">
            <w:pPr>
              <w:pStyle w:val="14"/>
              <w:adjustRightInd w:val="0"/>
              <w:snapToGrid w:val="0"/>
              <w:spacing w:line="360" w:lineRule="exact"/>
              <w:ind w:firstLine="480" w:firstLineChars="200"/>
              <w:rPr>
                <w:rFonts w:ascii="Times New Roman" w:hAnsi="Times New Roman" w:eastAsiaTheme="minorEastAsia"/>
                <w:sz w:val="24"/>
              </w:rPr>
            </w:pPr>
            <w:r>
              <w:rPr>
                <w:rFonts w:hint="eastAsia" w:cs="宋体"/>
                <w:sz w:val="24"/>
              </w:rPr>
              <w:t>①</w:t>
            </w:r>
            <w:r>
              <w:rPr>
                <w:rFonts w:ascii="Times New Roman" w:hAnsi="Times New Roman" w:eastAsiaTheme="minorEastAsia"/>
                <w:sz w:val="24"/>
              </w:rPr>
              <w:t>制定监测仪表使用、校验管理制度，并利用监测部门的监测数据与本单位监测仪器的监测数据进行比对，建立监测仪器比对档案；也可到有资质的单位对监测仪器进行校核；</w:t>
            </w:r>
          </w:p>
          <w:p w14:paraId="5EDF2701">
            <w:pPr>
              <w:pStyle w:val="14"/>
              <w:adjustRightInd w:val="0"/>
              <w:snapToGrid w:val="0"/>
              <w:spacing w:line="360" w:lineRule="exact"/>
              <w:ind w:firstLine="480" w:firstLineChars="200"/>
              <w:rPr>
                <w:rFonts w:ascii="Times New Roman" w:hAnsi="Times New Roman" w:eastAsiaTheme="minorEastAsia"/>
                <w:sz w:val="24"/>
              </w:rPr>
            </w:pPr>
            <w:r>
              <w:rPr>
                <w:rFonts w:hint="eastAsia" w:cs="宋体"/>
                <w:sz w:val="24"/>
              </w:rPr>
              <w:t>②</w:t>
            </w:r>
            <w:r>
              <w:rPr>
                <w:rFonts w:ascii="Times New Roman" w:hAnsi="Times New Roman" w:eastAsiaTheme="minorEastAsia"/>
                <w:sz w:val="24"/>
              </w:rPr>
              <w:t>采用国家颁布的标准方法或推荐方法，其中自我监测可参照有资质的监测机构出具的监测报告中的方法；</w:t>
            </w:r>
          </w:p>
          <w:p w14:paraId="31E8491A">
            <w:pPr>
              <w:pStyle w:val="14"/>
              <w:adjustRightInd w:val="0"/>
              <w:snapToGrid w:val="0"/>
              <w:spacing w:line="360" w:lineRule="exact"/>
              <w:ind w:firstLine="480" w:firstLineChars="200"/>
              <w:rPr>
                <w:rFonts w:ascii="Times New Roman" w:hAnsi="Times New Roman" w:eastAsiaTheme="minorEastAsia"/>
                <w:sz w:val="24"/>
              </w:rPr>
            </w:pPr>
            <w:r>
              <w:rPr>
                <w:rFonts w:hint="eastAsia" w:cs="宋体"/>
                <w:sz w:val="24"/>
              </w:rPr>
              <w:t>③</w:t>
            </w:r>
            <w:r>
              <w:rPr>
                <w:rFonts w:ascii="Times New Roman" w:hAnsi="Times New Roman" w:eastAsiaTheme="minorEastAsia"/>
                <w:sz w:val="24"/>
              </w:rPr>
              <w:t>制定辐射环境监测管理制度和方案。</w:t>
            </w:r>
          </w:p>
          <w:p w14:paraId="374927F6">
            <w:pPr>
              <w:pStyle w:val="14"/>
              <w:adjustRightInd w:val="0"/>
              <w:snapToGrid w:val="0"/>
              <w:spacing w:line="440" w:lineRule="exact"/>
              <w:ind w:firstLine="482" w:firstLineChars="200"/>
              <w:rPr>
                <w:rFonts w:ascii="Times New Roman" w:hAnsi="Times New Roman" w:eastAsiaTheme="minorEastAsia"/>
                <w:b/>
                <w:bCs/>
                <w:sz w:val="24"/>
              </w:rPr>
            </w:pPr>
            <w:r>
              <w:rPr>
                <w:rFonts w:ascii="Times New Roman" w:hAnsi="Times New Roman" w:eastAsiaTheme="minorEastAsia"/>
                <w:b/>
                <w:bCs/>
                <w:sz w:val="24"/>
              </w:rPr>
              <w:t>二、个人剂量检测</w:t>
            </w:r>
          </w:p>
          <w:p w14:paraId="0C8EE714">
            <w:pPr>
              <w:pStyle w:val="14"/>
              <w:adjustRightInd w:val="0"/>
              <w:snapToGrid w:val="0"/>
              <w:spacing w:line="440" w:lineRule="exact"/>
              <w:ind w:firstLine="480" w:firstLineChars="200"/>
              <w:rPr>
                <w:rFonts w:ascii="Times New Roman" w:hAnsi="Times New Roman" w:eastAsiaTheme="minorEastAsia"/>
                <w:sz w:val="24"/>
              </w:rPr>
            </w:pPr>
            <w:r>
              <w:rPr>
                <w:rFonts w:ascii="Times New Roman" w:hAnsi="Times New Roman" w:eastAsiaTheme="minorEastAsia"/>
                <w:sz w:val="24"/>
              </w:rPr>
              <w:t>个人监测主要是利用个人剂量计进行外照射个人累积剂量监测，每名辐射工作人员需佩戴个人剂量计，监测周期为1次/季。</w:t>
            </w:r>
          </w:p>
          <w:p w14:paraId="6143B485">
            <w:pPr>
              <w:pStyle w:val="14"/>
              <w:adjustRightInd w:val="0"/>
              <w:snapToGrid w:val="0"/>
              <w:spacing w:line="440" w:lineRule="exact"/>
              <w:ind w:firstLine="480" w:firstLineChars="200"/>
              <w:rPr>
                <w:rFonts w:ascii="Times New Roman" w:hAnsi="Times New Roman" w:eastAsiaTheme="minorEastAsia"/>
                <w:sz w:val="24"/>
              </w:rPr>
            </w:pPr>
            <w:r>
              <w:rPr>
                <w:rFonts w:ascii="Times New Roman" w:hAnsi="Times New Roman" w:eastAsiaTheme="minorEastAsia"/>
                <w:sz w:val="24"/>
              </w:rPr>
              <w:t>（1）当单个季度个人剂量超过1.25mSv时，建设单位要对该辐射工作人员进行干预，要进一步调查明确原因，并由当事人在情况调查报告上签字确认；当全年个人剂量超过5mSv时，建设单位需进行原因调查，并最终形成正式调查报告，经本人签字确认后，上报发证机关。检测报告及有关调查报告应存档备查。</w:t>
            </w:r>
          </w:p>
          <w:p w14:paraId="7D712C60">
            <w:pPr>
              <w:pStyle w:val="14"/>
              <w:adjustRightInd w:val="0"/>
              <w:snapToGrid w:val="0"/>
              <w:spacing w:line="440" w:lineRule="exact"/>
              <w:ind w:firstLine="480" w:firstLineChars="200"/>
              <w:rPr>
                <w:rFonts w:ascii="Times New Roman" w:hAnsi="Times New Roman" w:eastAsiaTheme="minorEastAsia"/>
                <w:sz w:val="24"/>
              </w:rPr>
            </w:pPr>
            <w:r>
              <w:rPr>
                <w:rFonts w:ascii="Times New Roman" w:hAnsi="Times New Roman" w:eastAsiaTheme="minorEastAsia"/>
                <w:sz w:val="24"/>
              </w:rPr>
              <w:t>（2）个人剂量检测报告（连续四个季度）应当连同年度监测报告一起作为《安全和防护状况年度评估报告》的重要组成内容一并提交给发证机关。</w:t>
            </w:r>
          </w:p>
          <w:p w14:paraId="79C06BD0">
            <w:pPr>
              <w:pStyle w:val="14"/>
              <w:adjustRightInd w:val="0"/>
              <w:snapToGrid w:val="0"/>
              <w:spacing w:line="440" w:lineRule="exact"/>
              <w:ind w:firstLine="480" w:firstLineChars="200"/>
              <w:rPr>
                <w:rFonts w:ascii="Times New Roman" w:hAnsi="Times New Roman" w:eastAsiaTheme="minorEastAsia"/>
                <w:sz w:val="24"/>
              </w:rPr>
            </w:pPr>
            <w:r>
              <w:rPr>
                <w:rFonts w:ascii="Times New Roman" w:hAnsi="Times New Roman" w:eastAsiaTheme="minorEastAsia"/>
                <w:sz w:val="24"/>
              </w:rPr>
              <w:t>（3）根据《职业性外照射个人监测规范》（GBZ 128-2019），辐射主要来自前方，剂量计应佩戴在人体躯干前方中部位置，一般左胸前。</w:t>
            </w:r>
          </w:p>
          <w:p w14:paraId="52D5A55B">
            <w:pPr>
              <w:pStyle w:val="14"/>
              <w:adjustRightInd w:val="0"/>
              <w:snapToGrid w:val="0"/>
              <w:spacing w:line="440" w:lineRule="exact"/>
              <w:ind w:firstLine="480" w:firstLineChars="200"/>
              <w:rPr>
                <w:rFonts w:ascii="Times New Roman" w:hAnsi="Times New Roman" w:eastAsiaTheme="minorEastAsia"/>
                <w:sz w:val="24"/>
              </w:rPr>
            </w:pPr>
            <w:r>
              <w:rPr>
                <w:rFonts w:ascii="Times New Roman" w:hAnsi="Times New Roman" w:eastAsiaTheme="minorEastAsia"/>
                <w:sz w:val="24"/>
              </w:rPr>
              <w:t>（4）辐射工作人员个人剂量档案内容应当包括个人基本信息、工作岗位、剂量监测结果等材料。建设单位应当将个人剂量档案保存终身。</w:t>
            </w:r>
          </w:p>
          <w:p w14:paraId="2B86F073">
            <w:pPr>
              <w:pStyle w:val="14"/>
              <w:adjustRightInd w:val="0"/>
              <w:snapToGrid w:val="0"/>
              <w:spacing w:line="440" w:lineRule="exact"/>
              <w:ind w:firstLine="482" w:firstLineChars="200"/>
              <w:rPr>
                <w:rFonts w:ascii="Times New Roman" w:hAnsi="Times New Roman" w:eastAsiaTheme="minorEastAsia"/>
                <w:b/>
                <w:bCs/>
                <w:sz w:val="24"/>
              </w:rPr>
            </w:pPr>
            <w:r>
              <w:rPr>
                <w:rFonts w:ascii="Times New Roman" w:hAnsi="Times New Roman" w:eastAsiaTheme="minorEastAsia"/>
                <w:b/>
                <w:bCs/>
                <w:sz w:val="24"/>
              </w:rPr>
              <w:t>三、</w:t>
            </w:r>
            <w:r>
              <w:rPr>
                <w:rFonts w:hint="eastAsia" w:ascii="Times New Roman" w:hAnsi="Times New Roman" w:eastAsiaTheme="minorEastAsia"/>
                <w:b/>
                <w:bCs/>
                <w:sz w:val="24"/>
              </w:rPr>
              <w:t>场所及环境辐射监测</w:t>
            </w:r>
          </w:p>
          <w:p w14:paraId="44388609">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建设单位应委托有资质的单位定期（每年常规监测一次）对设备使用场所及周围环境进行辐射监测，并建立监测技术档案。</w:t>
            </w:r>
          </w:p>
          <w:p w14:paraId="258C8CF8">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监测方案要求：</w:t>
            </w:r>
          </w:p>
          <w:p w14:paraId="19077A25">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w:t>
            </w:r>
            <w:r>
              <w:rPr>
                <w:rFonts w:ascii="Times New Roman" w:hAnsi="Times New Roman" w:eastAsiaTheme="minorEastAsia"/>
                <w:bCs/>
                <w:sz w:val="24"/>
              </w:rPr>
              <w:t>1</w:t>
            </w:r>
            <w:r>
              <w:rPr>
                <w:rFonts w:hint="eastAsia" w:ascii="Times New Roman" w:hAnsi="Times New Roman" w:eastAsiaTheme="minorEastAsia"/>
                <w:bCs/>
                <w:sz w:val="24"/>
              </w:rPr>
              <w:t>）监测范围：监督区边界、控制区边界、操作位。</w:t>
            </w:r>
          </w:p>
          <w:p w14:paraId="104BF53A">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w:t>
            </w:r>
            <w:r>
              <w:rPr>
                <w:rFonts w:ascii="Times New Roman" w:hAnsi="Times New Roman" w:eastAsiaTheme="minorEastAsia"/>
                <w:bCs/>
                <w:sz w:val="24"/>
              </w:rPr>
              <w:t>2</w:t>
            </w:r>
            <w:r>
              <w:rPr>
                <w:rFonts w:hint="eastAsia" w:ascii="Times New Roman" w:hAnsi="Times New Roman" w:eastAsiaTheme="minorEastAsia"/>
                <w:bCs/>
                <w:sz w:val="24"/>
              </w:rPr>
              <w:t>）监测项目、频次、仪器：监测</w:t>
            </w:r>
            <w:r>
              <w:rPr>
                <w:rFonts w:ascii="Times New Roman" w:hAnsi="Times New Roman" w:eastAsiaTheme="minorEastAsia"/>
                <w:bCs/>
                <w:sz w:val="24"/>
              </w:rPr>
              <w:t>X-γ</w:t>
            </w:r>
            <w:r>
              <w:rPr>
                <w:rFonts w:hint="eastAsia" w:ascii="Times New Roman" w:hAnsi="Times New Roman" w:eastAsiaTheme="minorEastAsia"/>
                <w:bCs/>
                <w:sz w:val="24"/>
              </w:rPr>
              <w:t>辐射剂量率，每年一次，使用的仪器应与本项目源项特征相适应（由监测机构负责）。</w:t>
            </w:r>
          </w:p>
          <w:p w14:paraId="2B7A0DB0">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w:t>
            </w:r>
            <w:r>
              <w:rPr>
                <w:rFonts w:ascii="Times New Roman" w:hAnsi="Times New Roman" w:eastAsiaTheme="minorEastAsia"/>
                <w:bCs/>
                <w:sz w:val="24"/>
              </w:rPr>
              <w:t>3</w:t>
            </w:r>
            <w:r>
              <w:rPr>
                <w:rFonts w:hint="eastAsia" w:ascii="Times New Roman" w:hAnsi="Times New Roman" w:eastAsiaTheme="minorEastAsia"/>
                <w:bCs/>
                <w:sz w:val="24"/>
              </w:rPr>
              <w:t>）监测记录应清晰、准确、完整并纳入档案进行保存。</w:t>
            </w:r>
          </w:p>
          <w:p w14:paraId="6B7952A4">
            <w:pPr>
              <w:pStyle w:val="14"/>
              <w:adjustRightInd w:val="0"/>
              <w:snapToGrid w:val="0"/>
              <w:spacing w:line="440" w:lineRule="exact"/>
              <w:ind w:firstLine="480" w:firstLineChars="200"/>
              <w:rPr>
                <w:rFonts w:ascii="Times New Roman" w:hAnsi="Times New Roman" w:eastAsiaTheme="minorEastAsia"/>
                <w:bCs/>
                <w:sz w:val="24"/>
              </w:rPr>
            </w:pPr>
            <w:r>
              <w:rPr>
                <w:rFonts w:hint="eastAsia" w:ascii="Times New Roman" w:hAnsi="Times New Roman" w:eastAsiaTheme="minorEastAsia"/>
                <w:bCs/>
                <w:sz w:val="24"/>
              </w:rPr>
              <w:t>此外，公司应加强自行监测，并做好记录。</w:t>
            </w:r>
          </w:p>
          <w:p w14:paraId="3953A98F">
            <w:pPr>
              <w:pStyle w:val="14"/>
              <w:adjustRightInd w:val="0"/>
              <w:snapToGrid w:val="0"/>
              <w:spacing w:line="440" w:lineRule="exact"/>
              <w:ind w:firstLine="482" w:firstLineChars="200"/>
              <w:rPr>
                <w:b/>
                <w:color w:val="000000"/>
                <w:sz w:val="24"/>
              </w:rPr>
            </w:pPr>
            <w:r>
              <w:rPr>
                <w:rFonts w:ascii="Times New Roman" w:hAnsi="Times New Roman" w:eastAsiaTheme="minorEastAsia"/>
                <w:b/>
                <w:bCs/>
                <w:sz w:val="24"/>
              </w:rPr>
              <w:t>四、</w:t>
            </w:r>
            <w:r>
              <w:rPr>
                <w:rFonts w:hint="eastAsia"/>
                <w:b/>
                <w:color w:val="000000"/>
                <w:sz w:val="24"/>
              </w:rPr>
              <w:t>应急监测</w:t>
            </w:r>
          </w:p>
          <w:p w14:paraId="690A0A85">
            <w:pPr>
              <w:pStyle w:val="14"/>
              <w:adjustRightInd w:val="0"/>
              <w:snapToGrid w:val="0"/>
              <w:spacing w:line="440" w:lineRule="exact"/>
              <w:ind w:firstLine="480" w:firstLineChars="200"/>
              <w:rPr>
                <w:rFonts w:ascii="Times New Roman" w:hAnsi="Times New Roman" w:eastAsiaTheme="minorEastAsia"/>
                <w:bCs/>
                <w:sz w:val="24"/>
              </w:rPr>
            </w:pPr>
            <w:r>
              <w:rPr>
                <w:rFonts w:hint="eastAsia"/>
                <w:color w:val="000000"/>
                <w:sz w:val="24"/>
              </w:rPr>
              <w:t>在出现异常情况时应立即启动应急预案，采用应急措施，并立即向当地生态环境主管部门、公安部门、卫生主管部门报告，进行现场监测。</w:t>
            </w:r>
          </w:p>
          <w:p w14:paraId="02C228F0">
            <w:pPr>
              <w:pStyle w:val="14"/>
              <w:adjustRightInd w:val="0"/>
              <w:snapToGrid w:val="0"/>
              <w:spacing w:line="440" w:lineRule="exact"/>
              <w:ind w:firstLine="482" w:firstLineChars="200"/>
              <w:rPr>
                <w:rFonts w:ascii="Times New Roman" w:hAnsi="Times New Roman" w:eastAsiaTheme="minorEastAsia"/>
                <w:b/>
                <w:bCs/>
                <w:sz w:val="24"/>
              </w:rPr>
            </w:pPr>
            <w:r>
              <w:rPr>
                <w:rFonts w:ascii="Times New Roman" w:hAnsi="Times New Roman" w:eastAsiaTheme="minorEastAsia"/>
                <w:b/>
                <w:bCs/>
                <w:sz w:val="24"/>
              </w:rPr>
              <w:t>五、年度监测报告情况</w:t>
            </w:r>
          </w:p>
          <w:p w14:paraId="6DA94338">
            <w:pPr>
              <w:pStyle w:val="14"/>
              <w:adjustRightInd w:val="0"/>
              <w:snapToGrid w:val="0"/>
              <w:spacing w:line="440" w:lineRule="exact"/>
              <w:ind w:firstLine="480" w:firstLineChars="200"/>
              <w:rPr>
                <w:rFonts w:ascii="Times New Roman" w:hAnsi="Times New Roman"/>
                <w:sz w:val="24"/>
              </w:rPr>
            </w:pPr>
            <w:r>
              <w:rPr>
                <w:rFonts w:ascii="Times New Roman" w:hAnsi="Times New Roman" w:eastAsiaTheme="minorEastAsia"/>
                <w:sz w:val="24"/>
              </w:rPr>
              <w:t>建设单位应于每年1月31日前向发证机关提交上年度的《放射性同位素与射线装置安全和防护状况年度评估报告》，近一年（四个季度）个人剂量检测报告和辐射工作场所年度监测报告应作为《安全和防护状况年度评估报告》的重要组成内容一并提交给发证机关。建设单位应按照《河北省核技术利用辐射安全监督检查大纲》规定的格式编写《安全和防护状况年度评估报告》。建设单位必须在“全国核技术利用辐射安</w:t>
            </w:r>
            <w:r>
              <w:rPr>
                <w:rFonts w:ascii="Times New Roman" w:hAnsi="Times New Roman"/>
                <w:sz w:val="24"/>
              </w:rPr>
              <w:t>全申报系统”(网址 http://rr.mee.gov.cn/)中实施申报登记。延续、变更许可证，新增或注销射线装置以及单位信息变更、个人剂量、年度评估报告等信息均应及时在系统中申报。</w:t>
            </w:r>
          </w:p>
        </w:tc>
      </w:tr>
      <w:tr w14:paraId="0843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3" w:type="dxa"/>
          </w:tcPr>
          <w:p w14:paraId="2BB45731">
            <w:pPr>
              <w:pStyle w:val="14"/>
              <w:spacing w:before="240" w:beforeLines="100" w:after="120" w:afterLines="50" w:line="360" w:lineRule="auto"/>
              <w:jc w:val="left"/>
              <w:rPr>
                <w:rFonts w:ascii="Times New Roman" w:hAnsi="Times New Roman"/>
                <w:b/>
                <w:bCs/>
                <w:szCs w:val="28"/>
              </w:rPr>
            </w:pPr>
            <w:r>
              <w:rPr>
                <w:rFonts w:ascii="Times New Roman" w:hAnsi="Times New Roman"/>
                <w:b/>
                <w:bCs/>
                <w:szCs w:val="28"/>
              </w:rPr>
              <w:t>辐射事故应急预案及演练</w:t>
            </w:r>
          </w:p>
          <w:p w14:paraId="4081BE07">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辐射单位应针对可能发生的辐射事故风险，制定相应辐射事故应急预案报所在地人民政府生态环境主管部门备案，并及时予以修订。</w:t>
            </w:r>
          </w:p>
          <w:p w14:paraId="4C63FA78">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辐射事故应急预案的主要内容应包括：应急组织结构，应急职责分工，辐射事故应急处置（最大可信事故场景，应急报告，应急措施和步骤，应急联络电话），应急保障措施，应急演练计划。</w:t>
            </w:r>
          </w:p>
          <w:p w14:paraId="328CA4F6">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（1）事故报告程序</w:t>
            </w:r>
          </w:p>
          <w:p w14:paraId="319F73E1">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一旦发生辐射事故，</w:t>
            </w:r>
            <w:r>
              <w:rPr>
                <w:rFonts w:hint="eastAsia" w:ascii="Times New Roman" w:hAnsi="Times New Roman"/>
                <w:kern w:val="0"/>
                <w:sz w:val="24"/>
              </w:rPr>
              <w:t>辐射</w:t>
            </w:r>
            <w:r>
              <w:rPr>
                <w:rFonts w:ascii="Times New Roman" w:hAnsi="Times New Roman"/>
                <w:kern w:val="0"/>
                <w:sz w:val="24"/>
              </w:rPr>
              <w:t>工作人员立即停机，根据《关于建立放射性同位素与射线装置辐射事故分级处理和报告制度的通知》在事故发生后2小时内填写《辐射事故初始报告表》，向市、县生态环境部门报告。造成或可能造成人员超剂量照射的，还应同时向当地卫健委部门报告。</w:t>
            </w:r>
          </w:p>
          <w:p w14:paraId="3D9E4FA2">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（2）辐射事故应急措施</w:t>
            </w:r>
          </w:p>
          <w:p w14:paraId="7D61E213">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事故发生后，除了上述工作外，还应进行以下几项工作：</w:t>
            </w:r>
          </w:p>
          <w:p w14:paraId="2F2AE625">
            <w:pPr>
              <w:autoSpaceDE w:val="0"/>
              <w:autoSpaceDN w:val="0"/>
              <w:adjustRightInd w:val="0"/>
              <w:spacing w:line="360" w:lineRule="auto"/>
              <w:ind w:firstLine="480"/>
              <w:rPr>
                <w:rFonts w:ascii="Times New Roman" w:hAnsi="Times New Roman"/>
                <w:kern w:val="0"/>
                <w:sz w:val="24"/>
              </w:rPr>
            </w:pPr>
            <w:r>
              <w:rPr>
                <w:rFonts w:hint="eastAsia" w:ascii="宋体" w:hAnsi="宋体" w:cs="宋体"/>
                <w:kern w:val="0"/>
                <w:sz w:val="24"/>
              </w:rPr>
              <w:t>①</w:t>
            </w:r>
            <w:r>
              <w:rPr>
                <w:rFonts w:ascii="Times New Roman" w:hAnsi="Times New Roman"/>
                <w:kern w:val="0"/>
                <w:sz w:val="24"/>
              </w:rPr>
              <w:t>确定现场辐射强度及影响范围，划出禁入控制范围，防止外照射的危害。</w:t>
            </w:r>
          </w:p>
          <w:p w14:paraId="1BCBDB02">
            <w:pPr>
              <w:autoSpaceDE w:val="0"/>
              <w:autoSpaceDN w:val="0"/>
              <w:adjustRightInd w:val="0"/>
              <w:spacing w:line="360" w:lineRule="auto"/>
              <w:ind w:firstLine="480" w:firstLineChars="200"/>
              <w:rPr>
                <w:rFonts w:ascii="Times New Roman" w:hAnsi="Times New Roman"/>
                <w:kern w:val="0"/>
                <w:sz w:val="24"/>
              </w:rPr>
            </w:pPr>
            <w:r>
              <w:rPr>
                <w:rFonts w:hint="eastAsia" w:ascii="宋体" w:hAnsi="宋体" w:cs="宋体"/>
                <w:kern w:val="0"/>
                <w:sz w:val="24"/>
              </w:rPr>
              <w:t>②</w:t>
            </w:r>
            <w:r>
              <w:rPr>
                <w:rFonts w:ascii="Times New Roman" w:hAnsi="Times New Roman"/>
                <w:kern w:val="0"/>
                <w:sz w:val="24"/>
              </w:rPr>
              <w:t>根据现场辐射强度，确定工作人员在现场处置的工作时间。</w:t>
            </w:r>
          </w:p>
          <w:p w14:paraId="769D8CBA">
            <w:pPr>
              <w:autoSpaceDE w:val="0"/>
              <w:autoSpaceDN w:val="0"/>
              <w:adjustRightInd w:val="0"/>
              <w:spacing w:line="360" w:lineRule="auto"/>
              <w:ind w:firstLine="480" w:firstLineChars="200"/>
              <w:rPr>
                <w:rFonts w:ascii="Times New Roman" w:hAnsi="Times New Roman"/>
                <w:kern w:val="0"/>
                <w:sz w:val="24"/>
              </w:rPr>
            </w:pPr>
            <w:r>
              <w:rPr>
                <w:rFonts w:hint="eastAsia" w:ascii="宋体" w:hAnsi="宋体" w:cs="宋体"/>
                <w:kern w:val="0"/>
                <w:sz w:val="24"/>
              </w:rPr>
              <w:t>③</w:t>
            </w:r>
            <w:r>
              <w:rPr>
                <w:rFonts w:ascii="Times New Roman" w:hAnsi="Times New Roman"/>
                <w:kern w:val="0"/>
                <w:sz w:val="24"/>
              </w:rPr>
              <w:t>现场处置任务的工作人员应佩带防护用具及个人剂量计。</w:t>
            </w:r>
          </w:p>
          <w:p w14:paraId="152CB3D5">
            <w:pPr>
              <w:autoSpaceDE w:val="0"/>
              <w:autoSpaceDN w:val="0"/>
              <w:adjustRightInd w:val="0"/>
              <w:spacing w:line="360" w:lineRule="auto"/>
              <w:ind w:firstLine="480" w:firstLineChars="200"/>
              <w:rPr>
                <w:rFonts w:ascii="Times New Roman" w:hAnsi="Times New Roman"/>
                <w:kern w:val="0"/>
                <w:sz w:val="24"/>
              </w:rPr>
            </w:pPr>
            <w:r>
              <w:rPr>
                <w:rFonts w:hint="eastAsia" w:ascii="宋体" w:hAnsi="宋体" w:cs="宋体"/>
                <w:kern w:val="0"/>
                <w:sz w:val="24"/>
              </w:rPr>
              <w:t>④</w:t>
            </w:r>
            <w:r>
              <w:rPr>
                <w:rFonts w:ascii="Times New Roman" w:hAnsi="Times New Roman"/>
                <w:kern w:val="0"/>
                <w:sz w:val="24"/>
              </w:rPr>
              <w:t>应尽可能记录现场有关情况，对工作人员可能受到的事故照射剂量，可针对事故实际情况进行评估，并对工作人员进行健康检查和跟踪，按照国家有关放射卫生防护标准和规范以及相关程序，评估事故对工作人员健康的影响。</w:t>
            </w:r>
          </w:p>
          <w:p w14:paraId="6EFBBA62">
            <w:pPr>
              <w:autoSpaceDE w:val="0"/>
              <w:autoSpaceDN w:val="0"/>
              <w:adjustRightInd w:val="0"/>
              <w:spacing w:line="360" w:lineRule="auto"/>
              <w:ind w:firstLine="480" w:firstLineChars="200"/>
              <w:rPr>
                <w:rFonts w:ascii="Times New Roman" w:hAnsi="Times New Roman"/>
                <w:kern w:val="0"/>
                <w:sz w:val="24"/>
              </w:rPr>
            </w:pPr>
            <w:r>
              <w:rPr>
                <w:rFonts w:hint="eastAsia" w:ascii="宋体" w:hAnsi="宋体" w:cs="宋体"/>
                <w:kern w:val="0"/>
                <w:sz w:val="24"/>
              </w:rPr>
              <w:t>⑤</w:t>
            </w:r>
            <w:r>
              <w:rPr>
                <w:rFonts w:ascii="Times New Roman" w:hAnsi="Times New Roman"/>
                <w:kern w:val="0"/>
                <w:sz w:val="24"/>
              </w:rPr>
              <w:t>事故处理后必须组织有关人员进行讨论，分析事故发生的原因，从中吸取经验和教训，必须采取措施防止类似事故再次发生。</w:t>
            </w:r>
          </w:p>
          <w:p w14:paraId="4A2A30CB">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以上各种事故的防范与对策措施，可减少或避免辐射事故的发生率，从而保证项目的正常运营，也保障了工作人员、公众的健康与安全。</w:t>
            </w:r>
          </w:p>
          <w:p w14:paraId="4F9ECADD">
            <w:pPr>
              <w:autoSpaceDE w:val="0"/>
              <w:autoSpaceDN w:val="0"/>
              <w:adjustRightInd w:val="0"/>
              <w:spacing w:line="360" w:lineRule="auto"/>
              <w:ind w:firstLine="480" w:firstLineChars="200"/>
              <w:rPr>
                <w:rFonts w:ascii="Times New Roman" w:hAnsi="Times New Roman"/>
                <w:kern w:val="0"/>
                <w:sz w:val="24"/>
              </w:rPr>
            </w:pPr>
            <w:r>
              <w:rPr>
                <w:rFonts w:ascii="Times New Roman" w:hAnsi="Times New Roman"/>
                <w:kern w:val="0"/>
                <w:sz w:val="24"/>
              </w:rPr>
              <w:t>公司制定有《辐射事故应急预案》，设有辐射事故应急领导小组，总经理为组长，副总经理为副组长，综合办公室人员为成员，每年进行一次演练。在今后预案的实施过程中，应根据国家发布新的相关法规内容，结合单位实际及时对预案进行补充修改，使之更能符合实际需要。</w:t>
            </w:r>
          </w:p>
          <w:p w14:paraId="23BA596B">
            <w:pPr>
              <w:pStyle w:val="2"/>
            </w:pPr>
          </w:p>
          <w:p w14:paraId="42AD9B87">
            <w:pPr>
              <w:pStyle w:val="2"/>
              <w:ind w:left="0" w:leftChars="0" w:firstLine="0" w:firstLineChars="0"/>
            </w:pPr>
          </w:p>
          <w:p w14:paraId="68DAD556">
            <w:pPr>
              <w:pStyle w:val="2"/>
            </w:pPr>
          </w:p>
          <w:p w14:paraId="2E373ADB">
            <w:pPr>
              <w:pStyle w:val="2"/>
            </w:pPr>
          </w:p>
          <w:p w14:paraId="17D9ABA4">
            <w:pPr>
              <w:pStyle w:val="2"/>
            </w:pPr>
          </w:p>
          <w:p w14:paraId="149A8261">
            <w:pPr>
              <w:pStyle w:val="2"/>
            </w:pPr>
          </w:p>
          <w:p w14:paraId="068887E0">
            <w:pPr>
              <w:pStyle w:val="2"/>
            </w:pPr>
          </w:p>
          <w:p w14:paraId="3ED15E89">
            <w:pPr>
              <w:pStyle w:val="2"/>
            </w:pPr>
          </w:p>
          <w:p w14:paraId="01249686">
            <w:pPr>
              <w:pStyle w:val="2"/>
            </w:pPr>
          </w:p>
          <w:p w14:paraId="73AF439B">
            <w:pPr>
              <w:pStyle w:val="2"/>
            </w:pPr>
          </w:p>
          <w:p w14:paraId="25C1829A">
            <w:pPr>
              <w:pStyle w:val="2"/>
            </w:pPr>
          </w:p>
          <w:p w14:paraId="19D96870">
            <w:pPr>
              <w:pStyle w:val="2"/>
            </w:pPr>
          </w:p>
          <w:p w14:paraId="44885698">
            <w:pPr>
              <w:pStyle w:val="2"/>
            </w:pPr>
          </w:p>
          <w:p w14:paraId="5BCDFBDC">
            <w:pPr>
              <w:pStyle w:val="2"/>
              <w:ind w:left="0" w:leftChars="0" w:firstLine="0" w:firstLineChars="0"/>
            </w:pPr>
          </w:p>
        </w:tc>
      </w:tr>
    </w:tbl>
    <w:p w14:paraId="33627013">
      <w:pPr>
        <w:pStyle w:val="14"/>
        <w:outlineLvl w:val="0"/>
        <w:rPr>
          <w:rFonts w:ascii="Times New Roman" w:hAnsi="Times New Roman"/>
          <w:b/>
          <w:bCs/>
          <w:szCs w:val="28"/>
        </w:rPr>
      </w:pPr>
      <w:r>
        <w:rPr>
          <w:rFonts w:ascii="Times New Roman" w:hAnsi="Times New Roman"/>
        </w:rPr>
        <w:br w:type="page"/>
      </w:r>
      <w:bookmarkStart w:id="45" w:name="_Toc188277750"/>
      <w:r>
        <w:rPr>
          <w:rFonts w:ascii="Times New Roman" w:hAnsi="Times New Roman"/>
          <w:b/>
          <w:bCs/>
          <w:szCs w:val="28"/>
        </w:rPr>
        <w:t>表13 结论和建议</w:t>
      </w:r>
      <w:bookmarkEnd w:id="45"/>
    </w:p>
    <w:tbl>
      <w:tblPr>
        <w:tblStyle w:val="3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14:paraId="4FDC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27253AE">
            <w:pPr>
              <w:pStyle w:val="14"/>
              <w:spacing w:line="360" w:lineRule="auto"/>
              <w:jc w:val="left"/>
              <w:rPr>
                <w:rFonts w:ascii="Times New Roman" w:hAnsi="Times New Roman"/>
                <w:b/>
                <w:bCs/>
                <w:szCs w:val="28"/>
              </w:rPr>
            </w:pPr>
            <w:r>
              <w:rPr>
                <w:rFonts w:ascii="Times New Roman" w:hAnsi="Times New Roman"/>
                <w:b/>
                <w:bCs/>
                <w:szCs w:val="28"/>
              </w:rPr>
              <w:t>结论</w:t>
            </w:r>
          </w:p>
          <w:p w14:paraId="57011EB0">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1、建设项目概况</w:t>
            </w:r>
          </w:p>
          <w:p w14:paraId="61033607">
            <w:pPr>
              <w:pStyle w:val="14"/>
              <w:adjustRightInd w:val="0"/>
              <w:snapToGrid w:val="0"/>
              <w:spacing w:line="360" w:lineRule="auto"/>
              <w:ind w:firstLine="480" w:firstLineChars="200"/>
              <w:rPr>
                <w:rFonts w:ascii="Times New Roman" w:hAnsi="Times New Roman"/>
                <w:sz w:val="24"/>
              </w:rPr>
            </w:pPr>
            <w:r>
              <w:rPr>
                <w:rFonts w:ascii="Times New Roman" w:hAnsi="Times New Roman"/>
                <w:sz w:val="24"/>
              </w:rPr>
              <w:t>项目名称：承德中天建设工程检测试验有限公司</w:t>
            </w:r>
            <w:r>
              <w:rPr>
                <w:rFonts w:ascii="Times New Roman" w:hAnsi="Times New Roman"/>
                <w:bCs/>
                <w:sz w:val="24"/>
              </w:rPr>
              <w:t>新建X射线野外（室外）探伤项目</w:t>
            </w:r>
            <w:r>
              <w:rPr>
                <w:rFonts w:ascii="Times New Roman" w:hAnsi="Times New Roman"/>
                <w:sz w:val="24"/>
              </w:rPr>
              <w:t>。</w:t>
            </w:r>
          </w:p>
          <w:p w14:paraId="533CA08E">
            <w:pPr>
              <w:pStyle w:val="14"/>
              <w:adjustRightInd w:val="0"/>
              <w:snapToGrid w:val="0"/>
              <w:spacing w:line="360" w:lineRule="auto"/>
              <w:ind w:firstLine="480" w:firstLineChars="200"/>
              <w:rPr>
                <w:rFonts w:ascii="Times New Roman" w:hAnsi="Times New Roman"/>
                <w:sz w:val="24"/>
              </w:rPr>
            </w:pPr>
            <w:r>
              <w:rPr>
                <w:rFonts w:ascii="Times New Roman" w:hAnsi="Times New Roman"/>
                <w:sz w:val="24"/>
              </w:rPr>
              <w:t>建设性质：新建。</w:t>
            </w:r>
          </w:p>
          <w:p w14:paraId="57E844A5">
            <w:pPr>
              <w:pStyle w:val="14"/>
              <w:adjustRightInd w:val="0"/>
              <w:snapToGrid w:val="0"/>
              <w:spacing w:line="360" w:lineRule="auto"/>
              <w:ind w:firstLine="480" w:firstLineChars="200"/>
              <w:rPr>
                <w:rFonts w:ascii="Times New Roman" w:hAnsi="Times New Roman"/>
                <w:sz w:val="24"/>
              </w:rPr>
            </w:pPr>
            <w:r>
              <w:rPr>
                <w:rFonts w:ascii="Times New Roman" w:hAnsi="Times New Roman"/>
                <w:sz w:val="24"/>
              </w:rPr>
              <w:t>建设地点：</w:t>
            </w:r>
            <w:r>
              <w:rPr>
                <w:rFonts w:hint="eastAsia" w:ascii="Times New Roman" w:hAnsi="Times New Roman"/>
                <w:bCs/>
                <w:sz w:val="24"/>
              </w:rPr>
              <w:t>项目</w:t>
            </w:r>
            <w:r>
              <w:rPr>
                <w:rFonts w:ascii="Times New Roman" w:hAnsi="Times New Roman"/>
                <w:bCs/>
                <w:sz w:val="24"/>
              </w:rPr>
              <w:t>位于承德中天建设工程检测试验有限公司现有厂区内；探伤地点不固定，全国范围野外（室外）</w:t>
            </w:r>
            <w:r>
              <w:rPr>
                <w:rFonts w:ascii="Times New Roman" w:hAnsi="Times New Roman"/>
                <w:sz w:val="24"/>
              </w:rPr>
              <w:t>。</w:t>
            </w:r>
          </w:p>
          <w:p w14:paraId="049E5EB6">
            <w:pPr>
              <w:pStyle w:val="8"/>
              <w:spacing w:line="360" w:lineRule="auto"/>
              <w:ind w:firstLine="480"/>
              <w:rPr>
                <w:rFonts w:ascii="Times New Roman" w:hAnsi="Times New Roman"/>
              </w:rPr>
            </w:pPr>
            <w:r>
              <w:rPr>
                <w:rFonts w:ascii="Times New Roman" w:hAnsi="Times New Roman"/>
              </w:rPr>
              <w:t>评价内容及规模为：</w:t>
            </w:r>
          </w:p>
          <w:p w14:paraId="177C2373">
            <w:pPr>
              <w:pStyle w:val="8"/>
              <w:spacing w:line="360" w:lineRule="auto"/>
              <w:ind w:firstLine="480"/>
              <w:rPr>
                <w:rFonts w:ascii="Times New Roman" w:hAnsi="Times New Roman"/>
              </w:rPr>
            </w:pPr>
            <w:r>
              <w:rPr>
                <w:rFonts w:ascii="Times New Roman" w:hAnsi="Times New Roman"/>
              </w:rPr>
              <w:t>建设单位购置1台XT1605D型定向X射线探伤机、1台XXH2005C型周向X射线探伤机、1台XT2505C型周向X射线探伤机、1台XT2505D型定向X射线探伤机和1台XT3005D型定向X射线探伤机，进行野外（室外）探伤作业，均属Ⅱ类射线装置。未进行野外（室外）探伤作业时，探伤机存放在公司一层设备室内。本项目探伤机仅进行野外（室外）探伤作业使用，不涉及室内探伤，在实施探伤过程中，不存在同一地点两台及以上探伤机同时探伤的情况。其中XT1605D型X射线探伤机年探伤次数约2000次；XXH2005C型X射线探伤机年探伤次数约2000次；XT2505C型探伤机年探伤次数约2000次，XT2505D型探伤机年探伤次数约2000次；XT3005D型X射线探伤机年探伤次数约1000次，每次最大曝光时间均为5min，该5台探伤机年野外（室外）探伤曝光时间总计最大约750h。</w:t>
            </w:r>
          </w:p>
          <w:p w14:paraId="1068C08E">
            <w:pPr>
              <w:pStyle w:val="14"/>
              <w:adjustRightInd w:val="0"/>
              <w:snapToGrid w:val="0"/>
              <w:spacing w:line="360" w:lineRule="auto"/>
              <w:ind w:firstLine="482" w:firstLineChars="200"/>
              <w:rPr>
                <w:rFonts w:ascii="Times New Roman" w:hAnsi="Times New Roman"/>
                <w:sz w:val="24"/>
              </w:rPr>
            </w:pPr>
            <w:r>
              <w:rPr>
                <w:rFonts w:ascii="Times New Roman" w:hAnsi="Times New Roman"/>
                <w:b/>
                <w:sz w:val="24"/>
              </w:rPr>
              <w:t>2、本项目产业政策符合性分析</w:t>
            </w:r>
          </w:p>
          <w:p w14:paraId="1DAFCFE5">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系核与辐射技术用于工业检测领域，属高新技术。根据中华人民共和国国家发展和改革委员会制定的《产业结构调整指导目录（2024年本）》（中华人民共和国国家发展和改革委员会第7号令，2024年2月1日起施行）规定，本项目属鼓励类第三十一项“科技服务”中第1条“质量认证和检验检测服务”，符合国家现行产业发展政策；本项目也不在《市场准入负面清单》(2022年)之列。</w:t>
            </w:r>
          </w:p>
          <w:p w14:paraId="7CC74287">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3、项目的“正当性”</w:t>
            </w:r>
          </w:p>
          <w:p w14:paraId="67929ACB">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本项目拟开展X射线野外探伤工作，具有良好的社会效益和经济效益。本项目采用的辐射防护措施能够保证屏蔽体外剂量率和人员受照水平控制在标准范围内，符合《电离辐射防护与辐射源安全基本标准》（GB 18871-2002）中辐射防护“实践正当性”的要求。</w:t>
            </w:r>
          </w:p>
          <w:p w14:paraId="289F0BB4">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4、主要污染因子及防治措施</w:t>
            </w:r>
          </w:p>
          <w:p w14:paraId="7890C03E">
            <w:pPr>
              <w:pStyle w:val="14"/>
              <w:adjustRightInd w:val="0"/>
              <w:snapToGrid w:val="0"/>
              <w:spacing w:line="360" w:lineRule="auto"/>
              <w:ind w:firstLine="480" w:firstLineChars="200"/>
              <w:rPr>
                <w:rFonts w:ascii="Times New Roman" w:hAnsi="Times New Roman"/>
                <w:sz w:val="24"/>
              </w:rPr>
            </w:pPr>
            <w:r>
              <w:rPr>
                <w:rFonts w:ascii="Times New Roman" w:hAnsi="Times New Roman"/>
                <w:sz w:val="24"/>
              </w:rPr>
              <w:t>探伤室在X射线探伤时主要放射性污染为X射线，通过完善屏蔽措施，严格进行分区管理等防护措施来降低辐射对人的危害。</w:t>
            </w:r>
          </w:p>
          <w:p w14:paraId="642C1224">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5、辐射安全管理措施</w:t>
            </w:r>
          </w:p>
          <w:p w14:paraId="09C0E698">
            <w:pPr>
              <w:pStyle w:val="14"/>
              <w:adjustRightInd w:val="0"/>
              <w:snapToGrid w:val="0"/>
              <w:spacing w:line="360" w:lineRule="auto"/>
              <w:ind w:firstLine="480" w:firstLineChars="200"/>
              <w:rPr>
                <w:rFonts w:ascii="Times New Roman" w:hAnsi="Times New Roman"/>
                <w:sz w:val="24"/>
              </w:rPr>
            </w:pPr>
            <w:r>
              <w:rPr>
                <w:rFonts w:ascii="Times New Roman" w:hAnsi="Times New Roman"/>
                <w:sz w:val="24"/>
              </w:rPr>
              <w:t>按有关法律、法规规定并根据射线装置的贮存与使用情况，承德中天建设工程检测试验有限公司成立了辐射安全防护管理机构，指导、监督、检查射线装置的贮存和使用情况，制定相关的管理制度，针对可能发生的辐射事故，并制定了辐射事故应急预案。</w:t>
            </w:r>
          </w:p>
          <w:p w14:paraId="485AFDD4">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6、辐射环境影响评价</w:t>
            </w:r>
          </w:p>
          <w:p w14:paraId="65C89916">
            <w:pPr>
              <w:adjustRightInd w:val="0"/>
              <w:snapToGrid w:val="0"/>
              <w:spacing w:line="360" w:lineRule="auto"/>
              <w:ind w:firstLine="480" w:firstLineChars="200"/>
              <w:rPr>
                <w:rFonts w:ascii="Times New Roman" w:hAnsi="Times New Roman"/>
                <w:sz w:val="24"/>
              </w:rPr>
            </w:pPr>
            <w:r>
              <w:rPr>
                <w:rFonts w:ascii="Times New Roman" w:hAnsi="Times New Roman"/>
                <w:sz w:val="24"/>
              </w:rPr>
              <w:t>1、施工期环境影响分析</w:t>
            </w:r>
          </w:p>
          <w:p w14:paraId="5BA5D07C">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本项目野外（室外）探伤不存在施工期。</w:t>
            </w:r>
          </w:p>
          <w:p w14:paraId="033C09AE">
            <w:pPr>
              <w:adjustRightInd w:val="0"/>
              <w:snapToGrid w:val="0"/>
              <w:spacing w:line="360" w:lineRule="auto"/>
              <w:ind w:firstLine="480" w:firstLineChars="200"/>
              <w:rPr>
                <w:rFonts w:ascii="Times New Roman" w:hAnsi="Times New Roman"/>
                <w:sz w:val="24"/>
              </w:rPr>
            </w:pPr>
            <w:r>
              <w:rPr>
                <w:rFonts w:ascii="Times New Roman" w:hAnsi="Times New Roman"/>
                <w:sz w:val="24"/>
              </w:rPr>
              <w:t>2、营运期环境影响分析</w:t>
            </w:r>
          </w:p>
          <w:p w14:paraId="314C0984">
            <w:pPr>
              <w:adjustRightInd w:val="0"/>
              <w:snapToGrid w:val="0"/>
              <w:spacing w:line="360" w:lineRule="auto"/>
              <w:ind w:firstLine="480" w:firstLineChars="200"/>
              <w:rPr>
                <w:rFonts w:ascii="Times New Roman" w:hAnsi="Times New Roman"/>
                <w:sz w:val="24"/>
              </w:rPr>
            </w:pPr>
            <w:r>
              <w:rPr>
                <w:rFonts w:ascii="Times New Roman" w:hAnsi="Times New Roman"/>
                <w:sz w:val="24"/>
              </w:rPr>
              <w:t>（1）电离环境影响</w:t>
            </w:r>
          </w:p>
          <w:p w14:paraId="4D15D45D">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本项目X射线机不使用时存放在公司一层设备室内，对周围环境无影响；探伤机在正常运行工况下，所致工作人员最大年有效剂量值为2.813mSv，</w:t>
            </w:r>
            <w:r>
              <w:rPr>
                <w:rFonts w:hint="eastAsia" w:ascii="Times New Roman" w:hAnsi="Times New Roman"/>
                <w:sz w:val="24"/>
              </w:rPr>
              <w:t>符合《电离辐射防护与辐射源安全基本标准》（</w:t>
            </w:r>
            <w:r>
              <w:rPr>
                <w:rFonts w:ascii="Times New Roman" w:hAnsi="Times New Roman"/>
                <w:sz w:val="24"/>
              </w:rPr>
              <w:t>GB 18871-2002</w:t>
            </w:r>
            <w:r>
              <w:rPr>
                <w:rFonts w:hint="eastAsia" w:ascii="Times New Roman" w:hAnsi="Times New Roman"/>
                <w:sz w:val="24"/>
              </w:rPr>
              <w:t>）中相应“管理限值”的要求，</w:t>
            </w:r>
            <w:r>
              <w:rPr>
                <w:rFonts w:ascii="Times New Roman" w:hAnsi="Times New Roman"/>
                <w:sz w:val="24"/>
              </w:rPr>
              <w:t>满足5.0mSv/a的剂量约束限值；所致公众最大年有效剂量值为0.12mSv，</w:t>
            </w:r>
            <w:r>
              <w:rPr>
                <w:rFonts w:hint="eastAsia" w:ascii="Times New Roman" w:hAnsi="Times New Roman"/>
                <w:sz w:val="24"/>
              </w:rPr>
              <w:t>符合《电离辐射防护与辐射源安全基本标准》（</w:t>
            </w:r>
            <w:r>
              <w:rPr>
                <w:rFonts w:ascii="Times New Roman" w:hAnsi="Times New Roman"/>
                <w:sz w:val="24"/>
              </w:rPr>
              <w:t>GB 18871-2002</w:t>
            </w:r>
            <w:r>
              <w:rPr>
                <w:rFonts w:hint="eastAsia" w:ascii="Times New Roman" w:hAnsi="Times New Roman"/>
                <w:sz w:val="24"/>
              </w:rPr>
              <w:t>）的要求符合本次评价职业照射年剂量管理约束值要求（</w:t>
            </w:r>
            <w:r>
              <w:rPr>
                <w:rFonts w:ascii="Times New Roman" w:hAnsi="Times New Roman"/>
                <w:sz w:val="24"/>
              </w:rPr>
              <w:t>0.25mSv</w:t>
            </w:r>
            <w:r>
              <w:rPr>
                <w:rFonts w:hint="eastAsia" w:ascii="Times New Roman" w:hAnsi="Times New Roman"/>
                <w:sz w:val="24"/>
              </w:rPr>
              <w:t>），</w:t>
            </w:r>
            <w:r>
              <w:rPr>
                <w:rFonts w:ascii="Times New Roman" w:hAnsi="Times New Roman"/>
                <w:sz w:val="24"/>
              </w:rPr>
              <w:t>满足0.25mSv/a的剂量约束限值。</w:t>
            </w:r>
          </w:p>
          <w:p w14:paraId="5980C23C">
            <w:pPr>
              <w:adjustRightInd w:val="0"/>
              <w:snapToGrid w:val="0"/>
              <w:spacing w:line="360" w:lineRule="auto"/>
              <w:ind w:firstLine="480" w:firstLineChars="200"/>
              <w:rPr>
                <w:rFonts w:ascii="Times New Roman" w:hAnsi="Times New Roman"/>
                <w:sz w:val="24"/>
              </w:rPr>
            </w:pPr>
            <w:r>
              <w:rPr>
                <w:rFonts w:ascii="Times New Roman" w:hAnsi="Times New Roman"/>
                <w:sz w:val="24"/>
              </w:rPr>
              <w:t>（2）大气环境影响</w:t>
            </w:r>
          </w:p>
          <w:p w14:paraId="709A3B97">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本项目X射线探伤储存时不产生废气，只有在曝光过程中会产生有害气体臭氧和</w:t>
            </w:r>
            <w:r>
              <w:rPr>
                <w:rFonts w:ascii="Times New Roman" w:hAnsi="Times New Roman"/>
                <w:bCs/>
                <w:sz w:val="24"/>
              </w:rPr>
              <w:t>氮氧化物</w:t>
            </w:r>
            <w:r>
              <w:rPr>
                <w:rFonts w:ascii="Times New Roman" w:hAnsi="Times New Roman"/>
                <w:sz w:val="24"/>
              </w:rPr>
              <w:t>，本项目探伤不涉及室内探伤，探伤工作地点周围一般为较开放的场所，大气扩散条件良好，产生的臭氧和氮氧化物经自然分解和稀释后，对周围大气环境的影响较小。</w:t>
            </w:r>
          </w:p>
          <w:p w14:paraId="4456401E">
            <w:pPr>
              <w:adjustRightInd w:val="0"/>
              <w:snapToGrid w:val="0"/>
              <w:spacing w:line="360" w:lineRule="auto"/>
              <w:ind w:firstLine="480" w:firstLineChars="200"/>
              <w:rPr>
                <w:rFonts w:ascii="Times New Roman" w:hAnsi="Times New Roman"/>
                <w:sz w:val="24"/>
              </w:rPr>
            </w:pPr>
            <w:r>
              <w:rPr>
                <w:rFonts w:ascii="Times New Roman" w:hAnsi="Times New Roman"/>
                <w:sz w:val="24"/>
              </w:rPr>
              <w:t>（3）水环境影响</w:t>
            </w:r>
          </w:p>
          <w:p w14:paraId="3BDA0AAD">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本项目工作人员由公司原有人员调剂使用，不新增工作人员，不新增生活污水。</w:t>
            </w:r>
          </w:p>
          <w:p w14:paraId="19B7AE3D">
            <w:pPr>
              <w:adjustRightInd w:val="0"/>
              <w:snapToGrid w:val="0"/>
              <w:spacing w:line="360" w:lineRule="auto"/>
              <w:ind w:firstLine="480" w:firstLineChars="200"/>
              <w:rPr>
                <w:rFonts w:ascii="Times New Roman" w:hAnsi="Times New Roman"/>
                <w:sz w:val="24"/>
              </w:rPr>
            </w:pPr>
            <w:r>
              <w:rPr>
                <w:rFonts w:ascii="Times New Roman" w:hAnsi="Times New Roman"/>
                <w:sz w:val="24"/>
              </w:rPr>
              <w:t>（4）固体废物。</w:t>
            </w:r>
          </w:p>
          <w:p w14:paraId="190A957F">
            <w:pPr>
              <w:spacing w:line="360" w:lineRule="auto"/>
              <w:ind w:firstLine="480" w:firstLineChars="200"/>
              <w:rPr>
                <w:rFonts w:ascii="Times New Roman" w:hAnsi="Times New Roman"/>
                <w:sz w:val="24"/>
              </w:rPr>
            </w:pPr>
            <w:r>
              <w:rPr>
                <w:rFonts w:ascii="Times New Roman" w:hAnsi="Times New Roman"/>
                <w:sz w:val="24"/>
              </w:rPr>
              <w:t>本项目工作人员由公司原有人员调剂使用，不新增工作人员，不新增生活垃圾。</w:t>
            </w:r>
          </w:p>
          <w:p w14:paraId="50470564">
            <w:pPr>
              <w:spacing w:line="360" w:lineRule="auto"/>
              <w:ind w:firstLine="480" w:firstLineChars="200"/>
              <w:rPr>
                <w:rFonts w:ascii="Times New Roman" w:hAnsi="Times New Roman"/>
                <w:sz w:val="24"/>
              </w:rPr>
            </w:pPr>
            <w:r>
              <w:rPr>
                <w:rFonts w:ascii="Times New Roman" w:hAnsi="Times New Roman"/>
                <w:sz w:val="24"/>
              </w:rPr>
              <w:t>（5）危险废物</w:t>
            </w:r>
          </w:p>
          <w:p w14:paraId="4FA6BF38">
            <w:pPr>
              <w:spacing w:line="360" w:lineRule="auto"/>
              <w:ind w:firstLine="480" w:firstLineChars="200"/>
              <w:rPr>
                <w:rFonts w:ascii="Times New Roman" w:hAnsi="Times New Roman"/>
                <w:sz w:val="24"/>
              </w:rPr>
            </w:pPr>
            <w:r>
              <w:rPr>
                <w:rFonts w:ascii="Times New Roman" w:hAnsi="Times New Roman"/>
                <w:sz w:val="24"/>
              </w:rPr>
              <w:t>运营期产生的固废主要为洗片过程中产生的废显影液、废定影液（含冲洗废水）、废胶片等危险废物，废显影液、废定影液（含冲洗废水）、废胶片等危险废物产生后暂存于危废间内，公司已与有危废处理资质的承德双然环保科技有限公司签订危废</w:t>
            </w:r>
            <w:r>
              <w:rPr>
                <w:rFonts w:hint="eastAsia" w:ascii="Times New Roman" w:hAnsi="Times New Roman"/>
                <w:sz w:val="24"/>
              </w:rPr>
              <w:t>收集</w:t>
            </w:r>
            <w:r>
              <w:rPr>
                <w:rFonts w:ascii="Times New Roman" w:hAnsi="Times New Roman"/>
                <w:sz w:val="24"/>
              </w:rPr>
              <w:t>协议，在探伤过程中产生的所有危险废物暂存于危废间，定期</w:t>
            </w:r>
            <w:r>
              <w:rPr>
                <w:sz w:val="24"/>
              </w:rPr>
              <w:t>经承德双然环保科技有限公司收集后交由有危废处理资质的</w:t>
            </w:r>
            <w:r>
              <w:rPr>
                <w:rFonts w:hint="eastAsia"/>
                <w:sz w:val="24"/>
              </w:rPr>
              <w:t>万德斯(唐山曹妃甸)环保科技有限公司处置</w:t>
            </w:r>
            <w:r>
              <w:rPr>
                <w:rFonts w:ascii="Times New Roman" w:hAnsi="Times New Roman"/>
                <w:sz w:val="24"/>
              </w:rPr>
              <w:t>。</w:t>
            </w:r>
          </w:p>
          <w:p w14:paraId="4B02A4C7">
            <w:pPr>
              <w:spacing w:line="360" w:lineRule="auto"/>
              <w:ind w:firstLine="480" w:firstLineChars="200"/>
              <w:rPr>
                <w:rFonts w:ascii="Times New Roman" w:hAnsi="Times New Roman"/>
                <w:sz w:val="24"/>
              </w:rPr>
            </w:pPr>
            <w:r>
              <w:rPr>
                <w:rFonts w:ascii="Times New Roman" w:hAnsi="Times New Roman"/>
                <w:sz w:val="24"/>
              </w:rPr>
              <w:t>（6）噪声</w:t>
            </w:r>
          </w:p>
          <w:p w14:paraId="3F78538A">
            <w:pPr>
              <w:spacing w:line="360" w:lineRule="auto"/>
              <w:ind w:firstLine="480" w:firstLineChars="200"/>
              <w:rPr>
                <w:rFonts w:ascii="Times New Roman" w:hAnsi="Times New Roman"/>
                <w:sz w:val="24"/>
              </w:rPr>
            </w:pPr>
            <w:r>
              <w:rPr>
                <w:rFonts w:ascii="Times New Roman" w:hAnsi="Times New Roman"/>
                <w:sz w:val="24"/>
              </w:rPr>
              <w:t>本项目X射线机不使用时存放在公司一层设备室内，不产生噪声；使用时几乎不产生噪音，监督区边界的警示灯声音随着探伤结束而停止，一般探伤现场野外（室外）环境相对开阔，对周围声环境基本无影响。</w:t>
            </w:r>
          </w:p>
          <w:p w14:paraId="0629A888">
            <w:pPr>
              <w:pStyle w:val="14"/>
              <w:adjustRightInd w:val="0"/>
              <w:snapToGrid w:val="0"/>
              <w:spacing w:line="360" w:lineRule="auto"/>
              <w:ind w:firstLine="482" w:firstLineChars="200"/>
              <w:rPr>
                <w:rFonts w:ascii="Times New Roman" w:hAnsi="Times New Roman"/>
                <w:b/>
                <w:sz w:val="24"/>
              </w:rPr>
            </w:pPr>
            <w:r>
              <w:rPr>
                <w:rFonts w:ascii="Times New Roman" w:hAnsi="Times New Roman"/>
                <w:b/>
                <w:sz w:val="24"/>
              </w:rPr>
              <w:t>7、项目可行性</w:t>
            </w:r>
          </w:p>
          <w:p w14:paraId="07332341">
            <w:pPr>
              <w:autoSpaceDE w:val="0"/>
              <w:autoSpaceDN w:val="0"/>
              <w:adjustRightInd w:val="0"/>
              <w:spacing w:line="360" w:lineRule="auto"/>
              <w:ind w:firstLine="480" w:firstLineChars="200"/>
              <w:rPr>
                <w:rFonts w:ascii="Times New Roman" w:hAnsi="Times New Roman"/>
                <w:sz w:val="24"/>
              </w:rPr>
            </w:pPr>
            <w:bookmarkStart w:id="46" w:name="OLE_LINK25"/>
            <w:bookmarkStart w:id="47" w:name="OLE_LINK30"/>
            <w:r>
              <w:rPr>
                <w:rFonts w:ascii="Times New Roman" w:hAnsi="Times New Roman"/>
                <w:kern w:val="0"/>
                <w:sz w:val="24"/>
              </w:rPr>
              <w:t>公司拟开展的</w:t>
            </w:r>
            <w:r>
              <w:rPr>
                <w:rFonts w:ascii="Times New Roman" w:hAnsi="Times New Roman"/>
                <w:bCs/>
                <w:sz w:val="24"/>
              </w:rPr>
              <w:t>核技术利用项目</w:t>
            </w:r>
            <w:r>
              <w:rPr>
                <w:rFonts w:ascii="Times New Roman" w:hAnsi="Times New Roman"/>
                <w:kern w:val="0"/>
                <w:sz w:val="24"/>
              </w:rPr>
              <w:t>实践正当，环境影响较小，在切实落实本报告表中规定的安全、环保措施及各项规章制度后，从辐射安全和环境保护的角度考虑，</w:t>
            </w:r>
            <w:r>
              <w:rPr>
                <w:rFonts w:ascii="Times New Roman" w:hAnsi="Times New Roman"/>
                <w:b/>
                <w:sz w:val="24"/>
              </w:rPr>
              <w:t>“承德中天建设工程检测试验有限公司</w:t>
            </w:r>
            <w:r>
              <w:rPr>
                <w:rFonts w:ascii="Times New Roman" w:hAnsi="Times New Roman"/>
                <w:b/>
                <w:bCs/>
                <w:sz w:val="24"/>
              </w:rPr>
              <w:t>新建X射线野外（室外）探伤项目”</w:t>
            </w:r>
            <w:r>
              <w:rPr>
                <w:rFonts w:ascii="Times New Roman" w:hAnsi="Times New Roman"/>
                <w:sz w:val="24"/>
              </w:rPr>
              <w:t>是可行的。</w:t>
            </w:r>
            <w:bookmarkEnd w:id="46"/>
            <w:bookmarkEnd w:id="47"/>
          </w:p>
        </w:tc>
      </w:tr>
      <w:tr w14:paraId="23FD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9" w:hRule="atLeast"/>
        </w:trPr>
        <w:tc>
          <w:tcPr>
            <w:tcW w:w="9322" w:type="dxa"/>
          </w:tcPr>
          <w:p w14:paraId="4D483D06">
            <w:pPr>
              <w:pStyle w:val="14"/>
              <w:spacing w:before="120" w:beforeLines="50" w:line="360" w:lineRule="auto"/>
              <w:rPr>
                <w:rFonts w:ascii="Times New Roman" w:hAnsi="Times New Roman"/>
                <w:b/>
                <w:bCs/>
                <w:sz w:val="30"/>
                <w:szCs w:val="30"/>
              </w:rPr>
            </w:pPr>
            <w:r>
              <w:rPr>
                <w:rFonts w:ascii="Times New Roman" w:hAnsi="Times New Roman"/>
                <w:b/>
                <w:bCs/>
                <w:sz w:val="30"/>
                <w:szCs w:val="30"/>
              </w:rPr>
              <w:t>建议</w:t>
            </w:r>
          </w:p>
          <w:p w14:paraId="69ED7831">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1、公司加强对操作人员的培训，做到全员持证上岗和每四年一次的再培训。定期进 行辐射工作场所的检查及监测，避免意外事故造成对公众和职业人员的附加影响。</w:t>
            </w:r>
          </w:p>
          <w:p w14:paraId="76DD7DF6">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2、认真落实环评提出的管理措施和辐射防护措施要求，完善管理制度。</w:t>
            </w:r>
          </w:p>
          <w:p w14:paraId="0EE9DBC4">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3、公司应按照国家关于个人健康管理的规定，对辐射工作人员进行职业健康检查，建立职业健康监护档案，并为工作人员保存职业照射记录。公司同时应按照国家关于个人剂量监测的规定，对辐射工作人员进行个人剂量检测，建立个人剂量档案。</w:t>
            </w:r>
          </w:p>
          <w:p w14:paraId="1F82B3DE">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4、开展落实制定监测计划，开展日常监测工作，并对监测结果进行存档，公司应做好职业工作人员的个人剂量监测和健康查体，并建立健全辐射防护工作档案。发现个人剂量监测结果超出剂量约束值的，应当立即核实和调查，必要时将有关情况及时报告辐射安全许可证发证机关。对于有可能超出剂量约束值的，应加强个人防护，并进行跟踪调查，采取轮岗工作，必要时停止一线工作。</w:t>
            </w:r>
          </w:p>
          <w:p w14:paraId="1B8484CF">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5、明确辐射防护小组中各管理人员的责任，在事故工况下严格按照《辐射事故应急预案》进行处理。</w:t>
            </w:r>
          </w:p>
          <w:p w14:paraId="45E7C2DB">
            <w:pPr>
              <w:pStyle w:val="2"/>
            </w:pPr>
          </w:p>
          <w:p w14:paraId="672B143D">
            <w:pPr>
              <w:pStyle w:val="2"/>
            </w:pPr>
          </w:p>
          <w:p w14:paraId="7AB44957">
            <w:pPr>
              <w:pStyle w:val="2"/>
            </w:pPr>
          </w:p>
          <w:p w14:paraId="4DB8A13D">
            <w:pPr>
              <w:pStyle w:val="2"/>
            </w:pPr>
          </w:p>
          <w:p w14:paraId="704E12E5">
            <w:pPr>
              <w:pStyle w:val="2"/>
            </w:pPr>
          </w:p>
          <w:p w14:paraId="7E37D1B9">
            <w:pPr>
              <w:pStyle w:val="2"/>
            </w:pPr>
          </w:p>
          <w:p w14:paraId="3F0E8185">
            <w:pPr>
              <w:pStyle w:val="2"/>
            </w:pPr>
          </w:p>
          <w:p w14:paraId="2A8B956C">
            <w:pPr>
              <w:pStyle w:val="2"/>
            </w:pPr>
          </w:p>
          <w:p w14:paraId="47F01C5D">
            <w:pPr>
              <w:pStyle w:val="2"/>
            </w:pPr>
          </w:p>
          <w:p w14:paraId="617CE43D">
            <w:pPr>
              <w:pStyle w:val="2"/>
            </w:pPr>
          </w:p>
          <w:p w14:paraId="0F4CEACE">
            <w:pPr>
              <w:pStyle w:val="2"/>
            </w:pPr>
          </w:p>
          <w:p w14:paraId="14D890DE">
            <w:pPr>
              <w:pStyle w:val="2"/>
            </w:pPr>
          </w:p>
          <w:p w14:paraId="6905F10F">
            <w:pPr>
              <w:pStyle w:val="2"/>
              <w:ind w:left="0" w:leftChars="0" w:firstLine="0" w:firstLineChars="0"/>
            </w:pPr>
          </w:p>
        </w:tc>
      </w:tr>
    </w:tbl>
    <w:p w14:paraId="6FC31431">
      <w:pPr>
        <w:rPr>
          <w:rFonts w:ascii="Times New Roman" w:hAnsi="Times New Roman"/>
        </w:rPr>
        <w:sectPr>
          <w:pgSz w:w="11906" w:h="16838"/>
          <w:pgMar w:top="1134" w:right="1134" w:bottom="1134" w:left="1701" w:header="851" w:footer="851" w:gutter="0"/>
          <w:cols w:space="720" w:num="1"/>
          <w:docGrid w:linePitch="312" w:charSpace="0"/>
        </w:sectPr>
      </w:pPr>
    </w:p>
    <w:p w14:paraId="7E5DE8D9">
      <w:pPr>
        <w:pStyle w:val="14"/>
        <w:jc w:val="left"/>
        <w:outlineLvl w:val="0"/>
        <w:rPr>
          <w:rFonts w:ascii="Times New Roman" w:hAnsi="Times New Roman"/>
          <w:b/>
          <w:bCs/>
          <w:szCs w:val="28"/>
        </w:rPr>
      </w:pPr>
      <w:bookmarkStart w:id="48" w:name="_Toc188277751"/>
      <w:r>
        <w:rPr>
          <w:rFonts w:ascii="Times New Roman" w:hAnsi="Times New Roman"/>
          <w:b/>
          <w:bCs/>
          <w:szCs w:val="28"/>
        </w:rPr>
        <w:t>表14 审批</w:t>
      </w:r>
      <w:bookmarkEnd w:id="48"/>
    </w:p>
    <w:tbl>
      <w:tblPr>
        <w:tblStyle w:val="36"/>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7"/>
      </w:tblGrid>
      <w:tr w14:paraId="4261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7" w:type="dxa"/>
          </w:tcPr>
          <w:p w14:paraId="73BAD666">
            <w:pPr>
              <w:pStyle w:val="14"/>
              <w:rPr>
                <w:rFonts w:ascii="Times New Roman" w:hAnsi="Times New Roman"/>
                <w:b/>
                <w:bCs/>
                <w:sz w:val="24"/>
              </w:rPr>
            </w:pPr>
            <w:r>
              <w:rPr>
                <w:rFonts w:ascii="Times New Roman" w:hAnsi="Times New Roman"/>
                <w:b/>
                <w:bCs/>
                <w:sz w:val="24"/>
              </w:rPr>
              <w:t>下一级生态环境部门预审意见：</w:t>
            </w:r>
          </w:p>
          <w:p w14:paraId="61BFF3C6">
            <w:pPr>
              <w:pStyle w:val="14"/>
              <w:rPr>
                <w:rFonts w:ascii="Times New Roman" w:hAnsi="Times New Roman"/>
                <w:b/>
                <w:bCs/>
                <w:sz w:val="30"/>
                <w:szCs w:val="30"/>
              </w:rPr>
            </w:pPr>
          </w:p>
          <w:p w14:paraId="1BF7E25A">
            <w:pPr>
              <w:pStyle w:val="14"/>
              <w:rPr>
                <w:rFonts w:ascii="Times New Roman" w:hAnsi="Times New Roman"/>
                <w:b/>
                <w:bCs/>
                <w:sz w:val="30"/>
                <w:szCs w:val="30"/>
              </w:rPr>
            </w:pPr>
          </w:p>
          <w:p w14:paraId="0FB34DFF">
            <w:pPr>
              <w:pStyle w:val="14"/>
              <w:rPr>
                <w:rFonts w:ascii="Times New Roman" w:hAnsi="Times New Roman"/>
                <w:b/>
                <w:bCs/>
                <w:sz w:val="30"/>
                <w:szCs w:val="30"/>
              </w:rPr>
            </w:pPr>
          </w:p>
          <w:p w14:paraId="6CC3E50F">
            <w:pPr>
              <w:pStyle w:val="14"/>
              <w:rPr>
                <w:rFonts w:ascii="Times New Roman" w:hAnsi="Times New Roman"/>
                <w:b/>
                <w:bCs/>
                <w:sz w:val="30"/>
                <w:szCs w:val="30"/>
              </w:rPr>
            </w:pPr>
          </w:p>
          <w:p w14:paraId="32375DD8">
            <w:pPr>
              <w:pStyle w:val="14"/>
              <w:rPr>
                <w:rFonts w:ascii="Times New Roman" w:hAnsi="Times New Roman"/>
                <w:b/>
                <w:bCs/>
                <w:sz w:val="30"/>
                <w:szCs w:val="30"/>
              </w:rPr>
            </w:pPr>
          </w:p>
          <w:p w14:paraId="111808CE">
            <w:pPr>
              <w:pStyle w:val="14"/>
              <w:rPr>
                <w:rFonts w:ascii="Times New Roman" w:hAnsi="Times New Roman"/>
                <w:b/>
                <w:bCs/>
                <w:sz w:val="30"/>
                <w:szCs w:val="30"/>
              </w:rPr>
            </w:pPr>
          </w:p>
          <w:p w14:paraId="62167870">
            <w:pPr>
              <w:pStyle w:val="14"/>
              <w:rPr>
                <w:rFonts w:ascii="Times New Roman" w:hAnsi="Times New Roman"/>
                <w:b/>
                <w:bCs/>
                <w:sz w:val="30"/>
                <w:szCs w:val="30"/>
              </w:rPr>
            </w:pPr>
          </w:p>
          <w:p w14:paraId="131743F8">
            <w:pPr>
              <w:pStyle w:val="14"/>
              <w:rPr>
                <w:rFonts w:ascii="Times New Roman" w:hAnsi="Times New Roman"/>
                <w:b/>
                <w:bCs/>
                <w:sz w:val="30"/>
                <w:szCs w:val="30"/>
              </w:rPr>
            </w:pPr>
          </w:p>
          <w:p w14:paraId="7E974E6B">
            <w:pPr>
              <w:pStyle w:val="14"/>
              <w:rPr>
                <w:rFonts w:ascii="Times New Roman" w:hAnsi="Times New Roman"/>
                <w:b/>
                <w:bCs/>
                <w:sz w:val="30"/>
                <w:szCs w:val="30"/>
              </w:rPr>
            </w:pPr>
          </w:p>
          <w:p w14:paraId="0DA84A19">
            <w:pPr>
              <w:pStyle w:val="14"/>
              <w:rPr>
                <w:rFonts w:ascii="Times New Roman" w:hAnsi="Times New Roman"/>
                <w:b/>
                <w:bCs/>
                <w:sz w:val="30"/>
                <w:szCs w:val="30"/>
              </w:rPr>
            </w:pPr>
          </w:p>
          <w:p w14:paraId="0C2F51DD">
            <w:pPr>
              <w:pStyle w:val="14"/>
              <w:rPr>
                <w:rFonts w:ascii="Times New Roman" w:hAnsi="Times New Roman"/>
                <w:b/>
                <w:bCs/>
                <w:sz w:val="30"/>
                <w:szCs w:val="30"/>
              </w:rPr>
            </w:pPr>
          </w:p>
          <w:p w14:paraId="0E644848">
            <w:pPr>
              <w:pStyle w:val="14"/>
              <w:ind w:firstLine="6385" w:firstLineChars="2650"/>
              <w:rPr>
                <w:rFonts w:ascii="Times New Roman" w:hAnsi="Times New Roman"/>
                <w:b/>
                <w:bCs/>
                <w:sz w:val="24"/>
              </w:rPr>
            </w:pPr>
            <w:r>
              <w:rPr>
                <w:rFonts w:ascii="Times New Roman" w:hAnsi="Times New Roman"/>
                <w:b/>
                <w:bCs/>
                <w:sz w:val="24"/>
              </w:rPr>
              <w:t>公     章</w:t>
            </w:r>
          </w:p>
          <w:p w14:paraId="3835A017">
            <w:pPr>
              <w:pStyle w:val="14"/>
              <w:rPr>
                <w:rFonts w:ascii="Times New Roman" w:hAnsi="Times New Roman"/>
                <w:b/>
                <w:bCs/>
                <w:sz w:val="30"/>
                <w:szCs w:val="30"/>
              </w:rPr>
            </w:pPr>
          </w:p>
          <w:p w14:paraId="7C4B5317">
            <w:pPr>
              <w:pStyle w:val="14"/>
              <w:rPr>
                <w:rFonts w:ascii="Times New Roman" w:hAnsi="Times New Roman"/>
                <w:b/>
                <w:bCs/>
                <w:sz w:val="30"/>
                <w:szCs w:val="30"/>
              </w:rPr>
            </w:pPr>
          </w:p>
          <w:p w14:paraId="70BF9728">
            <w:pPr>
              <w:pStyle w:val="14"/>
              <w:rPr>
                <w:rFonts w:ascii="Times New Roman" w:hAnsi="Times New Roman"/>
                <w:b/>
                <w:bCs/>
                <w:sz w:val="24"/>
              </w:rPr>
            </w:pPr>
            <w:r>
              <w:rPr>
                <w:rFonts w:ascii="Times New Roman" w:hAnsi="Times New Roman"/>
                <w:b/>
                <w:bCs/>
                <w:sz w:val="24"/>
              </w:rPr>
              <w:t>经办人</w:t>
            </w:r>
          </w:p>
          <w:p w14:paraId="0116D8D7">
            <w:pPr>
              <w:pStyle w:val="14"/>
              <w:rPr>
                <w:rFonts w:ascii="Times New Roman" w:hAnsi="Times New Roman"/>
                <w:b/>
                <w:bCs/>
                <w:sz w:val="30"/>
                <w:szCs w:val="30"/>
              </w:rPr>
            </w:pPr>
          </w:p>
          <w:p w14:paraId="64895498">
            <w:pPr>
              <w:pStyle w:val="14"/>
              <w:ind w:firstLine="6144" w:firstLineChars="2550"/>
              <w:rPr>
                <w:rFonts w:ascii="Times New Roman" w:hAnsi="Times New Roman"/>
                <w:b/>
                <w:bCs/>
                <w:sz w:val="24"/>
              </w:rPr>
            </w:pPr>
            <w:r>
              <w:rPr>
                <w:rFonts w:ascii="Times New Roman" w:hAnsi="Times New Roman"/>
                <w:b/>
                <w:bCs/>
                <w:sz w:val="24"/>
              </w:rPr>
              <w:t>年    月    日</w:t>
            </w:r>
          </w:p>
          <w:p w14:paraId="037F36AC">
            <w:pPr>
              <w:pStyle w:val="14"/>
              <w:rPr>
                <w:rFonts w:ascii="Times New Roman" w:hAnsi="Times New Roman"/>
                <w:b/>
                <w:bCs/>
                <w:sz w:val="30"/>
                <w:szCs w:val="30"/>
              </w:rPr>
            </w:pPr>
          </w:p>
        </w:tc>
      </w:tr>
      <w:tr w14:paraId="59E8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7" w:type="dxa"/>
          </w:tcPr>
          <w:p w14:paraId="2090B92C">
            <w:pPr>
              <w:pStyle w:val="14"/>
              <w:rPr>
                <w:rFonts w:ascii="Times New Roman" w:hAnsi="Times New Roman"/>
                <w:b/>
                <w:bCs/>
                <w:sz w:val="24"/>
              </w:rPr>
            </w:pPr>
          </w:p>
          <w:p w14:paraId="6B1C95D0">
            <w:pPr>
              <w:pStyle w:val="14"/>
              <w:ind w:firstLine="236" w:firstLineChars="98"/>
              <w:rPr>
                <w:rFonts w:ascii="Times New Roman" w:hAnsi="Times New Roman"/>
                <w:b/>
                <w:bCs/>
                <w:sz w:val="24"/>
              </w:rPr>
            </w:pPr>
            <w:r>
              <w:rPr>
                <w:rFonts w:ascii="Times New Roman" w:hAnsi="Times New Roman"/>
                <w:b/>
                <w:bCs/>
                <w:sz w:val="24"/>
              </w:rPr>
              <w:t>审批意见：</w:t>
            </w:r>
          </w:p>
          <w:p w14:paraId="42AC3BAE">
            <w:pPr>
              <w:pStyle w:val="14"/>
              <w:rPr>
                <w:rFonts w:ascii="Times New Roman" w:hAnsi="Times New Roman"/>
                <w:b/>
                <w:bCs/>
                <w:sz w:val="30"/>
                <w:szCs w:val="30"/>
              </w:rPr>
            </w:pPr>
          </w:p>
          <w:p w14:paraId="647A6A6F">
            <w:pPr>
              <w:pStyle w:val="14"/>
              <w:rPr>
                <w:rFonts w:ascii="Times New Roman" w:hAnsi="Times New Roman"/>
                <w:b/>
                <w:bCs/>
                <w:sz w:val="30"/>
                <w:szCs w:val="30"/>
              </w:rPr>
            </w:pPr>
          </w:p>
          <w:p w14:paraId="47521790">
            <w:pPr>
              <w:pStyle w:val="14"/>
              <w:rPr>
                <w:rFonts w:ascii="Times New Roman" w:hAnsi="Times New Roman"/>
                <w:b/>
                <w:bCs/>
                <w:sz w:val="30"/>
                <w:szCs w:val="30"/>
              </w:rPr>
            </w:pPr>
          </w:p>
          <w:p w14:paraId="335ED717">
            <w:pPr>
              <w:pStyle w:val="14"/>
              <w:rPr>
                <w:rFonts w:ascii="Times New Roman" w:hAnsi="Times New Roman"/>
                <w:b/>
                <w:bCs/>
                <w:sz w:val="30"/>
                <w:szCs w:val="30"/>
              </w:rPr>
            </w:pPr>
          </w:p>
          <w:p w14:paraId="586E56C9">
            <w:pPr>
              <w:pStyle w:val="14"/>
              <w:rPr>
                <w:rFonts w:ascii="Times New Roman" w:hAnsi="Times New Roman"/>
                <w:b/>
                <w:bCs/>
                <w:sz w:val="30"/>
                <w:szCs w:val="30"/>
              </w:rPr>
            </w:pPr>
          </w:p>
          <w:p w14:paraId="1C043729">
            <w:pPr>
              <w:pStyle w:val="14"/>
              <w:rPr>
                <w:rFonts w:ascii="Times New Roman" w:hAnsi="Times New Roman"/>
                <w:b/>
                <w:bCs/>
                <w:sz w:val="30"/>
                <w:szCs w:val="30"/>
              </w:rPr>
            </w:pPr>
          </w:p>
          <w:p w14:paraId="68C4E713">
            <w:pPr>
              <w:pStyle w:val="14"/>
              <w:rPr>
                <w:rFonts w:ascii="Times New Roman" w:hAnsi="Times New Roman"/>
                <w:b/>
                <w:bCs/>
                <w:sz w:val="30"/>
                <w:szCs w:val="30"/>
              </w:rPr>
            </w:pPr>
          </w:p>
          <w:p w14:paraId="64E1B32B">
            <w:pPr>
              <w:pStyle w:val="14"/>
              <w:rPr>
                <w:rFonts w:ascii="Times New Roman" w:hAnsi="Times New Roman"/>
                <w:b/>
                <w:bCs/>
                <w:sz w:val="30"/>
                <w:szCs w:val="30"/>
              </w:rPr>
            </w:pPr>
          </w:p>
          <w:p w14:paraId="41A36EB5">
            <w:pPr>
              <w:pStyle w:val="14"/>
              <w:rPr>
                <w:rFonts w:ascii="Times New Roman" w:hAnsi="Times New Roman"/>
                <w:b/>
                <w:bCs/>
                <w:sz w:val="30"/>
                <w:szCs w:val="30"/>
              </w:rPr>
            </w:pPr>
          </w:p>
          <w:p w14:paraId="35DAF9C9">
            <w:pPr>
              <w:pStyle w:val="14"/>
              <w:rPr>
                <w:rFonts w:ascii="Times New Roman" w:hAnsi="Times New Roman"/>
                <w:b/>
                <w:bCs/>
                <w:sz w:val="30"/>
                <w:szCs w:val="30"/>
              </w:rPr>
            </w:pPr>
          </w:p>
          <w:p w14:paraId="2CAD5A4E">
            <w:pPr>
              <w:pStyle w:val="14"/>
              <w:ind w:firstLine="6505" w:firstLineChars="2700"/>
              <w:rPr>
                <w:rFonts w:ascii="Times New Roman" w:hAnsi="Times New Roman"/>
                <w:b/>
                <w:bCs/>
                <w:sz w:val="24"/>
              </w:rPr>
            </w:pPr>
            <w:r>
              <w:rPr>
                <w:rFonts w:ascii="Times New Roman" w:hAnsi="Times New Roman"/>
                <w:b/>
                <w:bCs/>
                <w:sz w:val="24"/>
              </w:rPr>
              <w:t>公     章</w:t>
            </w:r>
          </w:p>
          <w:p w14:paraId="116E245A">
            <w:pPr>
              <w:pStyle w:val="14"/>
              <w:rPr>
                <w:rFonts w:ascii="Times New Roman" w:hAnsi="Times New Roman"/>
                <w:b/>
                <w:bCs/>
                <w:sz w:val="30"/>
                <w:szCs w:val="30"/>
              </w:rPr>
            </w:pPr>
          </w:p>
          <w:p w14:paraId="49754525">
            <w:pPr>
              <w:pStyle w:val="14"/>
              <w:rPr>
                <w:rFonts w:ascii="Times New Roman" w:hAnsi="Times New Roman"/>
                <w:b/>
                <w:bCs/>
                <w:sz w:val="30"/>
                <w:szCs w:val="30"/>
              </w:rPr>
            </w:pPr>
          </w:p>
          <w:p w14:paraId="32EA7BFA">
            <w:pPr>
              <w:pStyle w:val="14"/>
              <w:rPr>
                <w:rFonts w:ascii="Times New Roman" w:hAnsi="Times New Roman"/>
                <w:b/>
                <w:bCs/>
                <w:sz w:val="30"/>
                <w:szCs w:val="30"/>
              </w:rPr>
            </w:pPr>
          </w:p>
          <w:p w14:paraId="68A2EFFF">
            <w:pPr>
              <w:pStyle w:val="14"/>
              <w:rPr>
                <w:rFonts w:ascii="Times New Roman" w:hAnsi="Times New Roman"/>
                <w:b/>
                <w:bCs/>
                <w:sz w:val="30"/>
                <w:szCs w:val="30"/>
              </w:rPr>
            </w:pPr>
          </w:p>
          <w:p w14:paraId="4DDE0318">
            <w:pPr>
              <w:pStyle w:val="14"/>
              <w:rPr>
                <w:rFonts w:ascii="Times New Roman" w:hAnsi="Times New Roman"/>
                <w:b/>
                <w:bCs/>
                <w:sz w:val="30"/>
                <w:szCs w:val="30"/>
              </w:rPr>
            </w:pPr>
          </w:p>
          <w:p w14:paraId="59299A6A">
            <w:pPr>
              <w:pStyle w:val="14"/>
              <w:rPr>
                <w:rFonts w:ascii="Times New Roman" w:hAnsi="Times New Roman"/>
                <w:b/>
                <w:bCs/>
                <w:sz w:val="24"/>
              </w:rPr>
            </w:pPr>
            <w:r>
              <w:rPr>
                <w:rFonts w:ascii="Times New Roman" w:hAnsi="Times New Roman"/>
                <w:b/>
                <w:bCs/>
                <w:sz w:val="24"/>
              </w:rPr>
              <w:t>经办人</w:t>
            </w:r>
          </w:p>
          <w:p w14:paraId="2C15C786">
            <w:pPr>
              <w:pStyle w:val="14"/>
              <w:ind w:firstLine="6144" w:firstLineChars="2550"/>
              <w:rPr>
                <w:rFonts w:ascii="Times New Roman" w:hAnsi="Times New Roman"/>
                <w:b/>
                <w:bCs/>
                <w:sz w:val="24"/>
              </w:rPr>
            </w:pPr>
            <w:r>
              <w:rPr>
                <w:rFonts w:ascii="Times New Roman" w:hAnsi="Times New Roman"/>
                <w:b/>
                <w:bCs/>
                <w:sz w:val="24"/>
              </w:rPr>
              <w:t>年   月   日</w:t>
            </w:r>
          </w:p>
          <w:p w14:paraId="5A94328D">
            <w:pPr>
              <w:pStyle w:val="14"/>
              <w:rPr>
                <w:rFonts w:ascii="Times New Roman" w:hAnsi="Times New Roman"/>
                <w:b/>
                <w:bCs/>
                <w:sz w:val="30"/>
                <w:szCs w:val="30"/>
              </w:rPr>
            </w:pPr>
          </w:p>
          <w:p w14:paraId="02642105">
            <w:pPr>
              <w:pStyle w:val="14"/>
              <w:rPr>
                <w:rFonts w:ascii="Times New Roman" w:hAnsi="Times New Roman"/>
                <w:b/>
                <w:bCs/>
                <w:sz w:val="30"/>
                <w:szCs w:val="30"/>
              </w:rPr>
            </w:pPr>
          </w:p>
          <w:p w14:paraId="56536F78">
            <w:pPr>
              <w:pStyle w:val="14"/>
              <w:rPr>
                <w:rFonts w:ascii="Times New Roman" w:hAnsi="Times New Roman"/>
                <w:b/>
                <w:bCs/>
                <w:sz w:val="30"/>
                <w:szCs w:val="30"/>
              </w:rPr>
            </w:pPr>
          </w:p>
        </w:tc>
      </w:tr>
    </w:tbl>
    <w:p w14:paraId="4BBE70AC">
      <w:pPr>
        <w:pStyle w:val="2"/>
        <w:ind w:left="0" w:leftChars="0" w:firstLine="0" w:firstLineChars="0"/>
        <w:jc w:val="center"/>
        <w:rPr>
          <w:rFonts w:hint="eastAsia"/>
          <w:lang w:bidi="ar"/>
        </w:rPr>
      </w:pPr>
      <w:bookmarkStart w:id="49" w:name="_GoBack"/>
      <w:bookmarkEnd w:id="49"/>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swiss"/>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方正宋三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仿宋">
    <w:panose1 w:val="02010609060101010101"/>
    <w:charset w:val="86"/>
    <w:family w:val="modern"/>
    <w:pitch w:val="default"/>
    <w:sig w:usb0="800002BF" w:usb1="38CF7CFA" w:usb2="00000016" w:usb3="00000000" w:csb0="00040001" w:csb1="00000000"/>
  </w:font>
  <w:font w:name="Bookman Old Style">
    <w:altName w:val="Segoe Print"/>
    <w:panose1 w:val="02050604050505020204"/>
    <w:charset w:val="00"/>
    <w:family w:val="roman"/>
    <w:pitch w:val="default"/>
    <w:sig w:usb0="00000000" w:usb1="00000000" w:usb2="00000000" w:usb3="00000000" w:csb0="0000009F" w:csb1="00000000"/>
  </w:font>
  <w:font w:name="MS Mincho">
    <w:panose1 w:val="02020609040205080304"/>
    <w:charset w:val="80"/>
    <w:family w:val="roma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21F30">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0D3AF">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10</w:t>
    </w:r>
    <w:r>
      <w:rPr>
        <w:rFonts w:ascii="Times New Roman" w:hAnsi="Times New Roman"/>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CB318">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12</w:t>
    </w:r>
    <w:r>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D4FA2">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58</w:t>
    </w:r>
    <w:r>
      <w:rPr>
        <w:rFonts w:ascii="Times New Roman" w:hAnsi="Times New Roman"/>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ED63">
    <w:pPr>
      <w:pStyle w:val="2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123</w:t>
    </w:r>
    <w:r>
      <w:rPr>
        <w:rFonts w:ascii="Times New Roman" w:hAnsi="Times New Roman"/>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9A4E60"/>
    <w:multiLevelType w:val="multilevel"/>
    <w:tmpl w:val="1A9A4E6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91134D7"/>
    <w:multiLevelType w:val="multilevel"/>
    <w:tmpl w:val="291134D7"/>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iOGI5MDcxNWM3ODdhYTlmMzVjOWZhZWEyMDM0MzcifQ=="/>
  </w:docVars>
  <w:rsids>
    <w:rsidRoot w:val="001469D4"/>
    <w:rsid w:val="000001C1"/>
    <w:rsid w:val="000003E7"/>
    <w:rsid w:val="000005D3"/>
    <w:rsid w:val="00000603"/>
    <w:rsid w:val="00000829"/>
    <w:rsid w:val="0000084C"/>
    <w:rsid w:val="00000CAC"/>
    <w:rsid w:val="000010E2"/>
    <w:rsid w:val="0000141B"/>
    <w:rsid w:val="00001A76"/>
    <w:rsid w:val="00001C12"/>
    <w:rsid w:val="00002324"/>
    <w:rsid w:val="00002464"/>
    <w:rsid w:val="00002546"/>
    <w:rsid w:val="000026F0"/>
    <w:rsid w:val="00002EB7"/>
    <w:rsid w:val="00002F54"/>
    <w:rsid w:val="0000314B"/>
    <w:rsid w:val="0000362A"/>
    <w:rsid w:val="000036B9"/>
    <w:rsid w:val="00003700"/>
    <w:rsid w:val="000039AE"/>
    <w:rsid w:val="00003AD5"/>
    <w:rsid w:val="00003D5A"/>
    <w:rsid w:val="00004C74"/>
    <w:rsid w:val="00004D7B"/>
    <w:rsid w:val="00004E99"/>
    <w:rsid w:val="00005022"/>
    <w:rsid w:val="00005236"/>
    <w:rsid w:val="000058E9"/>
    <w:rsid w:val="00005C0B"/>
    <w:rsid w:val="00005C1C"/>
    <w:rsid w:val="00005C22"/>
    <w:rsid w:val="00005DFF"/>
    <w:rsid w:val="0000619F"/>
    <w:rsid w:val="00006572"/>
    <w:rsid w:val="00006855"/>
    <w:rsid w:val="00006D3B"/>
    <w:rsid w:val="00006E05"/>
    <w:rsid w:val="000070B7"/>
    <w:rsid w:val="00007232"/>
    <w:rsid w:val="0000729D"/>
    <w:rsid w:val="00007605"/>
    <w:rsid w:val="00007658"/>
    <w:rsid w:val="000078DD"/>
    <w:rsid w:val="00007E33"/>
    <w:rsid w:val="000105EC"/>
    <w:rsid w:val="000106E2"/>
    <w:rsid w:val="000109C0"/>
    <w:rsid w:val="00010A4B"/>
    <w:rsid w:val="00010DB1"/>
    <w:rsid w:val="00010E0E"/>
    <w:rsid w:val="0001106F"/>
    <w:rsid w:val="0001121E"/>
    <w:rsid w:val="0001165B"/>
    <w:rsid w:val="0001172B"/>
    <w:rsid w:val="00011A3E"/>
    <w:rsid w:val="00011CB4"/>
    <w:rsid w:val="00011CC5"/>
    <w:rsid w:val="000121B7"/>
    <w:rsid w:val="00012623"/>
    <w:rsid w:val="00012FC0"/>
    <w:rsid w:val="00013364"/>
    <w:rsid w:val="000133EF"/>
    <w:rsid w:val="0001356E"/>
    <w:rsid w:val="00013729"/>
    <w:rsid w:val="000137FD"/>
    <w:rsid w:val="00013A26"/>
    <w:rsid w:val="00013AB4"/>
    <w:rsid w:val="00013F16"/>
    <w:rsid w:val="000140AD"/>
    <w:rsid w:val="00014102"/>
    <w:rsid w:val="000141AA"/>
    <w:rsid w:val="00014633"/>
    <w:rsid w:val="00014653"/>
    <w:rsid w:val="000147B2"/>
    <w:rsid w:val="00014AD2"/>
    <w:rsid w:val="00014B57"/>
    <w:rsid w:val="00014C02"/>
    <w:rsid w:val="00014E9D"/>
    <w:rsid w:val="00014FC8"/>
    <w:rsid w:val="0001502C"/>
    <w:rsid w:val="000150DA"/>
    <w:rsid w:val="000151D5"/>
    <w:rsid w:val="00015BFA"/>
    <w:rsid w:val="00015DA3"/>
    <w:rsid w:val="00015DFB"/>
    <w:rsid w:val="000161AF"/>
    <w:rsid w:val="000163BF"/>
    <w:rsid w:val="0001684B"/>
    <w:rsid w:val="00017292"/>
    <w:rsid w:val="000172BE"/>
    <w:rsid w:val="0001734E"/>
    <w:rsid w:val="00017A24"/>
    <w:rsid w:val="00017BA4"/>
    <w:rsid w:val="00017F53"/>
    <w:rsid w:val="00020042"/>
    <w:rsid w:val="00020127"/>
    <w:rsid w:val="00020284"/>
    <w:rsid w:val="000202CC"/>
    <w:rsid w:val="0002033B"/>
    <w:rsid w:val="00020722"/>
    <w:rsid w:val="00020794"/>
    <w:rsid w:val="00020863"/>
    <w:rsid w:val="00020B38"/>
    <w:rsid w:val="00020C7D"/>
    <w:rsid w:val="00021395"/>
    <w:rsid w:val="00021448"/>
    <w:rsid w:val="0002181A"/>
    <w:rsid w:val="00021CFF"/>
    <w:rsid w:val="00021FD6"/>
    <w:rsid w:val="0002283D"/>
    <w:rsid w:val="000229E9"/>
    <w:rsid w:val="00022CE4"/>
    <w:rsid w:val="000235B8"/>
    <w:rsid w:val="000239CA"/>
    <w:rsid w:val="00023A90"/>
    <w:rsid w:val="00023C3F"/>
    <w:rsid w:val="00023CE0"/>
    <w:rsid w:val="0002403F"/>
    <w:rsid w:val="000245D8"/>
    <w:rsid w:val="0002467D"/>
    <w:rsid w:val="000246BF"/>
    <w:rsid w:val="000247C4"/>
    <w:rsid w:val="000248FB"/>
    <w:rsid w:val="00024A79"/>
    <w:rsid w:val="00024B1A"/>
    <w:rsid w:val="00025179"/>
    <w:rsid w:val="000251EA"/>
    <w:rsid w:val="0002536F"/>
    <w:rsid w:val="000253CB"/>
    <w:rsid w:val="000254F4"/>
    <w:rsid w:val="00025576"/>
    <w:rsid w:val="00025637"/>
    <w:rsid w:val="000257B1"/>
    <w:rsid w:val="000259A9"/>
    <w:rsid w:val="00025A6A"/>
    <w:rsid w:val="00026058"/>
    <w:rsid w:val="00026304"/>
    <w:rsid w:val="00027899"/>
    <w:rsid w:val="00027D28"/>
    <w:rsid w:val="0003017E"/>
    <w:rsid w:val="00030439"/>
    <w:rsid w:val="0003054E"/>
    <w:rsid w:val="00030627"/>
    <w:rsid w:val="0003068B"/>
    <w:rsid w:val="000306AE"/>
    <w:rsid w:val="00030740"/>
    <w:rsid w:val="000307BC"/>
    <w:rsid w:val="00030909"/>
    <w:rsid w:val="00030927"/>
    <w:rsid w:val="00030D62"/>
    <w:rsid w:val="000311E8"/>
    <w:rsid w:val="00031439"/>
    <w:rsid w:val="000317C8"/>
    <w:rsid w:val="00031A1D"/>
    <w:rsid w:val="00031A31"/>
    <w:rsid w:val="00031A7B"/>
    <w:rsid w:val="00031AAB"/>
    <w:rsid w:val="00031AC9"/>
    <w:rsid w:val="00031B23"/>
    <w:rsid w:val="00031DDE"/>
    <w:rsid w:val="00031FB4"/>
    <w:rsid w:val="00031FC5"/>
    <w:rsid w:val="000323D9"/>
    <w:rsid w:val="00032548"/>
    <w:rsid w:val="00032717"/>
    <w:rsid w:val="000328BD"/>
    <w:rsid w:val="0003296C"/>
    <w:rsid w:val="00032C01"/>
    <w:rsid w:val="00032CAC"/>
    <w:rsid w:val="00032FD3"/>
    <w:rsid w:val="0003338E"/>
    <w:rsid w:val="0003353C"/>
    <w:rsid w:val="0003357F"/>
    <w:rsid w:val="00033663"/>
    <w:rsid w:val="000336E8"/>
    <w:rsid w:val="00033856"/>
    <w:rsid w:val="00033949"/>
    <w:rsid w:val="00033D4E"/>
    <w:rsid w:val="00033F0A"/>
    <w:rsid w:val="00033F18"/>
    <w:rsid w:val="00034821"/>
    <w:rsid w:val="00034A95"/>
    <w:rsid w:val="00034AAA"/>
    <w:rsid w:val="00034AF4"/>
    <w:rsid w:val="00034D0B"/>
    <w:rsid w:val="00034F6D"/>
    <w:rsid w:val="00035345"/>
    <w:rsid w:val="00035359"/>
    <w:rsid w:val="000357FF"/>
    <w:rsid w:val="00035879"/>
    <w:rsid w:val="000359C4"/>
    <w:rsid w:val="00035B87"/>
    <w:rsid w:val="00035D97"/>
    <w:rsid w:val="00035FE5"/>
    <w:rsid w:val="000364C7"/>
    <w:rsid w:val="000365CA"/>
    <w:rsid w:val="00036765"/>
    <w:rsid w:val="00036823"/>
    <w:rsid w:val="00036C4B"/>
    <w:rsid w:val="00036DCA"/>
    <w:rsid w:val="00036EFB"/>
    <w:rsid w:val="00037242"/>
    <w:rsid w:val="000375B6"/>
    <w:rsid w:val="00037E66"/>
    <w:rsid w:val="00037EE2"/>
    <w:rsid w:val="00037F31"/>
    <w:rsid w:val="00040057"/>
    <w:rsid w:val="000401F2"/>
    <w:rsid w:val="000402A1"/>
    <w:rsid w:val="0004079F"/>
    <w:rsid w:val="000409D4"/>
    <w:rsid w:val="00040F30"/>
    <w:rsid w:val="000411E8"/>
    <w:rsid w:val="00041654"/>
    <w:rsid w:val="00041B16"/>
    <w:rsid w:val="00041BFE"/>
    <w:rsid w:val="00041F7F"/>
    <w:rsid w:val="00041F9A"/>
    <w:rsid w:val="0004216F"/>
    <w:rsid w:val="0004257E"/>
    <w:rsid w:val="000427C2"/>
    <w:rsid w:val="00042C9D"/>
    <w:rsid w:val="00042D9A"/>
    <w:rsid w:val="0004316A"/>
    <w:rsid w:val="0004317C"/>
    <w:rsid w:val="00043384"/>
    <w:rsid w:val="000434AC"/>
    <w:rsid w:val="000435EE"/>
    <w:rsid w:val="000438BD"/>
    <w:rsid w:val="00043DA7"/>
    <w:rsid w:val="00043FA8"/>
    <w:rsid w:val="000443CD"/>
    <w:rsid w:val="0004455A"/>
    <w:rsid w:val="0004467B"/>
    <w:rsid w:val="000448A7"/>
    <w:rsid w:val="00044A21"/>
    <w:rsid w:val="00044B2A"/>
    <w:rsid w:val="00044FA0"/>
    <w:rsid w:val="000453BA"/>
    <w:rsid w:val="000455CA"/>
    <w:rsid w:val="0004572A"/>
    <w:rsid w:val="00046027"/>
    <w:rsid w:val="0004611E"/>
    <w:rsid w:val="000462BF"/>
    <w:rsid w:val="0004660A"/>
    <w:rsid w:val="000466C2"/>
    <w:rsid w:val="0004677C"/>
    <w:rsid w:val="00046D1B"/>
    <w:rsid w:val="00046EAA"/>
    <w:rsid w:val="00047160"/>
    <w:rsid w:val="00047BF4"/>
    <w:rsid w:val="00047D6C"/>
    <w:rsid w:val="00047E9A"/>
    <w:rsid w:val="00050292"/>
    <w:rsid w:val="00050842"/>
    <w:rsid w:val="0005094E"/>
    <w:rsid w:val="00050AA3"/>
    <w:rsid w:val="00050C6F"/>
    <w:rsid w:val="00050FFB"/>
    <w:rsid w:val="0005121F"/>
    <w:rsid w:val="00051336"/>
    <w:rsid w:val="000513EA"/>
    <w:rsid w:val="0005160F"/>
    <w:rsid w:val="000516EF"/>
    <w:rsid w:val="000517C1"/>
    <w:rsid w:val="0005195A"/>
    <w:rsid w:val="00051AC1"/>
    <w:rsid w:val="00051B58"/>
    <w:rsid w:val="00051CC5"/>
    <w:rsid w:val="000527AE"/>
    <w:rsid w:val="00052FDC"/>
    <w:rsid w:val="0005300F"/>
    <w:rsid w:val="000530EB"/>
    <w:rsid w:val="000531A1"/>
    <w:rsid w:val="000532CF"/>
    <w:rsid w:val="00053427"/>
    <w:rsid w:val="00053ADA"/>
    <w:rsid w:val="00053C8E"/>
    <w:rsid w:val="00053D5A"/>
    <w:rsid w:val="00053DFB"/>
    <w:rsid w:val="00053F3F"/>
    <w:rsid w:val="0005407A"/>
    <w:rsid w:val="0005419B"/>
    <w:rsid w:val="0005433D"/>
    <w:rsid w:val="000546FA"/>
    <w:rsid w:val="00054742"/>
    <w:rsid w:val="00054897"/>
    <w:rsid w:val="00054FE1"/>
    <w:rsid w:val="00055395"/>
    <w:rsid w:val="0005562F"/>
    <w:rsid w:val="000557E9"/>
    <w:rsid w:val="000560F1"/>
    <w:rsid w:val="00056142"/>
    <w:rsid w:val="000564A8"/>
    <w:rsid w:val="000564B9"/>
    <w:rsid w:val="0005655A"/>
    <w:rsid w:val="000568B5"/>
    <w:rsid w:val="00056E64"/>
    <w:rsid w:val="00056FAC"/>
    <w:rsid w:val="00057015"/>
    <w:rsid w:val="00057311"/>
    <w:rsid w:val="00057B8F"/>
    <w:rsid w:val="00057D8A"/>
    <w:rsid w:val="00057DB1"/>
    <w:rsid w:val="000605EF"/>
    <w:rsid w:val="000609B0"/>
    <w:rsid w:val="00060CDD"/>
    <w:rsid w:val="000611C1"/>
    <w:rsid w:val="000612C9"/>
    <w:rsid w:val="00061610"/>
    <w:rsid w:val="0006178A"/>
    <w:rsid w:val="00061E69"/>
    <w:rsid w:val="00061F78"/>
    <w:rsid w:val="00062040"/>
    <w:rsid w:val="0006287F"/>
    <w:rsid w:val="0006296D"/>
    <w:rsid w:val="000630C8"/>
    <w:rsid w:val="0006313A"/>
    <w:rsid w:val="000633BA"/>
    <w:rsid w:val="00063836"/>
    <w:rsid w:val="00063B19"/>
    <w:rsid w:val="00063C0B"/>
    <w:rsid w:val="00063D98"/>
    <w:rsid w:val="00063EE8"/>
    <w:rsid w:val="000643A6"/>
    <w:rsid w:val="00064479"/>
    <w:rsid w:val="000644B5"/>
    <w:rsid w:val="000645A8"/>
    <w:rsid w:val="000647AA"/>
    <w:rsid w:val="000648D7"/>
    <w:rsid w:val="00064F3A"/>
    <w:rsid w:val="0006518D"/>
    <w:rsid w:val="00065DEC"/>
    <w:rsid w:val="00065EBA"/>
    <w:rsid w:val="0006603D"/>
    <w:rsid w:val="0006688E"/>
    <w:rsid w:val="00066976"/>
    <w:rsid w:val="00066A90"/>
    <w:rsid w:val="00066D3C"/>
    <w:rsid w:val="00066D6D"/>
    <w:rsid w:val="00066F10"/>
    <w:rsid w:val="000672EE"/>
    <w:rsid w:val="000673FC"/>
    <w:rsid w:val="00067979"/>
    <w:rsid w:val="00067A15"/>
    <w:rsid w:val="00067A3F"/>
    <w:rsid w:val="00067ADB"/>
    <w:rsid w:val="00070114"/>
    <w:rsid w:val="00070392"/>
    <w:rsid w:val="0007051A"/>
    <w:rsid w:val="00070760"/>
    <w:rsid w:val="000707D2"/>
    <w:rsid w:val="00070A4A"/>
    <w:rsid w:val="00070C84"/>
    <w:rsid w:val="00070CAF"/>
    <w:rsid w:val="000710D3"/>
    <w:rsid w:val="000715B2"/>
    <w:rsid w:val="00071635"/>
    <w:rsid w:val="00071B81"/>
    <w:rsid w:val="000720EC"/>
    <w:rsid w:val="00072662"/>
    <w:rsid w:val="00072700"/>
    <w:rsid w:val="00072B30"/>
    <w:rsid w:val="00072D73"/>
    <w:rsid w:val="00072F39"/>
    <w:rsid w:val="00073087"/>
    <w:rsid w:val="000734FC"/>
    <w:rsid w:val="00073864"/>
    <w:rsid w:val="00073CB9"/>
    <w:rsid w:val="00073DC0"/>
    <w:rsid w:val="00073F74"/>
    <w:rsid w:val="000740DC"/>
    <w:rsid w:val="000741E4"/>
    <w:rsid w:val="0007437F"/>
    <w:rsid w:val="000746C7"/>
    <w:rsid w:val="000751D8"/>
    <w:rsid w:val="00075760"/>
    <w:rsid w:val="00075E5B"/>
    <w:rsid w:val="00075FBB"/>
    <w:rsid w:val="00076065"/>
    <w:rsid w:val="00076083"/>
    <w:rsid w:val="000760A5"/>
    <w:rsid w:val="000761AD"/>
    <w:rsid w:val="0007641C"/>
    <w:rsid w:val="00076842"/>
    <w:rsid w:val="00076A3B"/>
    <w:rsid w:val="00076B85"/>
    <w:rsid w:val="00076D62"/>
    <w:rsid w:val="00076E27"/>
    <w:rsid w:val="00077010"/>
    <w:rsid w:val="00077188"/>
    <w:rsid w:val="000774DE"/>
    <w:rsid w:val="0007754E"/>
    <w:rsid w:val="000775BB"/>
    <w:rsid w:val="000779C1"/>
    <w:rsid w:val="00077A17"/>
    <w:rsid w:val="00077ACB"/>
    <w:rsid w:val="000801BA"/>
    <w:rsid w:val="000803F9"/>
    <w:rsid w:val="00080526"/>
    <w:rsid w:val="000808D4"/>
    <w:rsid w:val="00080CCA"/>
    <w:rsid w:val="00080DF0"/>
    <w:rsid w:val="00080F6A"/>
    <w:rsid w:val="00081116"/>
    <w:rsid w:val="00081558"/>
    <w:rsid w:val="00081A2C"/>
    <w:rsid w:val="00081B09"/>
    <w:rsid w:val="00081C47"/>
    <w:rsid w:val="000820D8"/>
    <w:rsid w:val="000822A8"/>
    <w:rsid w:val="000823A5"/>
    <w:rsid w:val="000823ED"/>
    <w:rsid w:val="0008263A"/>
    <w:rsid w:val="000828E3"/>
    <w:rsid w:val="00082A94"/>
    <w:rsid w:val="00082B8A"/>
    <w:rsid w:val="00082BB1"/>
    <w:rsid w:val="00082D3B"/>
    <w:rsid w:val="00082DEE"/>
    <w:rsid w:val="00083306"/>
    <w:rsid w:val="00083565"/>
    <w:rsid w:val="0008356B"/>
    <w:rsid w:val="00083F77"/>
    <w:rsid w:val="000845A4"/>
    <w:rsid w:val="000846E2"/>
    <w:rsid w:val="00084774"/>
    <w:rsid w:val="000847D1"/>
    <w:rsid w:val="00084A7B"/>
    <w:rsid w:val="00084B31"/>
    <w:rsid w:val="00084E92"/>
    <w:rsid w:val="0008543B"/>
    <w:rsid w:val="000855D9"/>
    <w:rsid w:val="00085706"/>
    <w:rsid w:val="0008579E"/>
    <w:rsid w:val="0008581F"/>
    <w:rsid w:val="0008589C"/>
    <w:rsid w:val="000858A1"/>
    <w:rsid w:val="000858C9"/>
    <w:rsid w:val="000858DB"/>
    <w:rsid w:val="00085E08"/>
    <w:rsid w:val="000860E2"/>
    <w:rsid w:val="0008698C"/>
    <w:rsid w:val="00086BD0"/>
    <w:rsid w:val="00086F72"/>
    <w:rsid w:val="00086FE1"/>
    <w:rsid w:val="0008722E"/>
    <w:rsid w:val="000873F9"/>
    <w:rsid w:val="000876B7"/>
    <w:rsid w:val="000879D5"/>
    <w:rsid w:val="00087F1C"/>
    <w:rsid w:val="00087F7C"/>
    <w:rsid w:val="00090410"/>
    <w:rsid w:val="00090448"/>
    <w:rsid w:val="000905A6"/>
    <w:rsid w:val="0009069D"/>
    <w:rsid w:val="00090814"/>
    <w:rsid w:val="00090927"/>
    <w:rsid w:val="00090B54"/>
    <w:rsid w:val="00091378"/>
    <w:rsid w:val="0009150F"/>
    <w:rsid w:val="00091681"/>
    <w:rsid w:val="00091755"/>
    <w:rsid w:val="00091D30"/>
    <w:rsid w:val="00091DBA"/>
    <w:rsid w:val="000920B4"/>
    <w:rsid w:val="000925EB"/>
    <w:rsid w:val="0009269E"/>
    <w:rsid w:val="00092735"/>
    <w:rsid w:val="000927D6"/>
    <w:rsid w:val="00092B1E"/>
    <w:rsid w:val="00092BC9"/>
    <w:rsid w:val="00092C09"/>
    <w:rsid w:val="00092E27"/>
    <w:rsid w:val="0009313E"/>
    <w:rsid w:val="00093712"/>
    <w:rsid w:val="0009396C"/>
    <w:rsid w:val="00093D03"/>
    <w:rsid w:val="00093D51"/>
    <w:rsid w:val="000941EE"/>
    <w:rsid w:val="00095007"/>
    <w:rsid w:val="0009543C"/>
    <w:rsid w:val="0009547D"/>
    <w:rsid w:val="000954FD"/>
    <w:rsid w:val="000955BC"/>
    <w:rsid w:val="000955D9"/>
    <w:rsid w:val="00095671"/>
    <w:rsid w:val="000959D0"/>
    <w:rsid w:val="00095B17"/>
    <w:rsid w:val="00095E33"/>
    <w:rsid w:val="000960AE"/>
    <w:rsid w:val="0009616A"/>
    <w:rsid w:val="00096218"/>
    <w:rsid w:val="00096454"/>
    <w:rsid w:val="00096A25"/>
    <w:rsid w:val="00096BDF"/>
    <w:rsid w:val="00096EA8"/>
    <w:rsid w:val="00096F70"/>
    <w:rsid w:val="00096F75"/>
    <w:rsid w:val="000A05E8"/>
    <w:rsid w:val="000A07CB"/>
    <w:rsid w:val="000A0AFB"/>
    <w:rsid w:val="000A0B06"/>
    <w:rsid w:val="000A0C8B"/>
    <w:rsid w:val="000A0FB1"/>
    <w:rsid w:val="000A13F1"/>
    <w:rsid w:val="000A1735"/>
    <w:rsid w:val="000A1814"/>
    <w:rsid w:val="000A1A2C"/>
    <w:rsid w:val="000A2001"/>
    <w:rsid w:val="000A2261"/>
    <w:rsid w:val="000A24B7"/>
    <w:rsid w:val="000A2597"/>
    <w:rsid w:val="000A266A"/>
    <w:rsid w:val="000A268E"/>
    <w:rsid w:val="000A2742"/>
    <w:rsid w:val="000A2E3D"/>
    <w:rsid w:val="000A330C"/>
    <w:rsid w:val="000A368F"/>
    <w:rsid w:val="000A36F9"/>
    <w:rsid w:val="000A3907"/>
    <w:rsid w:val="000A3BF9"/>
    <w:rsid w:val="000A3C62"/>
    <w:rsid w:val="000A42C2"/>
    <w:rsid w:val="000A43D6"/>
    <w:rsid w:val="000A4833"/>
    <w:rsid w:val="000A4B74"/>
    <w:rsid w:val="000A4EB7"/>
    <w:rsid w:val="000A4ED8"/>
    <w:rsid w:val="000A5045"/>
    <w:rsid w:val="000A506A"/>
    <w:rsid w:val="000A508B"/>
    <w:rsid w:val="000A51D9"/>
    <w:rsid w:val="000A53E6"/>
    <w:rsid w:val="000A5538"/>
    <w:rsid w:val="000A5675"/>
    <w:rsid w:val="000A5763"/>
    <w:rsid w:val="000A5964"/>
    <w:rsid w:val="000A5A88"/>
    <w:rsid w:val="000A5B3E"/>
    <w:rsid w:val="000A6010"/>
    <w:rsid w:val="000A605D"/>
    <w:rsid w:val="000A6370"/>
    <w:rsid w:val="000A646F"/>
    <w:rsid w:val="000A679B"/>
    <w:rsid w:val="000A6C13"/>
    <w:rsid w:val="000A6ED5"/>
    <w:rsid w:val="000A7436"/>
    <w:rsid w:val="000A762E"/>
    <w:rsid w:val="000A76BB"/>
    <w:rsid w:val="000A77FF"/>
    <w:rsid w:val="000A78F6"/>
    <w:rsid w:val="000A7E5A"/>
    <w:rsid w:val="000A7FC0"/>
    <w:rsid w:val="000B0005"/>
    <w:rsid w:val="000B0346"/>
    <w:rsid w:val="000B04AC"/>
    <w:rsid w:val="000B06A5"/>
    <w:rsid w:val="000B06BD"/>
    <w:rsid w:val="000B089D"/>
    <w:rsid w:val="000B0AD1"/>
    <w:rsid w:val="000B0C1C"/>
    <w:rsid w:val="000B0C40"/>
    <w:rsid w:val="000B104F"/>
    <w:rsid w:val="000B10B5"/>
    <w:rsid w:val="000B1197"/>
    <w:rsid w:val="000B149D"/>
    <w:rsid w:val="000B14BB"/>
    <w:rsid w:val="000B1CDF"/>
    <w:rsid w:val="000B2043"/>
    <w:rsid w:val="000B2BC0"/>
    <w:rsid w:val="000B2D8E"/>
    <w:rsid w:val="000B2E16"/>
    <w:rsid w:val="000B2F73"/>
    <w:rsid w:val="000B2FBA"/>
    <w:rsid w:val="000B3BD6"/>
    <w:rsid w:val="000B3C26"/>
    <w:rsid w:val="000B3C67"/>
    <w:rsid w:val="000B4079"/>
    <w:rsid w:val="000B407F"/>
    <w:rsid w:val="000B421C"/>
    <w:rsid w:val="000B4551"/>
    <w:rsid w:val="000B4608"/>
    <w:rsid w:val="000B49B0"/>
    <w:rsid w:val="000B508C"/>
    <w:rsid w:val="000B52D1"/>
    <w:rsid w:val="000B537A"/>
    <w:rsid w:val="000B5718"/>
    <w:rsid w:val="000B5773"/>
    <w:rsid w:val="000B5845"/>
    <w:rsid w:val="000B59C8"/>
    <w:rsid w:val="000B5D0F"/>
    <w:rsid w:val="000B6345"/>
    <w:rsid w:val="000B64F0"/>
    <w:rsid w:val="000B6641"/>
    <w:rsid w:val="000B66F4"/>
    <w:rsid w:val="000B6A6E"/>
    <w:rsid w:val="000B6B03"/>
    <w:rsid w:val="000B756F"/>
    <w:rsid w:val="000B7C7C"/>
    <w:rsid w:val="000B7F64"/>
    <w:rsid w:val="000C00FD"/>
    <w:rsid w:val="000C026A"/>
    <w:rsid w:val="000C026F"/>
    <w:rsid w:val="000C055A"/>
    <w:rsid w:val="000C0A3A"/>
    <w:rsid w:val="000C0B06"/>
    <w:rsid w:val="000C0B0E"/>
    <w:rsid w:val="000C0BBE"/>
    <w:rsid w:val="000C1322"/>
    <w:rsid w:val="000C13B8"/>
    <w:rsid w:val="000C146E"/>
    <w:rsid w:val="000C14DD"/>
    <w:rsid w:val="000C1576"/>
    <w:rsid w:val="000C1786"/>
    <w:rsid w:val="000C17C2"/>
    <w:rsid w:val="000C1832"/>
    <w:rsid w:val="000C1AE6"/>
    <w:rsid w:val="000C1BAD"/>
    <w:rsid w:val="000C1D6D"/>
    <w:rsid w:val="000C240A"/>
    <w:rsid w:val="000C2461"/>
    <w:rsid w:val="000C268B"/>
    <w:rsid w:val="000C28F4"/>
    <w:rsid w:val="000C29B2"/>
    <w:rsid w:val="000C2D89"/>
    <w:rsid w:val="000C2F81"/>
    <w:rsid w:val="000C365C"/>
    <w:rsid w:val="000C368E"/>
    <w:rsid w:val="000C36D5"/>
    <w:rsid w:val="000C3859"/>
    <w:rsid w:val="000C3C6B"/>
    <w:rsid w:val="000C3F2E"/>
    <w:rsid w:val="000C4058"/>
    <w:rsid w:val="000C40C4"/>
    <w:rsid w:val="000C4CA2"/>
    <w:rsid w:val="000C4E1B"/>
    <w:rsid w:val="000C4EBF"/>
    <w:rsid w:val="000C50FD"/>
    <w:rsid w:val="000C520C"/>
    <w:rsid w:val="000C5A1F"/>
    <w:rsid w:val="000C5AC7"/>
    <w:rsid w:val="000C5D64"/>
    <w:rsid w:val="000C62A6"/>
    <w:rsid w:val="000C63B1"/>
    <w:rsid w:val="000C6582"/>
    <w:rsid w:val="000C6791"/>
    <w:rsid w:val="000C6E15"/>
    <w:rsid w:val="000C70F6"/>
    <w:rsid w:val="000C713D"/>
    <w:rsid w:val="000C71ED"/>
    <w:rsid w:val="000C748B"/>
    <w:rsid w:val="000C7591"/>
    <w:rsid w:val="000C7688"/>
    <w:rsid w:val="000C798B"/>
    <w:rsid w:val="000C7AD3"/>
    <w:rsid w:val="000C7C1E"/>
    <w:rsid w:val="000C7C45"/>
    <w:rsid w:val="000C7D20"/>
    <w:rsid w:val="000C7DF8"/>
    <w:rsid w:val="000D0049"/>
    <w:rsid w:val="000D0483"/>
    <w:rsid w:val="000D05B4"/>
    <w:rsid w:val="000D0A49"/>
    <w:rsid w:val="000D0ABC"/>
    <w:rsid w:val="000D0BAF"/>
    <w:rsid w:val="000D0C0C"/>
    <w:rsid w:val="000D0E44"/>
    <w:rsid w:val="000D0FB2"/>
    <w:rsid w:val="000D1934"/>
    <w:rsid w:val="000D1F00"/>
    <w:rsid w:val="000D213A"/>
    <w:rsid w:val="000D226D"/>
    <w:rsid w:val="000D252B"/>
    <w:rsid w:val="000D292E"/>
    <w:rsid w:val="000D2974"/>
    <w:rsid w:val="000D2AEB"/>
    <w:rsid w:val="000D2C18"/>
    <w:rsid w:val="000D3450"/>
    <w:rsid w:val="000D345C"/>
    <w:rsid w:val="000D3474"/>
    <w:rsid w:val="000D34E2"/>
    <w:rsid w:val="000D36A8"/>
    <w:rsid w:val="000D40FF"/>
    <w:rsid w:val="000D42DF"/>
    <w:rsid w:val="000D43FE"/>
    <w:rsid w:val="000D45A9"/>
    <w:rsid w:val="000D4B6F"/>
    <w:rsid w:val="000D4BCF"/>
    <w:rsid w:val="000D4D7C"/>
    <w:rsid w:val="000D502F"/>
    <w:rsid w:val="000D5119"/>
    <w:rsid w:val="000D5556"/>
    <w:rsid w:val="000D5729"/>
    <w:rsid w:val="000D57DB"/>
    <w:rsid w:val="000D5813"/>
    <w:rsid w:val="000D58F6"/>
    <w:rsid w:val="000D5929"/>
    <w:rsid w:val="000D5958"/>
    <w:rsid w:val="000D5A9B"/>
    <w:rsid w:val="000D5DC0"/>
    <w:rsid w:val="000D5E55"/>
    <w:rsid w:val="000D600C"/>
    <w:rsid w:val="000D611A"/>
    <w:rsid w:val="000D631F"/>
    <w:rsid w:val="000D6490"/>
    <w:rsid w:val="000D6BC8"/>
    <w:rsid w:val="000D6FAC"/>
    <w:rsid w:val="000D7190"/>
    <w:rsid w:val="000D7998"/>
    <w:rsid w:val="000D79AB"/>
    <w:rsid w:val="000D79C2"/>
    <w:rsid w:val="000D7D36"/>
    <w:rsid w:val="000D7DA3"/>
    <w:rsid w:val="000D7F0D"/>
    <w:rsid w:val="000E010D"/>
    <w:rsid w:val="000E02F8"/>
    <w:rsid w:val="000E04CE"/>
    <w:rsid w:val="000E0567"/>
    <w:rsid w:val="000E0578"/>
    <w:rsid w:val="000E084B"/>
    <w:rsid w:val="000E0DD6"/>
    <w:rsid w:val="000E1035"/>
    <w:rsid w:val="000E1233"/>
    <w:rsid w:val="000E15A2"/>
    <w:rsid w:val="000E1937"/>
    <w:rsid w:val="000E1984"/>
    <w:rsid w:val="000E1C0D"/>
    <w:rsid w:val="000E1E29"/>
    <w:rsid w:val="000E1EF4"/>
    <w:rsid w:val="000E1F02"/>
    <w:rsid w:val="000E20A1"/>
    <w:rsid w:val="000E20F8"/>
    <w:rsid w:val="000E21ED"/>
    <w:rsid w:val="000E24C9"/>
    <w:rsid w:val="000E26B4"/>
    <w:rsid w:val="000E2983"/>
    <w:rsid w:val="000E3126"/>
    <w:rsid w:val="000E317E"/>
    <w:rsid w:val="000E40D5"/>
    <w:rsid w:val="000E430F"/>
    <w:rsid w:val="000E44A1"/>
    <w:rsid w:val="000E488B"/>
    <w:rsid w:val="000E48B5"/>
    <w:rsid w:val="000E4A15"/>
    <w:rsid w:val="000E4A2A"/>
    <w:rsid w:val="000E507F"/>
    <w:rsid w:val="000E519A"/>
    <w:rsid w:val="000E51F3"/>
    <w:rsid w:val="000E523F"/>
    <w:rsid w:val="000E55F9"/>
    <w:rsid w:val="000E5733"/>
    <w:rsid w:val="000E59DD"/>
    <w:rsid w:val="000E59E6"/>
    <w:rsid w:val="000E5B24"/>
    <w:rsid w:val="000E5D45"/>
    <w:rsid w:val="000E5DB6"/>
    <w:rsid w:val="000E5EF5"/>
    <w:rsid w:val="000E5FA6"/>
    <w:rsid w:val="000E5FEB"/>
    <w:rsid w:val="000E6491"/>
    <w:rsid w:val="000E6583"/>
    <w:rsid w:val="000E6590"/>
    <w:rsid w:val="000E6A04"/>
    <w:rsid w:val="000E6C59"/>
    <w:rsid w:val="000E721B"/>
    <w:rsid w:val="000E727B"/>
    <w:rsid w:val="000E72FB"/>
    <w:rsid w:val="000E743E"/>
    <w:rsid w:val="000E7567"/>
    <w:rsid w:val="000E77AF"/>
    <w:rsid w:val="000E7D8F"/>
    <w:rsid w:val="000F043E"/>
    <w:rsid w:val="000F04C9"/>
    <w:rsid w:val="000F0A72"/>
    <w:rsid w:val="000F1052"/>
    <w:rsid w:val="000F1133"/>
    <w:rsid w:val="000F17CC"/>
    <w:rsid w:val="000F183E"/>
    <w:rsid w:val="000F1931"/>
    <w:rsid w:val="000F1C71"/>
    <w:rsid w:val="000F21D7"/>
    <w:rsid w:val="000F2606"/>
    <w:rsid w:val="000F2795"/>
    <w:rsid w:val="000F28EA"/>
    <w:rsid w:val="000F28F5"/>
    <w:rsid w:val="000F2AF1"/>
    <w:rsid w:val="000F2D0C"/>
    <w:rsid w:val="000F2FE5"/>
    <w:rsid w:val="000F323E"/>
    <w:rsid w:val="000F333E"/>
    <w:rsid w:val="000F34AC"/>
    <w:rsid w:val="000F38D1"/>
    <w:rsid w:val="000F3B90"/>
    <w:rsid w:val="000F3C43"/>
    <w:rsid w:val="000F3CA2"/>
    <w:rsid w:val="000F3D86"/>
    <w:rsid w:val="000F3F1B"/>
    <w:rsid w:val="000F418C"/>
    <w:rsid w:val="000F433E"/>
    <w:rsid w:val="000F44B5"/>
    <w:rsid w:val="000F451D"/>
    <w:rsid w:val="000F4A38"/>
    <w:rsid w:val="000F4C90"/>
    <w:rsid w:val="000F4D0A"/>
    <w:rsid w:val="000F4D88"/>
    <w:rsid w:val="000F5585"/>
    <w:rsid w:val="000F55CA"/>
    <w:rsid w:val="000F593B"/>
    <w:rsid w:val="000F5AC9"/>
    <w:rsid w:val="000F5C6D"/>
    <w:rsid w:val="000F5DA8"/>
    <w:rsid w:val="000F5DC1"/>
    <w:rsid w:val="000F5F0B"/>
    <w:rsid w:val="000F602B"/>
    <w:rsid w:val="000F61D5"/>
    <w:rsid w:val="000F639B"/>
    <w:rsid w:val="000F6432"/>
    <w:rsid w:val="000F680C"/>
    <w:rsid w:val="000F6A4E"/>
    <w:rsid w:val="000F6A84"/>
    <w:rsid w:val="000F6C44"/>
    <w:rsid w:val="000F71E8"/>
    <w:rsid w:val="000F729B"/>
    <w:rsid w:val="000F7409"/>
    <w:rsid w:val="000F74D8"/>
    <w:rsid w:val="000F7620"/>
    <w:rsid w:val="000F7782"/>
    <w:rsid w:val="001000AF"/>
    <w:rsid w:val="001001B2"/>
    <w:rsid w:val="00100401"/>
    <w:rsid w:val="001004D3"/>
    <w:rsid w:val="001004DE"/>
    <w:rsid w:val="00100A53"/>
    <w:rsid w:val="00100C50"/>
    <w:rsid w:val="00100E9E"/>
    <w:rsid w:val="0010119A"/>
    <w:rsid w:val="00101468"/>
    <w:rsid w:val="00101634"/>
    <w:rsid w:val="0010183C"/>
    <w:rsid w:val="00101C16"/>
    <w:rsid w:val="00101D18"/>
    <w:rsid w:val="00102D9E"/>
    <w:rsid w:val="001031C4"/>
    <w:rsid w:val="001032B6"/>
    <w:rsid w:val="00103426"/>
    <w:rsid w:val="001034BD"/>
    <w:rsid w:val="0010362D"/>
    <w:rsid w:val="001038B6"/>
    <w:rsid w:val="001038FD"/>
    <w:rsid w:val="00103C4C"/>
    <w:rsid w:val="00103CA3"/>
    <w:rsid w:val="00103CC4"/>
    <w:rsid w:val="00103EBE"/>
    <w:rsid w:val="0010465C"/>
    <w:rsid w:val="001048DC"/>
    <w:rsid w:val="00104ACB"/>
    <w:rsid w:val="00104EE1"/>
    <w:rsid w:val="001050FD"/>
    <w:rsid w:val="001055F5"/>
    <w:rsid w:val="00105650"/>
    <w:rsid w:val="00105DD4"/>
    <w:rsid w:val="001063E4"/>
    <w:rsid w:val="0010644B"/>
    <w:rsid w:val="00106660"/>
    <w:rsid w:val="001066D0"/>
    <w:rsid w:val="00106828"/>
    <w:rsid w:val="00106CFA"/>
    <w:rsid w:val="00107091"/>
    <w:rsid w:val="001070D0"/>
    <w:rsid w:val="00107104"/>
    <w:rsid w:val="00107A15"/>
    <w:rsid w:val="00107A34"/>
    <w:rsid w:val="00107C51"/>
    <w:rsid w:val="00107D56"/>
    <w:rsid w:val="00107EB7"/>
    <w:rsid w:val="00107F6E"/>
    <w:rsid w:val="001100D6"/>
    <w:rsid w:val="0011065D"/>
    <w:rsid w:val="001106A6"/>
    <w:rsid w:val="001108B8"/>
    <w:rsid w:val="00110AB8"/>
    <w:rsid w:val="00110AF7"/>
    <w:rsid w:val="00110F19"/>
    <w:rsid w:val="00111BFE"/>
    <w:rsid w:val="00111DB5"/>
    <w:rsid w:val="0011229E"/>
    <w:rsid w:val="00112460"/>
    <w:rsid w:val="001127E4"/>
    <w:rsid w:val="001128FF"/>
    <w:rsid w:val="0011303E"/>
    <w:rsid w:val="0011326D"/>
    <w:rsid w:val="00113610"/>
    <w:rsid w:val="001136C4"/>
    <w:rsid w:val="00113760"/>
    <w:rsid w:val="001137C3"/>
    <w:rsid w:val="00113C39"/>
    <w:rsid w:val="00113DA3"/>
    <w:rsid w:val="00113F19"/>
    <w:rsid w:val="00113FFE"/>
    <w:rsid w:val="001141A2"/>
    <w:rsid w:val="001141BF"/>
    <w:rsid w:val="001141D4"/>
    <w:rsid w:val="00114747"/>
    <w:rsid w:val="00114821"/>
    <w:rsid w:val="00114963"/>
    <w:rsid w:val="00115026"/>
    <w:rsid w:val="0011512A"/>
    <w:rsid w:val="0011539D"/>
    <w:rsid w:val="001155C4"/>
    <w:rsid w:val="00115764"/>
    <w:rsid w:val="00115792"/>
    <w:rsid w:val="00115A08"/>
    <w:rsid w:val="00115C30"/>
    <w:rsid w:val="00115FC8"/>
    <w:rsid w:val="0011600D"/>
    <w:rsid w:val="0011611C"/>
    <w:rsid w:val="00116127"/>
    <w:rsid w:val="0011629D"/>
    <w:rsid w:val="00116301"/>
    <w:rsid w:val="00116518"/>
    <w:rsid w:val="0011667B"/>
    <w:rsid w:val="001166D6"/>
    <w:rsid w:val="00116CF5"/>
    <w:rsid w:val="001202DB"/>
    <w:rsid w:val="0012038F"/>
    <w:rsid w:val="00120B89"/>
    <w:rsid w:val="00120BBC"/>
    <w:rsid w:val="00120BD0"/>
    <w:rsid w:val="0012138D"/>
    <w:rsid w:val="001215D7"/>
    <w:rsid w:val="00121995"/>
    <w:rsid w:val="00121D22"/>
    <w:rsid w:val="00121EC3"/>
    <w:rsid w:val="0012204F"/>
    <w:rsid w:val="00122058"/>
    <w:rsid w:val="00122446"/>
    <w:rsid w:val="001225C5"/>
    <w:rsid w:val="0012282B"/>
    <w:rsid w:val="00122B4B"/>
    <w:rsid w:val="00122F43"/>
    <w:rsid w:val="00123043"/>
    <w:rsid w:val="001230D1"/>
    <w:rsid w:val="00123334"/>
    <w:rsid w:val="001234F8"/>
    <w:rsid w:val="001238F4"/>
    <w:rsid w:val="00123BD1"/>
    <w:rsid w:val="00123D10"/>
    <w:rsid w:val="00123EB7"/>
    <w:rsid w:val="00123F50"/>
    <w:rsid w:val="001245D9"/>
    <w:rsid w:val="001246E4"/>
    <w:rsid w:val="00124807"/>
    <w:rsid w:val="001248D5"/>
    <w:rsid w:val="00124973"/>
    <w:rsid w:val="00125031"/>
    <w:rsid w:val="001253C0"/>
    <w:rsid w:val="00125730"/>
    <w:rsid w:val="001258FB"/>
    <w:rsid w:val="00125D33"/>
    <w:rsid w:val="00125DE3"/>
    <w:rsid w:val="0012602E"/>
    <w:rsid w:val="001260D1"/>
    <w:rsid w:val="0012673C"/>
    <w:rsid w:val="00126C73"/>
    <w:rsid w:val="00127795"/>
    <w:rsid w:val="001279FC"/>
    <w:rsid w:val="00127F84"/>
    <w:rsid w:val="0013002D"/>
    <w:rsid w:val="0013004F"/>
    <w:rsid w:val="00130389"/>
    <w:rsid w:val="0013066B"/>
    <w:rsid w:val="00130739"/>
    <w:rsid w:val="00130795"/>
    <w:rsid w:val="0013084B"/>
    <w:rsid w:val="00130B46"/>
    <w:rsid w:val="0013100D"/>
    <w:rsid w:val="00131C74"/>
    <w:rsid w:val="00131CC7"/>
    <w:rsid w:val="00131E01"/>
    <w:rsid w:val="00131EDE"/>
    <w:rsid w:val="00131F10"/>
    <w:rsid w:val="00132013"/>
    <w:rsid w:val="00132274"/>
    <w:rsid w:val="0013309D"/>
    <w:rsid w:val="001333C5"/>
    <w:rsid w:val="00133850"/>
    <w:rsid w:val="0013388A"/>
    <w:rsid w:val="00133AF2"/>
    <w:rsid w:val="00133B83"/>
    <w:rsid w:val="00133FBF"/>
    <w:rsid w:val="0013418C"/>
    <w:rsid w:val="0013438C"/>
    <w:rsid w:val="001346E9"/>
    <w:rsid w:val="00134749"/>
    <w:rsid w:val="00134836"/>
    <w:rsid w:val="00134885"/>
    <w:rsid w:val="00134BB1"/>
    <w:rsid w:val="00134D92"/>
    <w:rsid w:val="00134E12"/>
    <w:rsid w:val="00134EDF"/>
    <w:rsid w:val="00135255"/>
    <w:rsid w:val="0013525C"/>
    <w:rsid w:val="001352BF"/>
    <w:rsid w:val="00135D38"/>
    <w:rsid w:val="00135F76"/>
    <w:rsid w:val="001362EB"/>
    <w:rsid w:val="0013647B"/>
    <w:rsid w:val="001368D2"/>
    <w:rsid w:val="00136CDE"/>
    <w:rsid w:val="00136E24"/>
    <w:rsid w:val="00140763"/>
    <w:rsid w:val="001409B6"/>
    <w:rsid w:val="001409EC"/>
    <w:rsid w:val="00140C35"/>
    <w:rsid w:val="00140CBC"/>
    <w:rsid w:val="001410D2"/>
    <w:rsid w:val="00141512"/>
    <w:rsid w:val="001416DC"/>
    <w:rsid w:val="00141B93"/>
    <w:rsid w:val="00141E6E"/>
    <w:rsid w:val="00141F04"/>
    <w:rsid w:val="00141F26"/>
    <w:rsid w:val="00141FA1"/>
    <w:rsid w:val="0014246F"/>
    <w:rsid w:val="001428C4"/>
    <w:rsid w:val="00142C48"/>
    <w:rsid w:val="00142D93"/>
    <w:rsid w:val="00142DBF"/>
    <w:rsid w:val="001433F3"/>
    <w:rsid w:val="00143609"/>
    <w:rsid w:val="0014377F"/>
    <w:rsid w:val="00143F67"/>
    <w:rsid w:val="0014465F"/>
    <w:rsid w:val="001446DB"/>
    <w:rsid w:val="0014475F"/>
    <w:rsid w:val="00144AE7"/>
    <w:rsid w:val="00144C0D"/>
    <w:rsid w:val="00144EDF"/>
    <w:rsid w:val="00144EFC"/>
    <w:rsid w:val="00145201"/>
    <w:rsid w:val="0014532A"/>
    <w:rsid w:val="0014539C"/>
    <w:rsid w:val="0014595C"/>
    <w:rsid w:val="001459C5"/>
    <w:rsid w:val="00145B27"/>
    <w:rsid w:val="00145B91"/>
    <w:rsid w:val="00145E38"/>
    <w:rsid w:val="00146104"/>
    <w:rsid w:val="00146215"/>
    <w:rsid w:val="001462DB"/>
    <w:rsid w:val="00146745"/>
    <w:rsid w:val="0014685A"/>
    <w:rsid w:val="0014685C"/>
    <w:rsid w:val="00146991"/>
    <w:rsid w:val="001469D4"/>
    <w:rsid w:val="00146A6A"/>
    <w:rsid w:val="00146E20"/>
    <w:rsid w:val="00147125"/>
    <w:rsid w:val="00147236"/>
    <w:rsid w:val="0014754C"/>
    <w:rsid w:val="0014772C"/>
    <w:rsid w:val="00147BD7"/>
    <w:rsid w:val="00147E89"/>
    <w:rsid w:val="00150134"/>
    <w:rsid w:val="001501F7"/>
    <w:rsid w:val="00150426"/>
    <w:rsid w:val="001504D8"/>
    <w:rsid w:val="0015095C"/>
    <w:rsid w:val="00150D49"/>
    <w:rsid w:val="0015104E"/>
    <w:rsid w:val="00151391"/>
    <w:rsid w:val="0015162B"/>
    <w:rsid w:val="001518BB"/>
    <w:rsid w:val="00151B71"/>
    <w:rsid w:val="00151C7F"/>
    <w:rsid w:val="00151E03"/>
    <w:rsid w:val="00151E76"/>
    <w:rsid w:val="001520BB"/>
    <w:rsid w:val="00152899"/>
    <w:rsid w:val="00152C42"/>
    <w:rsid w:val="00152CC0"/>
    <w:rsid w:val="00152D2B"/>
    <w:rsid w:val="00152D9E"/>
    <w:rsid w:val="0015326E"/>
    <w:rsid w:val="00153302"/>
    <w:rsid w:val="00153DF9"/>
    <w:rsid w:val="00153F2C"/>
    <w:rsid w:val="00153FA5"/>
    <w:rsid w:val="0015422C"/>
    <w:rsid w:val="0015455E"/>
    <w:rsid w:val="0015466A"/>
    <w:rsid w:val="00154A27"/>
    <w:rsid w:val="001555B2"/>
    <w:rsid w:val="001556B5"/>
    <w:rsid w:val="00155937"/>
    <w:rsid w:val="00155B00"/>
    <w:rsid w:val="00155B41"/>
    <w:rsid w:val="00155B80"/>
    <w:rsid w:val="00155DB5"/>
    <w:rsid w:val="001560E9"/>
    <w:rsid w:val="001561E2"/>
    <w:rsid w:val="001563EC"/>
    <w:rsid w:val="00156AE1"/>
    <w:rsid w:val="00156FBC"/>
    <w:rsid w:val="001573B6"/>
    <w:rsid w:val="00157873"/>
    <w:rsid w:val="00157AD7"/>
    <w:rsid w:val="00157D11"/>
    <w:rsid w:val="00157D86"/>
    <w:rsid w:val="00160026"/>
    <w:rsid w:val="001601C4"/>
    <w:rsid w:val="00160213"/>
    <w:rsid w:val="00160308"/>
    <w:rsid w:val="00160494"/>
    <w:rsid w:val="001606E4"/>
    <w:rsid w:val="0016076F"/>
    <w:rsid w:val="00160778"/>
    <w:rsid w:val="00160937"/>
    <w:rsid w:val="0016097D"/>
    <w:rsid w:val="00160A75"/>
    <w:rsid w:val="00160B0E"/>
    <w:rsid w:val="00160CB2"/>
    <w:rsid w:val="00160E76"/>
    <w:rsid w:val="00160E8C"/>
    <w:rsid w:val="00160F0D"/>
    <w:rsid w:val="00160FBE"/>
    <w:rsid w:val="001615E3"/>
    <w:rsid w:val="00161890"/>
    <w:rsid w:val="00161F93"/>
    <w:rsid w:val="00162358"/>
    <w:rsid w:val="0016239D"/>
    <w:rsid w:val="001625F1"/>
    <w:rsid w:val="00162645"/>
    <w:rsid w:val="00162876"/>
    <w:rsid w:val="00162A19"/>
    <w:rsid w:val="00162A38"/>
    <w:rsid w:val="00162A40"/>
    <w:rsid w:val="00162B65"/>
    <w:rsid w:val="00162B80"/>
    <w:rsid w:val="00162E05"/>
    <w:rsid w:val="00163502"/>
    <w:rsid w:val="0016356F"/>
    <w:rsid w:val="0016382F"/>
    <w:rsid w:val="00163983"/>
    <w:rsid w:val="00163AA6"/>
    <w:rsid w:val="00163B9C"/>
    <w:rsid w:val="00163C8E"/>
    <w:rsid w:val="00163D2A"/>
    <w:rsid w:val="00163F3F"/>
    <w:rsid w:val="00163F83"/>
    <w:rsid w:val="00164578"/>
    <w:rsid w:val="001645AD"/>
    <w:rsid w:val="00164959"/>
    <w:rsid w:val="001649D5"/>
    <w:rsid w:val="0016534C"/>
    <w:rsid w:val="00165945"/>
    <w:rsid w:val="0016597F"/>
    <w:rsid w:val="00165A41"/>
    <w:rsid w:val="00165A44"/>
    <w:rsid w:val="001663B1"/>
    <w:rsid w:val="0016660F"/>
    <w:rsid w:val="00166624"/>
    <w:rsid w:val="00166930"/>
    <w:rsid w:val="00166C06"/>
    <w:rsid w:val="00166DD3"/>
    <w:rsid w:val="00167088"/>
    <w:rsid w:val="00167164"/>
    <w:rsid w:val="0016722F"/>
    <w:rsid w:val="001672A2"/>
    <w:rsid w:val="00167A9B"/>
    <w:rsid w:val="00167B09"/>
    <w:rsid w:val="00167DE5"/>
    <w:rsid w:val="00170211"/>
    <w:rsid w:val="00170217"/>
    <w:rsid w:val="001705A4"/>
    <w:rsid w:val="00170AA3"/>
    <w:rsid w:val="00170B15"/>
    <w:rsid w:val="00170B71"/>
    <w:rsid w:val="00170C19"/>
    <w:rsid w:val="00170CFA"/>
    <w:rsid w:val="00170E92"/>
    <w:rsid w:val="00171040"/>
    <w:rsid w:val="001714B6"/>
    <w:rsid w:val="001714E0"/>
    <w:rsid w:val="001717FF"/>
    <w:rsid w:val="00171D62"/>
    <w:rsid w:val="00171E11"/>
    <w:rsid w:val="00171FF1"/>
    <w:rsid w:val="0017212E"/>
    <w:rsid w:val="0017264E"/>
    <w:rsid w:val="00172C06"/>
    <w:rsid w:val="00172C3C"/>
    <w:rsid w:val="00172D00"/>
    <w:rsid w:val="00172FD6"/>
    <w:rsid w:val="00173173"/>
    <w:rsid w:val="0017327D"/>
    <w:rsid w:val="00173328"/>
    <w:rsid w:val="00173930"/>
    <w:rsid w:val="00173AAD"/>
    <w:rsid w:val="00173BC4"/>
    <w:rsid w:val="00173E65"/>
    <w:rsid w:val="00174643"/>
    <w:rsid w:val="00174B9F"/>
    <w:rsid w:val="00174C15"/>
    <w:rsid w:val="00174EF9"/>
    <w:rsid w:val="00175417"/>
    <w:rsid w:val="00175529"/>
    <w:rsid w:val="00175949"/>
    <w:rsid w:val="0017596D"/>
    <w:rsid w:val="00175BED"/>
    <w:rsid w:val="00175C35"/>
    <w:rsid w:val="001760E1"/>
    <w:rsid w:val="0017612B"/>
    <w:rsid w:val="0017651C"/>
    <w:rsid w:val="00176A16"/>
    <w:rsid w:val="00176BEE"/>
    <w:rsid w:val="00176C28"/>
    <w:rsid w:val="001774C7"/>
    <w:rsid w:val="0017767A"/>
    <w:rsid w:val="0017795B"/>
    <w:rsid w:val="00177986"/>
    <w:rsid w:val="00177A03"/>
    <w:rsid w:val="00177E8E"/>
    <w:rsid w:val="0018034B"/>
    <w:rsid w:val="001804AC"/>
    <w:rsid w:val="00180705"/>
    <w:rsid w:val="00180BE0"/>
    <w:rsid w:val="00180BFD"/>
    <w:rsid w:val="00180C85"/>
    <w:rsid w:val="00180D11"/>
    <w:rsid w:val="00180F6F"/>
    <w:rsid w:val="00180F70"/>
    <w:rsid w:val="00181312"/>
    <w:rsid w:val="0018163F"/>
    <w:rsid w:val="00181BCA"/>
    <w:rsid w:val="00181D25"/>
    <w:rsid w:val="00182051"/>
    <w:rsid w:val="001820A8"/>
    <w:rsid w:val="00182329"/>
    <w:rsid w:val="001825EE"/>
    <w:rsid w:val="001827DE"/>
    <w:rsid w:val="0018296A"/>
    <w:rsid w:val="001829CA"/>
    <w:rsid w:val="00182BBB"/>
    <w:rsid w:val="00182BCF"/>
    <w:rsid w:val="00182CF9"/>
    <w:rsid w:val="00182D76"/>
    <w:rsid w:val="00183024"/>
    <w:rsid w:val="00183050"/>
    <w:rsid w:val="0018342C"/>
    <w:rsid w:val="001834A7"/>
    <w:rsid w:val="00183507"/>
    <w:rsid w:val="00183517"/>
    <w:rsid w:val="00183FEE"/>
    <w:rsid w:val="00184113"/>
    <w:rsid w:val="00184256"/>
    <w:rsid w:val="001846C4"/>
    <w:rsid w:val="00184A7F"/>
    <w:rsid w:val="00184B39"/>
    <w:rsid w:val="00184F3D"/>
    <w:rsid w:val="0018513F"/>
    <w:rsid w:val="00185314"/>
    <w:rsid w:val="00185A5A"/>
    <w:rsid w:val="00185A9E"/>
    <w:rsid w:val="00185AB9"/>
    <w:rsid w:val="00185D1C"/>
    <w:rsid w:val="00185DCC"/>
    <w:rsid w:val="001861F8"/>
    <w:rsid w:val="001865C8"/>
    <w:rsid w:val="00186670"/>
    <w:rsid w:val="00186719"/>
    <w:rsid w:val="001867A4"/>
    <w:rsid w:val="00186C2F"/>
    <w:rsid w:val="00186D82"/>
    <w:rsid w:val="001875CA"/>
    <w:rsid w:val="00187C4A"/>
    <w:rsid w:val="00187D91"/>
    <w:rsid w:val="00187E76"/>
    <w:rsid w:val="0019027F"/>
    <w:rsid w:val="00190AB1"/>
    <w:rsid w:val="00190C70"/>
    <w:rsid w:val="00190E89"/>
    <w:rsid w:val="00190EA5"/>
    <w:rsid w:val="00191005"/>
    <w:rsid w:val="001911EE"/>
    <w:rsid w:val="00191254"/>
    <w:rsid w:val="00191400"/>
    <w:rsid w:val="001915D9"/>
    <w:rsid w:val="00191688"/>
    <w:rsid w:val="00191854"/>
    <w:rsid w:val="00191CCB"/>
    <w:rsid w:val="00191FD5"/>
    <w:rsid w:val="00192193"/>
    <w:rsid w:val="001923E3"/>
    <w:rsid w:val="001925A7"/>
    <w:rsid w:val="00192A00"/>
    <w:rsid w:val="00192D59"/>
    <w:rsid w:val="00192EED"/>
    <w:rsid w:val="0019300E"/>
    <w:rsid w:val="0019329B"/>
    <w:rsid w:val="001933E5"/>
    <w:rsid w:val="00193516"/>
    <w:rsid w:val="0019378D"/>
    <w:rsid w:val="00193A54"/>
    <w:rsid w:val="00194095"/>
    <w:rsid w:val="00194393"/>
    <w:rsid w:val="001944D7"/>
    <w:rsid w:val="001946B3"/>
    <w:rsid w:val="001947E7"/>
    <w:rsid w:val="00194C7A"/>
    <w:rsid w:val="00194FB2"/>
    <w:rsid w:val="00194FE1"/>
    <w:rsid w:val="001953F1"/>
    <w:rsid w:val="00195911"/>
    <w:rsid w:val="0019596E"/>
    <w:rsid w:val="00195BA7"/>
    <w:rsid w:val="00196136"/>
    <w:rsid w:val="00196333"/>
    <w:rsid w:val="001964CA"/>
    <w:rsid w:val="0019660F"/>
    <w:rsid w:val="001966E9"/>
    <w:rsid w:val="00196710"/>
    <w:rsid w:val="00196B62"/>
    <w:rsid w:val="00196CEF"/>
    <w:rsid w:val="001971A7"/>
    <w:rsid w:val="001971CF"/>
    <w:rsid w:val="00197628"/>
    <w:rsid w:val="001976FD"/>
    <w:rsid w:val="001978F9"/>
    <w:rsid w:val="00197CED"/>
    <w:rsid w:val="00197DC0"/>
    <w:rsid w:val="00197E5B"/>
    <w:rsid w:val="001A0183"/>
    <w:rsid w:val="001A02D3"/>
    <w:rsid w:val="001A04EF"/>
    <w:rsid w:val="001A06CB"/>
    <w:rsid w:val="001A06FD"/>
    <w:rsid w:val="001A074D"/>
    <w:rsid w:val="001A0831"/>
    <w:rsid w:val="001A0D01"/>
    <w:rsid w:val="001A0F62"/>
    <w:rsid w:val="001A16F2"/>
    <w:rsid w:val="001A1F21"/>
    <w:rsid w:val="001A2028"/>
    <w:rsid w:val="001A216C"/>
    <w:rsid w:val="001A2285"/>
    <w:rsid w:val="001A229F"/>
    <w:rsid w:val="001A2369"/>
    <w:rsid w:val="001A2385"/>
    <w:rsid w:val="001A271B"/>
    <w:rsid w:val="001A2965"/>
    <w:rsid w:val="001A2A2E"/>
    <w:rsid w:val="001A2C0E"/>
    <w:rsid w:val="001A2DEA"/>
    <w:rsid w:val="001A32BD"/>
    <w:rsid w:val="001A344D"/>
    <w:rsid w:val="001A34EB"/>
    <w:rsid w:val="001A38CE"/>
    <w:rsid w:val="001A38D4"/>
    <w:rsid w:val="001A3914"/>
    <w:rsid w:val="001A3ABB"/>
    <w:rsid w:val="001A4659"/>
    <w:rsid w:val="001A48B3"/>
    <w:rsid w:val="001A4AF9"/>
    <w:rsid w:val="001A4C7A"/>
    <w:rsid w:val="001A4DDB"/>
    <w:rsid w:val="001A4E7F"/>
    <w:rsid w:val="001A5081"/>
    <w:rsid w:val="001A51DD"/>
    <w:rsid w:val="001A51E5"/>
    <w:rsid w:val="001A58DB"/>
    <w:rsid w:val="001A5B75"/>
    <w:rsid w:val="001A6087"/>
    <w:rsid w:val="001A6157"/>
    <w:rsid w:val="001A6280"/>
    <w:rsid w:val="001A6586"/>
    <w:rsid w:val="001A68A8"/>
    <w:rsid w:val="001A68CE"/>
    <w:rsid w:val="001A6926"/>
    <w:rsid w:val="001A6996"/>
    <w:rsid w:val="001A69A9"/>
    <w:rsid w:val="001A6BAB"/>
    <w:rsid w:val="001A708B"/>
    <w:rsid w:val="001A7332"/>
    <w:rsid w:val="001A73EA"/>
    <w:rsid w:val="001A76BE"/>
    <w:rsid w:val="001A78BD"/>
    <w:rsid w:val="001A795A"/>
    <w:rsid w:val="001B00C7"/>
    <w:rsid w:val="001B015C"/>
    <w:rsid w:val="001B0990"/>
    <w:rsid w:val="001B0A8B"/>
    <w:rsid w:val="001B0D62"/>
    <w:rsid w:val="001B0ED8"/>
    <w:rsid w:val="001B1036"/>
    <w:rsid w:val="001B132A"/>
    <w:rsid w:val="001B1422"/>
    <w:rsid w:val="001B16DD"/>
    <w:rsid w:val="001B1A0B"/>
    <w:rsid w:val="001B1B77"/>
    <w:rsid w:val="001B2010"/>
    <w:rsid w:val="001B2943"/>
    <w:rsid w:val="001B2CBF"/>
    <w:rsid w:val="001B336A"/>
    <w:rsid w:val="001B3532"/>
    <w:rsid w:val="001B3778"/>
    <w:rsid w:val="001B3E97"/>
    <w:rsid w:val="001B3F99"/>
    <w:rsid w:val="001B41DF"/>
    <w:rsid w:val="001B4317"/>
    <w:rsid w:val="001B48FE"/>
    <w:rsid w:val="001B4E03"/>
    <w:rsid w:val="001B4E3F"/>
    <w:rsid w:val="001B4FC2"/>
    <w:rsid w:val="001B5363"/>
    <w:rsid w:val="001B5B29"/>
    <w:rsid w:val="001B5B9A"/>
    <w:rsid w:val="001B5E11"/>
    <w:rsid w:val="001B5F8A"/>
    <w:rsid w:val="001B6002"/>
    <w:rsid w:val="001B6046"/>
    <w:rsid w:val="001B609D"/>
    <w:rsid w:val="001B64EC"/>
    <w:rsid w:val="001B6970"/>
    <w:rsid w:val="001B6BFF"/>
    <w:rsid w:val="001B6DBF"/>
    <w:rsid w:val="001B713E"/>
    <w:rsid w:val="001B71A6"/>
    <w:rsid w:val="001B7202"/>
    <w:rsid w:val="001B7271"/>
    <w:rsid w:val="001B734C"/>
    <w:rsid w:val="001B76C9"/>
    <w:rsid w:val="001B78B2"/>
    <w:rsid w:val="001B7BA2"/>
    <w:rsid w:val="001B7D89"/>
    <w:rsid w:val="001B7F7E"/>
    <w:rsid w:val="001B7FD8"/>
    <w:rsid w:val="001C0050"/>
    <w:rsid w:val="001C0304"/>
    <w:rsid w:val="001C0B3B"/>
    <w:rsid w:val="001C100E"/>
    <w:rsid w:val="001C1231"/>
    <w:rsid w:val="001C13AC"/>
    <w:rsid w:val="001C1448"/>
    <w:rsid w:val="001C1893"/>
    <w:rsid w:val="001C1D63"/>
    <w:rsid w:val="001C2172"/>
    <w:rsid w:val="001C2225"/>
    <w:rsid w:val="001C2457"/>
    <w:rsid w:val="001C25C7"/>
    <w:rsid w:val="001C27EE"/>
    <w:rsid w:val="001C2B01"/>
    <w:rsid w:val="001C2B49"/>
    <w:rsid w:val="001C2C08"/>
    <w:rsid w:val="001C3530"/>
    <w:rsid w:val="001C39BF"/>
    <w:rsid w:val="001C3C14"/>
    <w:rsid w:val="001C3C63"/>
    <w:rsid w:val="001C3C82"/>
    <w:rsid w:val="001C3CB7"/>
    <w:rsid w:val="001C4785"/>
    <w:rsid w:val="001C481E"/>
    <w:rsid w:val="001C4C9B"/>
    <w:rsid w:val="001C4D3A"/>
    <w:rsid w:val="001C4F93"/>
    <w:rsid w:val="001C515F"/>
    <w:rsid w:val="001C5188"/>
    <w:rsid w:val="001C556C"/>
    <w:rsid w:val="001C5998"/>
    <w:rsid w:val="001C59E6"/>
    <w:rsid w:val="001C5BA1"/>
    <w:rsid w:val="001C605F"/>
    <w:rsid w:val="001C60B3"/>
    <w:rsid w:val="001C6178"/>
    <w:rsid w:val="001C6238"/>
    <w:rsid w:val="001C63B7"/>
    <w:rsid w:val="001C6836"/>
    <w:rsid w:val="001C6A1A"/>
    <w:rsid w:val="001C6C23"/>
    <w:rsid w:val="001C6F4B"/>
    <w:rsid w:val="001C7283"/>
    <w:rsid w:val="001C7441"/>
    <w:rsid w:val="001C7550"/>
    <w:rsid w:val="001C770C"/>
    <w:rsid w:val="001C7A9F"/>
    <w:rsid w:val="001C7CDE"/>
    <w:rsid w:val="001C7F04"/>
    <w:rsid w:val="001D0060"/>
    <w:rsid w:val="001D023B"/>
    <w:rsid w:val="001D0601"/>
    <w:rsid w:val="001D074E"/>
    <w:rsid w:val="001D08BE"/>
    <w:rsid w:val="001D0F38"/>
    <w:rsid w:val="001D1378"/>
    <w:rsid w:val="001D1DC6"/>
    <w:rsid w:val="001D1E20"/>
    <w:rsid w:val="001D1FFE"/>
    <w:rsid w:val="001D2147"/>
    <w:rsid w:val="001D23D1"/>
    <w:rsid w:val="001D2604"/>
    <w:rsid w:val="001D2CA7"/>
    <w:rsid w:val="001D2FD0"/>
    <w:rsid w:val="001D31CA"/>
    <w:rsid w:val="001D31DB"/>
    <w:rsid w:val="001D32D5"/>
    <w:rsid w:val="001D3555"/>
    <w:rsid w:val="001D36B9"/>
    <w:rsid w:val="001D3D13"/>
    <w:rsid w:val="001D3DDA"/>
    <w:rsid w:val="001D4185"/>
    <w:rsid w:val="001D42B9"/>
    <w:rsid w:val="001D4353"/>
    <w:rsid w:val="001D45E4"/>
    <w:rsid w:val="001D46B2"/>
    <w:rsid w:val="001D49F0"/>
    <w:rsid w:val="001D5101"/>
    <w:rsid w:val="001D54D7"/>
    <w:rsid w:val="001D56C9"/>
    <w:rsid w:val="001D56E6"/>
    <w:rsid w:val="001D5B47"/>
    <w:rsid w:val="001D5E8F"/>
    <w:rsid w:val="001D5F30"/>
    <w:rsid w:val="001D6474"/>
    <w:rsid w:val="001D6590"/>
    <w:rsid w:val="001D66A3"/>
    <w:rsid w:val="001D67F9"/>
    <w:rsid w:val="001D6910"/>
    <w:rsid w:val="001D6A4B"/>
    <w:rsid w:val="001D6B00"/>
    <w:rsid w:val="001D6C13"/>
    <w:rsid w:val="001D6E1A"/>
    <w:rsid w:val="001D71FC"/>
    <w:rsid w:val="001D722D"/>
    <w:rsid w:val="001D756F"/>
    <w:rsid w:val="001D75AE"/>
    <w:rsid w:val="001D7AC9"/>
    <w:rsid w:val="001D7F31"/>
    <w:rsid w:val="001E0021"/>
    <w:rsid w:val="001E031B"/>
    <w:rsid w:val="001E0640"/>
    <w:rsid w:val="001E0651"/>
    <w:rsid w:val="001E0DD1"/>
    <w:rsid w:val="001E1101"/>
    <w:rsid w:val="001E1223"/>
    <w:rsid w:val="001E12B3"/>
    <w:rsid w:val="001E14F9"/>
    <w:rsid w:val="001E1A6E"/>
    <w:rsid w:val="001E2185"/>
    <w:rsid w:val="001E29D1"/>
    <w:rsid w:val="001E2A14"/>
    <w:rsid w:val="001E2C79"/>
    <w:rsid w:val="001E3001"/>
    <w:rsid w:val="001E30FB"/>
    <w:rsid w:val="001E3222"/>
    <w:rsid w:val="001E32E8"/>
    <w:rsid w:val="001E366C"/>
    <w:rsid w:val="001E37D3"/>
    <w:rsid w:val="001E3DEC"/>
    <w:rsid w:val="001E406E"/>
    <w:rsid w:val="001E40FA"/>
    <w:rsid w:val="001E4123"/>
    <w:rsid w:val="001E42B3"/>
    <w:rsid w:val="001E4313"/>
    <w:rsid w:val="001E45C4"/>
    <w:rsid w:val="001E478A"/>
    <w:rsid w:val="001E4A80"/>
    <w:rsid w:val="001E561E"/>
    <w:rsid w:val="001E56A1"/>
    <w:rsid w:val="001E56A8"/>
    <w:rsid w:val="001E5730"/>
    <w:rsid w:val="001E57ED"/>
    <w:rsid w:val="001E5A99"/>
    <w:rsid w:val="001E5DD4"/>
    <w:rsid w:val="001E6281"/>
    <w:rsid w:val="001E690E"/>
    <w:rsid w:val="001E6ACF"/>
    <w:rsid w:val="001E6BCA"/>
    <w:rsid w:val="001E6CCA"/>
    <w:rsid w:val="001E6E66"/>
    <w:rsid w:val="001E6F4F"/>
    <w:rsid w:val="001E737C"/>
    <w:rsid w:val="001E73B8"/>
    <w:rsid w:val="001E7703"/>
    <w:rsid w:val="001E7B4E"/>
    <w:rsid w:val="001E7D65"/>
    <w:rsid w:val="001F00D6"/>
    <w:rsid w:val="001F0357"/>
    <w:rsid w:val="001F0385"/>
    <w:rsid w:val="001F049A"/>
    <w:rsid w:val="001F0862"/>
    <w:rsid w:val="001F0984"/>
    <w:rsid w:val="001F0B07"/>
    <w:rsid w:val="001F0E65"/>
    <w:rsid w:val="001F0E90"/>
    <w:rsid w:val="001F0F94"/>
    <w:rsid w:val="001F0FC5"/>
    <w:rsid w:val="001F0FCA"/>
    <w:rsid w:val="001F1576"/>
    <w:rsid w:val="001F17C8"/>
    <w:rsid w:val="001F1A3E"/>
    <w:rsid w:val="001F1A5B"/>
    <w:rsid w:val="001F1AC5"/>
    <w:rsid w:val="001F2035"/>
    <w:rsid w:val="001F2093"/>
    <w:rsid w:val="001F20E4"/>
    <w:rsid w:val="001F23F1"/>
    <w:rsid w:val="001F25AB"/>
    <w:rsid w:val="001F2CC3"/>
    <w:rsid w:val="001F2DF4"/>
    <w:rsid w:val="001F301E"/>
    <w:rsid w:val="001F327B"/>
    <w:rsid w:val="001F3546"/>
    <w:rsid w:val="001F35F2"/>
    <w:rsid w:val="001F3BFD"/>
    <w:rsid w:val="001F3C09"/>
    <w:rsid w:val="001F3C86"/>
    <w:rsid w:val="001F3D55"/>
    <w:rsid w:val="001F4062"/>
    <w:rsid w:val="001F43C1"/>
    <w:rsid w:val="001F479F"/>
    <w:rsid w:val="001F48E4"/>
    <w:rsid w:val="001F4961"/>
    <w:rsid w:val="001F4B3F"/>
    <w:rsid w:val="001F4B79"/>
    <w:rsid w:val="001F4CD6"/>
    <w:rsid w:val="001F5135"/>
    <w:rsid w:val="001F5495"/>
    <w:rsid w:val="001F54CD"/>
    <w:rsid w:val="001F55E2"/>
    <w:rsid w:val="001F5E81"/>
    <w:rsid w:val="001F5EAF"/>
    <w:rsid w:val="001F6256"/>
    <w:rsid w:val="001F6512"/>
    <w:rsid w:val="001F6C60"/>
    <w:rsid w:val="001F6EA1"/>
    <w:rsid w:val="001F713C"/>
    <w:rsid w:val="001F7204"/>
    <w:rsid w:val="001F725F"/>
    <w:rsid w:val="001F759B"/>
    <w:rsid w:val="001F7BBE"/>
    <w:rsid w:val="001F7C9B"/>
    <w:rsid w:val="001F7E16"/>
    <w:rsid w:val="002002F3"/>
    <w:rsid w:val="00200689"/>
    <w:rsid w:val="00200A46"/>
    <w:rsid w:val="00200B06"/>
    <w:rsid w:val="00200C93"/>
    <w:rsid w:val="002012DF"/>
    <w:rsid w:val="0020132C"/>
    <w:rsid w:val="0020150A"/>
    <w:rsid w:val="00201533"/>
    <w:rsid w:val="002018A9"/>
    <w:rsid w:val="002018FD"/>
    <w:rsid w:val="00201C33"/>
    <w:rsid w:val="00201D13"/>
    <w:rsid w:val="00201E01"/>
    <w:rsid w:val="00201F18"/>
    <w:rsid w:val="0020242C"/>
    <w:rsid w:val="0020279D"/>
    <w:rsid w:val="00202BA0"/>
    <w:rsid w:val="00202D31"/>
    <w:rsid w:val="00202E5A"/>
    <w:rsid w:val="00202EEA"/>
    <w:rsid w:val="002031ED"/>
    <w:rsid w:val="0020327B"/>
    <w:rsid w:val="0020331E"/>
    <w:rsid w:val="0020339F"/>
    <w:rsid w:val="002037FE"/>
    <w:rsid w:val="00203908"/>
    <w:rsid w:val="00203B28"/>
    <w:rsid w:val="00203BFD"/>
    <w:rsid w:val="00203D1F"/>
    <w:rsid w:val="00203F93"/>
    <w:rsid w:val="002040D8"/>
    <w:rsid w:val="002040E4"/>
    <w:rsid w:val="002040FE"/>
    <w:rsid w:val="00204310"/>
    <w:rsid w:val="002045A9"/>
    <w:rsid w:val="00204888"/>
    <w:rsid w:val="00204A0E"/>
    <w:rsid w:val="00204A84"/>
    <w:rsid w:val="00204DFE"/>
    <w:rsid w:val="0020525C"/>
    <w:rsid w:val="002052EB"/>
    <w:rsid w:val="00205A6B"/>
    <w:rsid w:val="00205A6D"/>
    <w:rsid w:val="00205F61"/>
    <w:rsid w:val="00206538"/>
    <w:rsid w:val="00206582"/>
    <w:rsid w:val="002065DE"/>
    <w:rsid w:val="00206642"/>
    <w:rsid w:val="002068A8"/>
    <w:rsid w:val="00206DCE"/>
    <w:rsid w:val="00206F37"/>
    <w:rsid w:val="002070BF"/>
    <w:rsid w:val="0020711E"/>
    <w:rsid w:val="00207751"/>
    <w:rsid w:val="0020794F"/>
    <w:rsid w:val="0020797E"/>
    <w:rsid w:val="00207CA2"/>
    <w:rsid w:val="00207D5C"/>
    <w:rsid w:val="002102FF"/>
    <w:rsid w:val="002103FF"/>
    <w:rsid w:val="002108AD"/>
    <w:rsid w:val="002109B5"/>
    <w:rsid w:val="00210AE0"/>
    <w:rsid w:val="00210CA1"/>
    <w:rsid w:val="00210DBE"/>
    <w:rsid w:val="00210DCF"/>
    <w:rsid w:val="00210DE5"/>
    <w:rsid w:val="00210F3F"/>
    <w:rsid w:val="0021145E"/>
    <w:rsid w:val="00211497"/>
    <w:rsid w:val="00211850"/>
    <w:rsid w:val="002118C4"/>
    <w:rsid w:val="00211D6A"/>
    <w:rsid w:val="00212151"/>
    <w:rsid w:val="002125A9"/>
    <w:rsid w:val="0021268E"/>
    <w:rsid w:val="00212969"/>
    <w:rsid w:val="00212A6B"/>
    <w:rsid w:val="00212BA3"/>
    <w:rsid w:val="00212E17"/>
    <w:rsid w:val="00213533"/>
    <w:rsid w:val="002137F9"/>
    <w:rsid w:val="002139A8"/>
    <w:rsid w:val="00213A17"/>
    <w:rsid w:val="00214600"/>
    <w:rsid w:val="002147D9"/>
    <w:rsid w:val="00214954"/>
    <w:rsid w:val="00214BD5"/>
    <w:rsid w:val="00214DAF"/>
    <w:rsid w:val="00214E41"/>
    <w:rsid w:val="0021587F"/>
    <w:rsid w:val="00215C16"/>
    <w:rsid w:val="00215CC3"/>
    <w:rsid w:val="00215E1E"/>
    <w:rsid w:val="00215F43"/>
    <w:rsid w:val="00215F99"/>
    <w:rsid w:val="0021654D"/>
    <w:rsid w:val="002167A9"/>
    <w:rsid w:val="002169F7"/>
    <w:rsid w:val="00216BA3"/>
    <w:rsid w:val="00216C2A"/>
    <w:rsid w:val="00216E2F"/>
    <w:rsid w:val="00216E84"/>
    <w:rsid w:val="00216ED2"/>
    <w:rsid w:val="002177E1"/>
    <w:rsid w:val="00217B6D"/>
    <w:rsid w:val="00217BFA"/>
    <w:rsid w:val="00217C47"/>
    <w:rsid w:val="00217C5D"/>
    <w:rsid w:val="00217E81"/>
    <w:rsid w:val="00220100"/>
    <w:rsid w:val="0022015D"/>
    <w:rsid w:val="0022054C"/>
    <w:rsid w:val="00220CE6"/>
    <w:rsid w:val="00220DAB"/>
    <w:rsid w:val="002210E1"/>
    <w:rsid w:val="00221143"/>
    <w:rsid w:val="002213C3"/>
    <w:rsid w:val="002214DE"/>
    <w:rsid w:val="00221ABD"/>
    <w:rsid w:val="00221AF3"/>
    <w:rsid w:val="00221B34"/>
    <w:rsid w:val="00221D50"/>
    <w:rsid w:val="002227A4"/>
    <w:rsid w:val="00222845"/>
    <w:rsid w:val="00222971"/>
    <w:rsid w:val="00222B92"/>
    <w:rsid w:val="00222FDB"/>
    <w:rsid w:val="00223297"/>
    <w:rsid w:val="0022352F"/>
    <w:rsid w:val="0022370E"/>
    <w:rsid w:val="00223AD3"/>
    <w:rsid w:val="00223BFC"/>
    <w:rsid w:val="00224684"/>
    <w:rsid w:val="002250DC"/>
    <w:rsid w:val="0022590F"/>
    <w:rsid w:val="00225B1E"/>
    <w:rsid w:val="00225B6C"/>
    <w:rsid w:val="00226190"/>
    <w:rsid w:val="002261CB"/>
    <w:rsid w:val="00226493"/>
    <w:rsid w:val="00226515"/>
    <w:rsid w:val="002266E5"/>
    <w:rsid w:val="002267BC"/>
    <w:rsid w:val="002267DD"/>
    <w:rsid w:val="00226F4A"/>
    <w:rsid w:val="002272A6"/>
    <w:rsid w:val="00227563"/>
    <w:rsid w:val="002279FD"/>
    <w:rsid w:val="00227E87"/>
    <w:rsid w:val="002300FC"/>
    <w:rsid w:val="00230314"/>
    <w:rsid w:val="002305E7"/>
    <w:rsid w:val="00230B04"/>
    <w:rsid w:val="00230B18"/>
    <w:rsid w:val="00230CBA"/>
    <w:rsid w:val="0023119E"/>
    <w:rsid w:val="00231284"/>
    <w:rsid w:val="00231317"/>
    <w:rsid w:val="002313C8"/>
    <w:rsid w:val="00231593"/>
    <w:rsid w:val="002315BD"/>
    <w:rsid w:val="0023165C"/>
    <w:rsid w:val="00231C00"/>
    <w:rsid w:val="00231C54"/>
    <w:rsid w:val="00232349"/>
    <w:rsid w:val="0023259A"/>
    <w:rsid w:val="002328BA"/>
    <w:rsid w:val="00232D4D"/>
    <w:rsid w:val="00232FF9"/>
    <w:rsid w:val="002335C6"/>
    <w:rsid w:val="002335ED"/>
    <w:rsid w:val="0023379E"/>
    <w:rsid w:val="00233C97"/>
    <w:rsid w:val="00233FEA"/>
    <w:rsid w:val="0023425E"/>
    <w:rsid w:val="00234531"/>
    <w:rsid w:val="00234671"/>
    <w:rsid w:val="00234771"/>
    <w:rsid w:val="0023492F"/>
    <w:rsid w:val="00234A6F"/>
    <w:rsid w:val="00234CFC"/>
    <w:rsid w:val="0023504E"/>
    <w:rsid w:val="00235095"/>
    <w:rsid w:val="00235483"/>
    <w:rsid w:val="002355B0"/>
    <w:rsid w:val="002358C2"/>
    <w:rsid w:val="00235ED7"/>
    <w:rsid w:val="002360B8"/>
    <w:rsid w:val="002360E1"/>
    <w:rsid w:val="002363C9"/>
    <w:rsid w:val="00236565"/>
    <w:rsid w:val="00236A95"/>
    <w:rsid w:val="00236C20"/>
    <w:rsid w:val="00236CEF"/>
    <w:rsid w:val="00236F98"/>
    <w:rsid w:val="002374CE"/>
    <w:rsid w:val="0023754C"/>
    <w:rsid w:val="002375CA"/>
    <w:rsid w:val="00237BF8"/>
    <w:rsid w:val="00237C0A"/>
    <w:rsid w:val="00237FE1"/>
    <w:rsid w:val="0024000B"/>
    <w:rsid w:val="0024004D"/>
    <w:rsid w:val="002400B1"/>
    <w:rsid w:val="0024024D"/>
    <w:rsid w:val="002402DA"/>
    <w:rsid w:val="0024039F"/>
    <w:rsid w:val="002403C7"/>
    <w:rsid w:val="0024073B"/>
    <w:rsid w:val="00240B30"/>
    <w:rsid w:val="00240D54"/>
    <w:rsid w:val="00240EA2"/>
    <w:rsid w:val="0024120F"/>
    <w:rsid w:val="00241478"/>
    <w:rsid w:val="002414A4"/>
    <w:rsid w:val="002417B3"/>
    <w:rsid w:val="00241A37"/>
    <w:rsid w:val="00241A87"/>
    <w:rsid w:val="00241E3B"/>
    <w:rsid w:val="00242149"/>
    <w:rsid w:val="00242517"/>
    <w:rsid w:val="0024260D"/>
    <w:rsid w:val="00242A91"/>
    <w:rsid w:val="00242B16"/>
    <w:rsid w:val="00242D1A"/>
    <w:rsid w:val="00242DED"/>
    <w:rsid w:val="00242F49"/>
    <w:rsid w:val="00242FE1"/>
    <w:rsid w:val="00243231"/>
    <w:rsid w:val="00243293"/>
    <w:rsid w:val="002435AB"/>
    <w:rsid w:val="00243734"/>
    <w:rsid w:val="002439AE"/>
    <w:rsid w:val="00243E59"/>
    <w:rsid w:val="002444FE"/>
    <w:rsid w:val="0024466B"/>
    <w:rsid w:val="002448C6"/>
    <w:rsid w:val="00244C8C"/>
    <w:rsid w:val="00244E22"/>
    <w:rsid w:val="00244FD8"/>
    <w:rsid w:val="00245456"/>
    <w:rsid w:val="00245480"/>
    <w:rsid w:val="002456F9"/>
    <w:rsid w:val="00245793"/>
    <w:rsid w:val="00245A56"/>
    <w:rsid w:val="00245D17"/>
    <w:rsid w:val="00245DF3"/>
    <w:rsid w:val="00246092"/>
    <w:rsid w:val="00246181"/>
    <w:rsid w:val="00246420"/>
    <w:rsid w:val="002466BE"/>
    <w:rsid w:val="00246746"/>
    <w:rsid w:val="002468BF"/>
    <w:rsid w:val="00246B4E"/>
    <w:rsid w:val="00246C2B"/>
    <w:rsid w:val="00246D0A"/>
    <w:rsid w:val="0024718B"/>
    <w:rsid w:val="00247197"/>
    <w:rsid w:val="00247413"/>
    <w:rsid w:val="00247449"/>
    <w:rsid w:val="0024769B"/>
    <w:rsid w:val="002478F2"/>
    <w:rsid w:val="002500BB"/>
    <w:rsid w:val="00250802"/>
    <w:rsid w:val="0025095B"/>
    <w:rsid w:val="002509DD"/>
    <w:rsid w:val="00250A0D"/>
    <w:rsid w:val="00250C85"/>
    <w:rsid w:val="00250CE1"/>
    <w:rsid w:val="00250F78"/>
    <w:rsid w:val="00251328"/>
    <w:rsid w:val="0025166B"/>
    <w:rsid w:val="0025207D"/>
    <w:rsid w:val="002521A5"/>
    <w:rsid w:val="00252283"/>
    <w:rsid w:val="0025241C"/>
    <w:rsid w:val="002526DB"/>
    <w:rsid w:val="00252C3F"/>
    <w:rsid w:val="00252E82"/>
    <w:rsid w:val="00253269"/>
    <w:rsid w:val="00253283"/>
    <w:rsid w:val="00253423"/>
    <w:rsid w:val="00253D17"/>
    <w:rsid w:val="0025414C"/>
    <w:rsid w:val="00254165"/>
    <w:rsid w:val="0025425F"/>
    <w:rsid w:val="00254460"/>
    <w:rsid w:val="002546A3"/>
    <w:rsid w:val="00254CC6"/>
    <w:rsid w:val="00254D73"/>
    <w:rsid w:val="00254D75"/>
    <w:rsid w:val="00255065"/>
    <w:rsid w:val="0025506C"/>
    <w:rsid w:val="0025549A"/>
    <w:rsid w:val="0025568C"/>
    <w:rsid w:val="002556FD"/>
    <w:rsid w:val="0025571E"/>
    <w:rsid w:val="00255F00"/>
    <w:rsid w:val="00255FC5"/>
    <w:rsid w:val="002560F6"/>
    <w:rsid w:val="00256368"/>
    <w:rsid w:val="0025686D"/>
    <w:rsid w:val="00256954"/>
    <w:rsid w:val="002569DA"/>
    <w:rsid w:val="00256B95"/>
    <w:rsid w:val="002570EC"/>
    <w:rsid w:val="002573BC"/>
    <w:rsid w:val="002576E9"/>
    <w:rsid w:val="002576F1"/>
    <w:rsid w:val="00257966"/>
    <w:rsid w:val="00257A5A"/>
    <w:rsid w:val="00257ABE"/>
    <w:rsid w:val="00257C35"/>
    <w:rsid w:val="00257E0A"/>
    <w:rsid w:val="00257F62"/>
    <w:rsid w:val="00260156"/>
    <w:rsid w:val="00260668"/>
    <w:rsid w:val="002607E4"/>
    <w:rsid w:val="002608BD"/>
    <w:rsid w:val="002608C5"/>
    <w:rsid w:val="00260D46"/>
    <w:rsid w:val="00260F35"/>
    <w:rsid w:val="0026129B"/>
    <w:rsid w:val="0026142D"/>
    <w:rsid w:val="00261522"/>
    <w:rsid w:val="002615C6"/>
    <w:rsid w:val="002618A2"/>
    <w:rsid w:val="00261C76"/>
    <w:rsid w:val="00262298"/>
    <w:rsid w:val="00262B2A"/>
    <w:rsid w:val="00262B4A"/>
    <w:rsid w:val="00262EC6"/>
    <w:rsid w:val="002636C5"/>
    <w:rsid w:val="002638B5"/>
    <w:rsid w:val="002644A8"/>
    <w:rsid w:val="002648CB"/>
    <w:rsid w:val="00264A6F"/>
    <w:rsid w:val="00264A92"/>
    <w:rsid w:val="00264D4B"/>
    <w:rsid w:val="00264DB3"/>
    <w:rsid w:val="00264E03"/>
    <w:rsid w:val="00264E86"/>
    <w:rsid w:val="00265091"/>
    <w:rsid w:val="002650BC"/>
    <w:rsid w:val="00265182"/>
    <w:rsid w:val="00265312"/>
    <w:rsid w:val="00265517"/>
    <w:rsid w:val="002655F5"/>
    <w:rsid w:val="00265796"/>
    <w:rsid w:val="00265881"/>
    <w:rsid w:val="00265CFE"/>
    <w:rsid w:val="002661B5"/>
    <w:rsid w:val="00266515"/>
    <w:rsid w:val="00266888"/>
    <w:rsid w:val="002668C2"/>
    <w:rsid w:val="002668CC"/>
    <w:rsid w:val="0026699C"/>
    <w:rsid w:val="002669A9"/>
    <w:rsid w:val="002669F9"/>
    <w:rsid w:val="00266C13"/>
    <w:rsid w:val="002675D4"/>
    <w:rsid w:val="0026760F"/>
    <w:rsid w:val="0026797B"/>
    <w:rsid w:val="00267A0B"/>
    <w:rsid w:val="00267ABB"/>
    <w:rsid w:val="00267C8C"/>
    <w:rsid w:val="00267FDF"/>
    <w:rsid w:val="002702A4"/>
    <w:rsid w:val="002702EF"/>
    <w:rsid w:val="00270574"/>
    <w:rsid w:val="0027060A"/>
    <w:rsid w:val="002706F3"/>
    <w:rsid w:val="0027084C"/>
    <w:rsid w:val="00270C0A"/>
    <w:rsid w:val="00270D27"/>
    <w:rsid w:val="00271252"/>
    <w:rsid w:val="0027148C"/>
    <w:rsid w:val="002715ED"/>
    <w:rsid w:val="00271641"/>
    <w:rsid w:val="0027193F"/>
    <w:rsid w:val="00271990"/>
    <w:rsid w:val="00271998"/>
    <w:rsid w:val="00271A0B"/>
    <w:rsid w:val="00271D25"/>
    <w:rsid w:val="00271DA5"/>
    <w:rsid w:val="00271DC5"/>
    <w:rsid w:val="002722AF"/>
    <w:rsid w:val="00272B95"/>
    <w:rsid w:val="00272C1A"/>
    <w:rsid w:val="00272EAC"/>
    <w:rsid w:val="00273550"/>
    <w:rsid w:val="00273C68"/>
    <w:rsid w:val="0027411C"/>
    <w:rsid w:val="002747BF"/>
    <w:rsid w:val="00274B03"/>
    <w:rsid w:val="00274BB9"/>
    <w:rsid w:val="00274D6C"/>
    <w:rsid w:val="00274E3C"/>
    <w:rsid w:val="0027507D"/>
    <w:rsid w:val="0027513E"/>
    <w:rsid w:val="002751BC"/>
    <w:rsid w:val="002753DF"/>
    <w:rsid w:val="002754DC"/>
    <w:rsid w:val="00275537"/>
    <w:rsid w:val="00275597"/>
    <w:rsid w:val="00275775"/>
    <w:rsid w:val="00275951"/>
    <w:rsid w:val="00275C7C"/>
    <w:rsid w:val="00275CDC"/>
    <w:rsid w:val="00275D67"/>
    <w:rsid w:val="00275EAD"/>
    <w:rsid w:val="00275F0A"/>
    <w:rsid w:val="00275F59"/>
    <w:rsid w:val="002765DD"/>
    <w:rsid w:val="002768DA"/>
    <w:rsid w:val="00276992"/>
    <w:rsid w:val="00276B8C"/>
    <w:rsid w:val="00276FE9"/>
    <w:rsid w:val="0027715F"/>
    <w:rsid w:val="002772ED"/>
    <w:rsid w:val="002773F1"/>
    <w:rsid w:val="002777FE"/>
    <w:rsid w:val="00277A40"/>
    <w:rsid w:val="00277BB4"/>
    <w:rsid w:val="00277FC5"/>
    <w:rsid w:val="002801F6"/>
    <w:rsid w:val="00280277"/>
    <w:rsid w:val="002804F5"/>
    <w:rsid w:val="00280768"/>
    <w:rsid w:val="0028094E"/>
    <w:rsid w:val="00280ADD"/>
    <w:rsid w:val="00280DE3"/>
    <w:rsid w:val="00280EBA"/>
    <w:rsid w:val="0028100B"/>
    <w:rsid w:val="002816A2"/>
    <w:rsid w:val="0028170A"/>
    <w:rsid w:val="00281935"/>
    <w:rsid w:val="00281971"/>
    <w:rsid w:val="00281E64"/>
    <w:rsid w:val="002824AF"/>
    <w:rsid w:val="002824FF"/>
    <w:rsid w:val="00282507"/>
    <w:rsid w:val="00282841"/>
    <w:rsid w:val="002828F3"/>
    <w:rsid w:val="00282946"/>
    <w:rsid w:val="0028383C"/>
    <w:rsid w:val="00284309"/>
    <w:rsid w:val="00284732"/>
    <w:rsid w:val="002848C8"/>
    <w:rsid w:val="002849CA"/>
    <w:rsid w:val="00284B64"/>
    <w:rsid w:val="00284D82"/>
    <w:rsid w:val="00285185"/>
    <w:rsid w:val="002854DA"/>
    <w:rsid w:val="0028574E"/>
    <w:rsid w:val="002858E1"/>
    <w:rsid w:val="00285970"/>
    <w:rsid w:val="00285C19"/>
    <w:rsid w:val="00286168"/>
    <w:rsid w:val="0028622A"/>
    <w:rsid w:val="002865CE"/>
    <w:rsid w:val="002867BA"/>
    <w:rsid w:val="00286B48"/>
    <w:rsid w:val="00286B7A"/>
    <w:rsid w:val="00286D08"/>
    <w:rsid w:val="00286E1E"/>
    <w:rsid w:val="0028731A"/>
    <w:rsid w:val="0028750D"/>
    <w:rsid w:val="0028786E"/>
    <w:rsid w:val="002879D3"/>
    <w:rsid w:val="00287B75"/>
    <w:rsid w:val="00287DCB"/>
    <w:rsid w:val="00287F19"/>
    <w:rsid w:val="00287F61"/>
    <w:rsid w:val="00290E6D"/>
    <w:rsid w:val="00290FC5"/>
    <w:rsid w:val="00291049"/>
    <w:rsid w:val="002910F5"/>
    <w:rsid w:val="00291213"/>
    <w:rsid w:val="002912D0"/>
    <w:rsid w:val="002912E6"/>
    <w:rsid w:val="00291887"/>
    <w:rsid w:val="00291B22"/>
    <w:rsid w:val="00291F9F"/>
    <w:rsid w:val="00292160"/>
    <w:rsid w:val="0029286F"/>
    <w:rsid w:val="00292ACC"/>
    <w:rsid w:val="00292D75"/>
    <w:rsid w:val="00292E0B"/>
    <w:rsid w:val="00292EA8"/>
    <w:rsid w:val="0029322F"/>
    <w:rsid w:val="00293525"/>
    <w:rsid w:val="00293875"/>
    <w:rsid w:val="00293ACD"/>
    <w:rsid w:val="0029452A"/>
    <w:rsid w:val="002949C5"/>
    <w:rsid w:val="00294A11"/>
    <w:rsid w:val="00294C10"/>
    <w:rsid w:val="0029533A"/>
    <w:rsid w:val="00295888"/>
    <w:rsid w:val="00295A67"/>
    <w:rsid w:val="00295B38"/>
    <w:rsid w:val="00295F46"/>
    <w:rsid w:val="00296055"/>
    <w:rsid w:val="0029607A"/>
    <w:rsid w:val="0029618E"/>
    <w:rsid w:val="00296422"/>
    <w:rsid w:val="00296626"/>
    <w:rsid w:val="00296F66"/>
    <w:rsid w:val="00296F73"/>
    <w:rsid w:val="00297027"/>
    <w:rsid w:val="002975C8"/>
    <w:rsid w:val="00297983"/>
    <w:rsid w:val="002979CB"/>
    <w:rsid w:val="00297AE3"/>
    <w:rsid w:val="00297BEE"/>
    <w:rsid w:val="00297EE7"/>
    <w:rsid w:val="00297FB9"/>
    <w:rsid w:val="002A036D"/>
    <w:rsid w:val="002A0662"/>
    <w:rsid w:val="002A0A8D"/>
    <w:rsid w:val="002A0ABF"/>
    <w:rsid w:val="002A0AD4"/>
    <w:rsid w:val="002A0CE5"/>
    <w:rsid w:val="002A0E22"/>
    <w:rsid w:val="002A10A8"/>
    <w:rsid w:val="002A128F"/>
    <w:rsid w:val="002A19BA"/>
    <w:rsid w:val="002A1B5B"/>
    <w:rsid w:val="002A1CE3"/>
    <w:rsid w:val="002A1F2F"/>
    <w:rsid w:val="002A211E"/>
    <w:rsid w:val="002A2425"/>
    <w:rsid w:val="002A24AE"/>
    <w:rsid w:val="002A266A"/>
    <w:rsid w:val="002A2819"/>
    <w:rsid w:val="002A28ED"/>
    <w:rsid w:val="002A2BD2"/>
    <w:rsid w:val="002A2F29"/>
    <w:rsid w:val="002A2F2C"/>
    <w:rsid w:val="002A2FE4"/>
    <w:rsid w:val="002A34E1"/>
    <w:rsid w:val="002A359A"/>
    <w:rsid w:val="002A3697"/>
    <w:rsid w:val="002A3AD1"/>
    <w:rsid w:val="002A3E6E"/>
    <w:rsid w:val="002A3F14"/>
    <w:rsid w:val="002A3FA0"/>
    <w:rsid w:val="002A421C"/>
    <w:rsid w:val="002A4ACF"/>
    <w:rsid w:val="002A5228"/>
    <w:rsid w:val="002A584B"/>
    <w:rsid w:val="002A5AB2"/>
    <w:rsid w:val="002A5B60"/>
    <w:rsid w:val="002A62FE"/>
    <w:rsid w:val="002A6656"/>
    <w:rsid w:val="002A68B0"/>
    <w:rsid w:val="002A6DE0"/>
    <w:rsid w:val="002A74A8"/>
    <w:rsid w:val="002A7D79"/>
    <w:rsid w:val="002B0181"/>
    <w:rsid w:val="002B0369"/>
    <w:rsid w:val="002B0671"/>
    <w:rsid w:val="002B068B"/>
    <w:rsid w:val="002B0717"/>
    <w:rsid w:val="002B0A21"/>
    <w:rsid w:val="002B0B9E"/>
    <w:rsid w:val="002B0BE4"/>
    <w:rsid w:val="002B0EA9"/>
    <w:rsid w:val="002B11F9"/>
    <w:rsid w:val="002B126B"/>
    <w:rsid w:val="002B162D"/>
    <w:rsid w:val="002B1A0D"/>
    <w:rsid w:val="002B1D2C"/>
    <w:rsid w:val="002B1D79"/>
    <w:rsid w:val="002B1EB2"/>
    <w:rsid w:val="002B21E4"/>
    <w:rsid w:val="002B29BB"/>
    <w:rsid w:val="002B2D0E"/>
    <w:rsid w:val="002B2D42"/>
    <w:rsid w:val="002B2E0B"/>
    <w:rsid w:val="002B3575"/>
    <w:rsid w:val="002B36AF"/>
    <w:rsid w:val="002B37EA"/>
    <w:rsid w:val="002B38F3"/>
    <w:rsid w:val="002B3BD1"/>
    <w:rsid w:val="002B3E84"/>
    <w:rsid w:val="002B3F88"/>
    <w:rsid w:val="002B40D3"/>
    <w:rsid w:val="002B4184"/>
    <w:rsid w:val="002B4324"/>
    <w:rsid w:val="002B498B"/>
    <w:rsid w:val="002B4AAE"/>
    <w:rsid w:val="002B4AFE"/>
    <w:rsid w:val="002B4CBA"/>
    <w:rsid w:val="002B4CE2"/>
    <w:rsid w:val="002B536C"/>
    <w:rsid w:val="002B5A56"/>
    <w:rsid w:val="002B6480"/>
    <w:rsid w:val="002B66F3"/>
    <w:rsid w:val="002B6853"/>
    <w:rsid w:val="002B6885"/>
    <w:rsid w:val="002B68C0"/>
    <w:rsid w:val="002B6C03"/>
    <w:rsid w:val="002B7229"/>
    <w:rsid w:val="002B75BF"/>
    <w:rsid w:val="002B76E6"/>
    <w:rsid w:val="002B799A"/>
    <w:rsid w:val="002B7A4D"/>
    <w:rsid w:val="002B7F48"/>
    <w:rsid w:val="002C0434"/>
    <w:rsid w:val="002C047B"/>
    <w:rsid w:val="002C09EE"/>
    <w:rsid w:val="002C0C25"/>
    <w:rsid w:val="002C0C7C"/>
    <w:rsid w:val="002C15BE"/>
    <w:rsid w:val="002C16EC"/>
    <w:rsid w:val="002C16FF"/>
    <w:rsid w:val="002C1E76"/>
    <w:rsid w:val="002C1F54"/>
    <w:rsid w:val="002C1FB5"/>
    <w:rsid w:val="002C201B"/>
    <w:rsid w:val="002C22D2"/>
    <w:rsid w:val="002C22F3"/>
    <w:rsid w:val="002C232B"/>
    <w:rsid w:val="002C273A"/>
    <w:rsid w:val="002C2A41"/>
    <w:rsid w:val="002C2B18"/>
    <w:rsid w:val="002C2B43"/>
    <w:rsid w:val="002C2F56"/>
    <w:rsid w:val="002C340B"/>
    <w:rsid w:val="002C36D6"/>
    <w:rsid w:val="002C37A6"/>
    <w:rsid w:val="002C3953"/>
    <w:rsid w:val="002C3A33"/>
    <w:rsid w:val="002C3A6E"/>
    <w:rsid w:val="002C3C5A"/>
    <w:rsid w:val="002C3FBE"/>
    <w:rsid w:val="002C4061"/>
    <w:rsid w:val="002C4278"/>
    <w:rsid w:val="002C4379"/>
    <w:rsid w:val="002C43CC"/>
    <w:rsid w:val="002C4533"/>
    <w:rsid w:val="002C46A1"/>
    <w:rsid w:val="002C48CD"/>
    <w:rsid w:val="002C4909"/>
    <w:rsid w:val="002C4ABD"/>
    <w:rsid w:val="002C4B1A"/>
    <w:rsid w:val="002C4B2A"/>
    <w:rsid w:val="002C4C7C"/>
    <w:rsid w:val="002C50C5"/>
    <w:rsid w:val="002C50EC"/>
    <w:rsid w:val="002C5240"/>
    <w:rsid w:val="002C5C30"/>
    <w:rsid w:val="002C5F9B"/>
    <w:rsid w:val="002C64CE"/>
    <w:rsid w:val="002C64DA"/>
    <w:rsid w:val="002C67A9"/>
    <w:rsid w:val="002C68CA"/>
    <w:rsid w:val="002C6AAF"/>
    <w:rsid w:val="002C6DC3"/>
    <w:rsid w:val="002C6F94"/>
    <w:rsid w:val="002C7422"/>
    <w:rsid w:val="002C7431"/>
    <w:rsid w:val="002C7522"/>
    <w:rsid w:val="002C752A"/>
    <w:rsid w:val="002C7D54"/>
    <w:rsid w:val="002D0A2E"/>
    <w:rsid w:val="002D0D55"/>
    <w:rsid w:val="002D132A"/>
    <w:rsid w:val="002D161D"/>
    <w:rsid w:val="002D1B0F"/>
    <w:rsid w:val="002D1E7D"/>
    <w:rsid w:val="002D228D"/>
    <w:rsid w:val="002D2385"/>
    <w:rsid w:val="002D24B6"/>
    <w:rsid w:val="002D24CB"/>
    <w:rsid w:val="002D2575"/>
    <w:rsid w:val="002D2C6C"/>
    <w:rsid w:val="002D358B"/>
    <w:rsid w:val="002D36E6"/>
    <w:rsid w:val="002D4381"/>
    <w:rsid w:val="002D4571"/>
    <w:rsid w:val="002D4CBD"/>
    <w:rsid w:val="002D5326"/>
    <w:rsid w:val="002D54C7"/>
    <w:rsid w:val="002D561D"/>
    <w:rsid w:val="002D5B88"/>
    <w:rsid w:val="002D5D0E"/>
    <w:rsid w:val="002D5DE3"/>
    <w:rsid w:val="002D5FFE"/>
    <w:rsid w:val="002D6224"/>
    <w:rsid w:val="002D6440"/>
    <w:rsid w:val="002D69EC"/>
    <w:rsid w:val="002D6EDE"/>
    <w:rsid w:val="002D6F96"/>
    <w:rsid w:val="002D723C"/>
    <w:rsid w:val="002D731E"/>
    <w:rsid w:val="002D75ED"/>
    <w:rsid w:val="002D7633"/>
    <w:rsid w:val="002D78EB"/>
    <w:rsid w:val="002D7A76"/>
    <w:rsid w:val="002D7AE6"/>
    <w:rsid w:val="002E0751"/>
    <w:rsid w:val="002E09F3"/>
    <w:rsid w:val="002E0B16"/>
    <w:rsid w:val="002E0E58"/>
    <w:rsid w:val="002E0EF0"/>
    <w:rsid w:val="002E10C1"/>
    <w:rsid w:val="002E1651"/>
    <w:rsid w:val="002E181C"/>
    <w:rsid w:val="002E18A0"/>
    <w:rsid w:val="002E1983"/>
    <w:rsid w:val="002E1D98"/>
    <w:rsid w:val="002E215A"/>
    <w:rsid w:val="002E216F"/>
    <w:rsid w:val="002E2382"/>
    <w:rsid w:val="002E2738"/>
    <w:rsid w:val="002E2D5D"/>
    <w:rsid w:val="002E2E41"/>
    <w:rsid w:val="002E32C6"/>
    <w:rsid w:val="002E339A"/>
    <w:rsid w:val="002E33D1"/>
    <w:rsid w:val="002E3626"/>
    <w:rsid w:val="002E362A"/>
    <w:rsid w:val="002E3804"/>
    <w:rsid w:val="002E3B23"/>
    <w:rsid w:val="002E3DD6"/>
    <w:rsid w:val="002E43EB"/>
    <w:rsid w:val="002E44EF"/>
    <w:rsid w:val="002E523D"/>
    <w:rsid w:val="002E537B"/>
    <w:rsid w:val="002E555E"/>
    <w:rsid w:val="002E55CB"/>
    <w:rsid w:val="002E59CD"/>
    <w:rsid w:val="002E5AA9"/>
    <w:rsid w:val="002E5C9F"/>
    <w:rsid w:val="002E6334"/>
    <w:rsid w:val="002E6418"/>
    <w:rsid w:val="002E672C"/>
    <w:rsid w:val="002E686E"/>
    <w:rsid w:val="002E69CE"/>
    <w:rsid w:val="002E6C96"/>
    <w:rsid w:val="002E6CBA"/>
    <w:rsid w:val="002E6CF2"/>
    <w:rsid w:val="002E6DCD"/>
    <w:rsid w:val="002E6E0B"/>
    <w:rsid w:val="002E6E50"/>
    <w:rsid w:val="002E7317"/>
    <w:rsid w:val="002E73DA"/>
    <w:rsid w:val="002E7413"/>
    <w:rsid w:val="002E76FD"/>
    <w:rsid w:val="002E7730"/>
    <w:rsid w:val="002E7943"/>
    <w:rsid w:val="002E7B31"/>
    <w:rsid w:val="002E7B43"/>
    <w:rsid w:val="002E7BFA"/>
    <w:rsid w:val="002E7DE8"/>
    <w:rsid w:val="002E7FA8"/>
    <w:rsid w:val="002F01A4"/>
    <w:rsid w:val="002F02C0"/>
    <w:rsid w:val="002F03E4"/>
    <w:rsid w:val="002F06B3"/>
    <w:rsid w:val="002F08AD"/>
    <w:rsid w:val="002F09F3"/>
    <w:rsid w:val="002F1058"/>
    <w:rsid w:val="002F11AB"/>
    <w:rsid w:val="002F149D"/>
    <w:rsid w:val="002F1735"/>
    <w:rsid w:val="002F1AC8"/>
    <w:rsid w:val="002F1B47"/>
    <w:rsid w:val="002F1BC3"/>
    <w:rsid w:val="002F1BFF"/>
    <w:rsid w:val="002F1D25"/>
    <w:rsid w:val="002F1F25"/>
    <w:rsid w:val="002F220D"/>
    <w:rsid w:val="002F3014"/>
    <w:rsid w:val="002F31DC"/>
    <w:rsid w:val="002F341F"/>
    <w:rsid w:val="002F350D"/>
    <w:rsid w:val="002F35A9"/>
    <w:rsid w:val="002F3601"/>
    <w:rsid w:val="002F3622"/>
    <w:rsid w:val="002F36E7"/>
    <w:rsid w:val="002F3BF4"/>
    <w:rsid w:val="002F3EFF"/>
    <w:rsid w:val="002F3FEB"/>
    <w:rsid w:val="002F4AF2"/>
    <w:rsid w:val="002F4F7B"/>
    <w:rsid w:val="002F5007"/>
    <w:rsid w:val="002F510F"/>
    <w:rsid w:val="002F514A"/>
    <w:rsid w:val="002F540E"/>
    <w:rsid w:val="002F5483"/>
    <w:rsid w:val="002F5C96"/>
    <w:rsid w:val="002F60C4"/>
    <w:rsid w:val="002F60DD"/>
    <w:rsid w:val="002F6C63"/>
    <w:rsid w:val="002F6EBF"/>
    <w:rsid w:val="002F6FD3"/>
    <w:rsid w:val="002F74B5"/>
    <w:rsid w:val="002F74D1"/>
    <w:rsid w:val="002F786F"/>
    <w:rsid w:val="002F78C3"/>
    <w:rsid w:val="002F7A67"/>
    <w:rsid w:val="002F7DFC"/>
    <w:rsid w:val="002F7FC7"/>
    <w:rsid w:val="0030068E"/>
    <w:rsid w:val="0030088B"/>
    <w:rsid w:val="00300A5B"/>
    <w:rsid w:val="00300C5B"/>
    <w:rsid w:val="00301388"/>
    <w:rsid w:val="0030149C"/>
    <w:rsid w:val="003017B8"/>
    <w:rsid w:val="003019E9"/>
    <w:rsid w:val="00301F49"/>
    <w:rsid w:val="00302098"/>
    <w:rsid w:val="0030232C"/>
    <w:rsid w:val="00302368"/>
    <w:rsid w:val="003025A8"/>
    <w:rsid w:val="0030267D"/>
    <w:rsid w:val="00302B8D"/>
    <w:rsid w:val="00303420"/>
    <w:rsid w:val="00303642"/>
    <w:rsid w:val="0030383A"/>
    <w:rsid w:val="0030392D"/>
    <w:rsid w:val="00303ABA"/>
    <w:rsid w:val="00303D64"/>
    <w:rsid w:val="00304186"/>
    <w:rsid w:val="003041F8"/>
    <w:rsid w:val="00304252"/>
    <w:rsid w:val="003043A2"/>
    <w:rsid w:val="003043C8"/>
    <w:rsid w:val="003044AE"/>
    <w:rsid w:val="00304604"/>
    <w:rsid w:val="00304A0D"/>
    <w:rsid w:val="00304B06"/>
    <w:rsid w:val="00304BF4"/>
    <w:rsid w:val="00304E51"/>
    <w:rsid w:val="00304EE9"/>
    <w:rsid w:val="003052CD"/>
    <w:rsid w:val="0030564F"/>
    <w:rsid w:val="003059FA"/>
    <w:rsid w:val="00305D4B"/>
    <w:rsid w:val="00305ECB"/>
    <w:rsid w:val="00306115"/>
    <w:rsid w:val="0030643A"/>
    <w:rsid w:val="00306558"/>
    <w:rsid w:val="00306635"/>
    <w:rsid w:val="00306A4E"/>
    <w:rsid w:val="00306B07"/>
    <w:rsid w:val="00306B0F"/>
    <w:rsid w:val="00306C3D"/>
    <w:rsid w:val="00306D5F"/>
    <w:rsid w:val="00306EEB"/>
    <w:rsid w:val="00306F9A"/>
    <w:rsid w:val="003072C3"/>
    <w:rsid w:val="0030732A"/>
    <w:rsid w:val="00307383"/>
    <w:rsid w:val="0030738A"/>
    <w:rsid w:val="00307847"/>
    <w:rsid w:val="00307C1D"/>
    <w:rsid w:val="00307E64"/>
    <w:rsid w:val="00307FAA"/>
    <w:rsid w:val="003101B9"/>
    <w:rsid w:val="003101EF"/>
    <w:rsid w:val="0031030D"/>
    <w:rsid w:val="003103F0"/>
    <w:rsid w:val="00310650"/>
    <w:rsid w:val="003109AE"/>
    <w:rsid w:val="00310BB8"/>
    <w:rsid w:val="003110C1"/>
    <w:rsid w:val="003110E6"/>
    <w:rsid w:val="003114D0"/>
    <w:rsid w:val="00311941"/>
    <w:rsid w:val="003119C8"/>
    <w:rsid w:val="0031208E"/>
    <w:rsid w:val="00312164"/>
    <w:rsid w:val="003128BC"/>
    <w:rsid w:val="00312CF8"/>
    <w:rsid w:val="003133DA"/>
    <w:rsid w:val="0031390C"/>
    <w:rsid w:val="00313D05"/>
    <w:rsid w:val="00313D0A"/>
    <w:rsid w:val="00313D75"/>
    <w:rsid w:val="00313F1A"/>
    <w:rsid w:val="003141DF"/>
    <w:rsid w:val="00314265"/>
    <w:rsid w:val="00314843"/>
    <w:rsid w:val="003148B6"/>
    <w:rsid w:val="00314930"/>
    <w:rsid w:val="00314E7A"/>
    <w:rsid w:val="003153AB"/>
    <w:rsid w:val="00315425"/>
    <w:rsid w:val="00315881"/>
    <w:rsid w:val="00315C3F"/>
    <w:rsid w:val="00315F42"/>
    <w:rsid w:val="003160B1"/>
    <w:rsid w:val="003161E1"/>
    <w:rsid w:val="0031626D"/>
    <w:rsid w:val="003164AD"/>
    <w:rsid w:val="0031676A"/>
    <w:rsid w:val="00316B55"/>
    <w:rsid w:val="003171F8"/>
    <w:rsid w:val="003172C3"/>
    <w:rsid w:val="0031756F"/>
    <w:rsid w:val="0031770C"/>
    <w:rsid w:val="00317737"/>
    <w:rsid w:val="00317C06"/>
    <w:rsid w:val="00317C28"/>
    <w:rsid w:val="003200DE"/>
    <w:rsid w:val="00320123"/>
    <w:rsid w:val="00320191"/>
    <w:rsid w:val="003208CD"/>
    <w:rsid w:val="00320A34"/>
    <w:rsid w:val="00320BEB"/>
    <w:rsid w:val="00320DCE"/>
    <w:rsid w:val="00320DD8"/>
    <w:rsid w:val="00320DED"/>
    <w:rsid w:val="003210A0"/>
    <w:rsid w:val="003211B7"/>
    <w:rsid w:val="00321311"/>
    <w:rsid w:val="00321852"/>
    <w:rsid w:val="00321B1A"/>
    <w:rsid w:val="00321E5D"/>
    <w:rsid w:val="003223BA"/>
    <w:rsid w:val="0032265F"/>
    <w:rsid w:val="00322AF0"/>
    <w:rsid w:val="00322F17"/>
    <w:rsid w:val="00323163"/>
    <w:rsid w:val="003231BE"/>
    <w:rsid w:val="003232C5"/>
    <w:rsid w:val="00323524"/>
    <w:rsid w:val="00323525"/>
    <w:rsid w:val="0032363C"/>
    <w:rsid w:val="0032449D"/>
    <w:rsid w:val="003248B1"/>
    <w:rsid w:val="00324AF8"/>
    <w:rsid w:val="00324BFB"/>
    <w:rsid w:val="00324D67"/>
    <w:rsid w:val="00324D79"/>
    <w:rsid w:val="00324FEA"/>
    <w:rsid w:val="0032589F"/>
    <w:rsid w:val="00325BCC"/>
    <w:rsid w:val="00325BF0"/>
    <w:rsid w:val="0032654E"/>
    <w:rsid w:val="003267BB"/>
    <w:rsid w:val="00326903"/>
    <w:rsid w:val="00326923"/>
    <w:rsid w:val="00326A07"/>
    <w:rsid w:val="00326B10"/>
    <w:rsid w:val="00326DCA"/>
    <w:rsid w:val="003272F8"/>
    <w:rsid w:val="003275F7"/>
    <w:rsid w:val="00327608"/>
    <w:rsid w:val="00327E1A"/>
    <w:rsid w:val="003302F7"/>
    <w:rsid w:val="00330A49"/>
    <w:rsid w:val="00330AA6"/>
    <w:rsid w:val="00330AA7"/>
    <w:rsid w:val="00330B26"/>
    <w:rsid w:val="00330DE0"/>
    <w:rsid w:val="00330F49"/>
    <w:rsid w:val="00331204"/>
    <w:rsid w:val="00331754"/>
    <w:rsid w:val="003318D5"/>
    <w:rsid w:val="00331C26"/>
    <w:rsid w:val="00332060"/>
    <w:rsid w:val="003323CE"/>
    <w:rsid w:val="00332628"/>
    <w:rsid w:val="003328C3"/>
    <w:rsid w:val="00332C49"/>
    <w:rsid w:val="00332C5A"/>
    <w:rsid w:val="0033340F"/>
    <w:rsid w:val="003336BC"/>
    <w:rsid w:val="00333E9D"/>
    <w:rsid w:val="003341BF"/>
    <w:rsid w:val="003345FD"/>
    <w:rsid w:val="0033484E"/>
    <w:rsid w:val="00334AED"/>
    <w:rsid w:val="00334D9D"/>
    <w:rsid w:val="00335346"/>
    <w:rsid w:val="003354C6"/>
    <w:rsid w:val="00335B22"/>
    <w:rsid w:val="00335FFF"/>
    <w:rsid w:val="0033626A"/>
    <w:rsid w:val="00336544"/>
    <w:rsid w:val="003365A5"/>
    <w:rsid w:val="0033669C"/>
    <w:rsid w:val="00336AF8"/>
    <w:rsid w:val="00336BE0"/>
    <w:rsid w:val="00336EC0"/>
    <w:rsid w:val="0033706E"/>
    <w:rsid w:val="00337079"/>
    <w:rsid w:val="003370FE"/>
    <w:rsid w:val="003371EE"/>
    <w:rsid w:val="00337463"/>
    <w:rsid w:val="00337856"/>
    <w:rsid w:val="00337B1D"/>
    <w:rsid w:val="00337BBF"/>
    <w:rsid w:val="00337BF2"/>
    <w:rsid w:val="00337C86"/>
    <w:rsid w:val="00337CE4"/>
    <w:rsid w:val="00340312"/>
    <w:rsid w:val="003404D3"/>
    <w:rsid w:val="003407A5"/>
    <w:rsid w:val="00340818"/>
    <w:rsid w:val="00340B74"/>
    <w:rsid w:val="00340D1A"/>
    <w:rsid w:val="0034127D"/>
    <w:rsid w:val="0034144A"/>
    <w:rsid w:val="0034163A"/>
    <w:rsid w:val="0034171D"/>
    <w:rsid w:val="0034186E"/>
    <w:rsid w:val="003418AF"/>
    <w:rsid w:val="003418F1"/>
    <w:rsid w:val="00341A44"/>
    <w:rsid w:val="00342298"/>
    <w:rsid w:val="00342558"/>
    <w:rsid w:val="003428B8"/>
    <w:rsid w:val="00342CE5"/>
    <w:rsid w:val="00342EFA"/>
    <w:rsid w:val="0034306C"/>
    <w:rsid w:val="00343755"/>
    <w:rsid w:val="003439B6"/>
    <w:rsid w:val="00343B9E"/>
    <w:rsid w:val="00343C3E"/>
    <w:rsid w:val="00343E0F"/>
    <w:rsid w:val="00344169"/>
    <w:rsid w:val="00344516"/>
    <w:rsid w:val="0034455B"/>
    <w:rsid w:val="0034463B"/>
    <w:rsid w:val="003446E6"/>
    <w:rsid w:val="00344C0F"/>
    <w:rsid w:val="00344C86"/>
    <w:rsid w:val="00344D1C"/>
    <w:rsid w:val="00344DC7"/>
    <w:rsid w:val="00344EB9"/>
    <w:rsid w:val="0034518E"/>
    <w:rsid w:val="0034539F"/>
    <w:rsid w:val="00345530"/>
    <w:rsid w:val="0034565F"/>
    <w:rsid w:val="00345848"/>
    <w:rsid w:val="003458C4"/>
    <w:rsid w:val="00345AFD"/>
    <w:rsid w:val="00345AFF"/>
    <w:rsid w:val="003462F6"/>
    <w:rsid w:val="00346369"/>
    <w:rsid w:val="003467E0"/>
    <w:rsid w:val="00346EF5"/>
    <w:rsid w:val="003471A6"/>
    <w:rsid w:val="0034755B"/>
    <w:rsid w:val="003475F2"/>
    <w:rsid w:val="003478D7"/>
    <w:rsid w:val="00347A4A"/>
    <w:rsid w:val="00347BF0"/>
    <w:rsid w:val="003500D7"/>
    <w:rsid w:val="0035012D"/>
    <w:rsid w:val="00350169"/>
    <w:rsid w:val="003503D5"/>
    <w:rsid w:val="00350753"/>
    <w:rsid w:val="003508E0"/>
    <w:rsid w:val="00350CEF"/>
    <w:rsid w:val="00351443"/>
    <w:rsid w:val="003516CC"/>
    <w:rsid w:val="0035182A"/>
    <w:rsid w:val="00351E97"/>
    <w:rsid w:val="00351FB8"/>
    <w:rsid w:val="00352076"/>
    <w:rsid w:val="003521D1"/>
    <w:rsid w:val="003521EC"/>
    <w:rsid w:val="0035224B"/>
    <w:rsid w:val="0035266C"/>
    <w:rsid w:val="00352B56"/>
    <w:rsid w:val="00352BEF"/>
    <w:rsid w:val="00353481"/>
    <w:rsid w:val="0035386F"/>
    <w:rsid w:val="003540BA"/>
    <w:rsid w:val="003541E8"/>
    <w:rsid w:val="003543FD"/>
    <w:rsid w:val="00354740"/>
    <w:rsid w:val="00354911"/>
    <w:rsid w:val="00354AED"/>
    <w:rsid w:val="00354DD8"/>
    <w:rsid w:val="00355186"/>
    <w:rsid w:val="003552ED"/>
    <w:rsid w:val="0035532A"/>
    <w:rsid w:val="00355350"/>
    <w:rsid w:val="00355549"/>
    <w:rsid w:val="00355BF1"/>
    <w:rsid w:val="003560D1"/>
    <w:rsid w:val="00356592"/>
    <w:rsid w:val="00356756"/>
    <w:rsid w:val="00356890"/>
    <w:rsid w:val="00356F41"/>
    <w:rsid w:val="00357F75"/>
    <w:rsid w:val="00357F80"/>
    <w:rsid w:val="00357FE4"/>
    <w:rsid w:val="003600F8"/>
    <w:rsid w:val="0036022D"/>
    <w:rsid w:val="0036056A"/>
    <w:rsid w:val="003607FF"/>
    <w:rsid w:val="00360848"/>
    <w:rsid w:val="00360E60"/>
    <w:rsid w:val="00361289"/>
    <w:rsid w:val="00361805"/>
    <w:rsid w:val="0036197D"/>
    <w:rsid w:val="00361C22"/>
    <w:rsid w:val="00362382"/>
    <w:rsid w:val="003623C4"/>
    <w:rsid w:val="003625AD"/>
    <w:rsid w:val="003625FD"/>
    <w:rsid w:val="0036272C"/>
    <w:rsid w:val="00362CAF"/>
    <w:rsid w:val="00363060"/>
    <w:rsid w:val="0036309D"/>
    <w:rsid w:val="0036337E"/>
    <w:rsid w:val="00363466"/>
    <w:rsid w:val="00363665"/>
    <w:rsid w:val="00363AEA"/>
    <w:rsid w:val="00363B88"/>
    <w:rsid w:val="0036467E"/>
    <w:rsid w:val="00364805"/>
    <w:rsid w:val="003648D1"/>
    <w:rsid w:val="00364ACD"/>
    <w:rsid w:val="00364D4E"/>
    <w:rsid w:val="003656E5"/>
    <w:rsid w:val="00365956"/>
    <w:rsid w:val="00365B3C"/>
    <w:rsid w:val="003661BA"/>
    <w:rsid w:val="00366222"/>
    <w:rsid w:val="0036632B"/>
    <w:rsid w:val="003663ED"/>
    <w:rsid w:val="0036663D"/>
    <w:rsid w:val="003666AE"/>
    <w:rsid w:val="003666D5"/>
    <w:rsid w:val="003667A8"/>
    <w:rsid w:val="00366991"/>
    <w:rsid w:val="003671FA"/>
    <w:rsid w:val="00367296"/>
    <w:rsid w:val="003674C5"/>
    <w:rsid w:val="00367691"/>
    <w:rsid w:val="003676DB"/>
    <w:rsid w:val="00367DD3"/>
    <w:rsid w:val="00367FDD"/>
    <w:rsid w:val="00370076"/>
    <w:rsid w:val="003703F9"/>
    <w:rsid w:val="003706D9"/>
    <w:rsid w:val="00370BB9"/>
    <w:rsid w:val="00370FFD"/>
    <w:rsid w:val="003711B4"/>
    <w:rsid w:val="003711D5"/>
    <w:rsid w:val="003711F7"/>
    <w:rsid w:val="00371321"/>
    <w:rsid w:val="0037149D"/>
    <w:rsid w:val="003715DB"/>
    <w:rsid w:val="00371618"/>
    <w:rsid w:val="00371808"/>
    <w:rsid w:val="00371912"/>
    <w:rsid w:val="00371C44"/>
    <w:rsid w:val="00371CB9"/>
    <w:rsid w:val="00371E33"/>
    <w:rsid w:val="0037215A"/>
    <w:rsid w:val="003724F4"/>
    <w:rsid w:val="0037253E"/>
    <w:rsid w:val="00372782"/>
    <w:rsid w:val="00372AEF"/>
    <w:rsid w:val="00372B78"/>
    <w:rsid w:val="00372F81"/>
    <w:rsid w:val="00372FAC"/>
    <w:rsid w:val="0037305F"/>
    <w:rsid w:val="00373306"/>
    <w:rsid w:val="0037330E"/>
    <w:rsid w:val="00373438"/>
    <w:rsid w:val="003738D3"/>
    <w:rsid w:val="00373909"/>
    <w:rsid w:val="00373B47"/>
    <w:rsid w:val="00373B7E"/>
    <w:rsid w:val="00373D6A"/>
    <w:rsid w:val="00373E45"/>
    <w:rsid w:val="00373E78"/>
    <w:rsid w:val="00373F2A"/>
    <w:rsid w:val="00374123"/>
    <w:rsid w:val="00374172"/>
    <w:rsid w:val="0037429E"/>
    <w:rsid w:val="003742EF"/>
    <w:rsid w:val="0037434A"/>
    <w:rsid w:val="0037437B"/>
    <w:rsid w:val="00374592"/>
    <w:rsid w:val="0037477E"/>
    <w:rsid w:val="00374801"/>
    <w:rsid w:val="00374B18"/>
    <w:rsid w:val="00374DB3"/>
    <w:rsid w:val="00374DD2"/>
    <w:rsid w:val="00374E16"/>
    <w:rsid w:val="00374E38"/>
    <w:rsid w:val="00374E80"/>
    <w:rsid w:val="00374E94"/>
    <w:rsid w:val="00375025"/>
    <w:rsid w:val="00375182"/>
    <w:rsid w:val="0037562E"/>
    <w:rsid w:val="00375713"/>
    <w:rsid w:val="00375719"/>
    <w:rsid w:val="003757E3"/>
    <w:rsid w:val="00375900"/>
    <w:rsid w:val="00375A2F"/>
    <w:rsid w:val="00375B81"/>
    <w:rsid w:val="00375EEE"/>
    <w:rsid w:val="003761E1"/>
    <w:rsid w:val="00376295"/>
    <w:rsid w:val="003766AD"/>
    <w:rsid w:val="00376A29"/>
    <w:rsid w:val="00376B9B"/>
    <w:rsid w:val="00376D7F"/>
    <w:rsid w:val="003773CE"/>
    <w:rsid w:val="00377612"/>
    <w:rsid w:val="00377AB8"/>
    <w:rsid w:val="00377C44"/>
    <w:rsid w:val="00380186"/>
    <w:rsid w:val="003806E1"/>
    <w:rsid w:val="0038079B"/>
    <w:rsid w:val="00380C84"/>
    <w:rsid w:val="003813DC"/>
    <w:rsid w:val="003814A1"/>
    <w:rsid w:val="003819B8"/>
    <w:rsid w:val="00381B00"/>
    <w:rsid w:val="00381BAA"/>
    <w:rsid w:val="003820ED"/>
    <w:rsid w:val="0038249D"/>
    <w:rsid w:val="00382536"/>
    <w:rsid w:val="0038287E"/>
    <w:rsid w:val="00382ADD"/>
    <w:rsid w:val="00383964"/>
    <w:rsid w:val="00383E62"/>
    <w:rsid w:val="0038409D"/>
    <w:rsid w:val="0038423A"/>
    <w:rsid w:val="0038471E"/>
    <w:rsid w:val="00384742"/>
    <w:rsid w:val="00384935"/>
    <w:rsid w:val="00384B31"/>
    <w:rsid w:val="00384B5B"/>
    <w:rsid w:val="00385154"/>
    <w:rsid w:val="00385A04"/>
    <w:rsid w:val="00385A40"/>
    <w:rsid w:val="00385ED7"/>
    <w:rsid w:val="003862E2"/>
    <w:rsid w:val="00386451"/>
    <w:rsid w:val="00386974"/>
    <w:rsid w:val="003870B1"/>
    <w:rsid w:val="003871BB"/>
    <w:rsid w:val="00387258"/>
    <w:rsid w:val="0038769D"/>
    <w:rsid w:val="003879E3"/>
    <w:rsid w:val="00387DA4"/>
    <w:rsid w:val="00390287"/>
    <w:rsid w:val="003902B9"/>
    <w:rsid w:val="0039030F"/>
    <w:rsid w:val="00390469"/>
    <w:rsid w:val="0039087E"/>
    <w:rsid w:val="00390AA7"/>
    <w:rsid w:val="00390AED"/>
    <w:rsid w:val="00391159"/>
    <w:rsid w:val="00391845"/>
    <w:rsid w:val="003918A0"/>
    <w:rsid w:val="00391C6E"/>
    <w:rsid w:val="00391C77"/>
    <w:rsid w:val="00391C85"/>
    <w:rsid w:val="00392272"/>
    <w:rsid w:val="003922C4"/>
    <w:rsid w:val="00392410"/>
    <w:rsid w:val="00392459"/>
    <w:rsid w:val="00392BBC"/>
    <w:rsid w:val="00392E0A"/>
    <w:rsid w:val="003932CD"/>
    <w:rsid w:val="003932DF"/>
    <w:rsid w:val="00393539"/>
    <w:rsid w:val="0039353E"/>
    <w:rsid w:val="003936CB"/>
    <w:rsid w:val="003937D3"/>
    <w:rsid w:val="003938CE"/>
    <w:rsid w:val="00393AE2"/>
    <w:rsid w:val="00393B54"/>
    <w:rsid w:val="00394155"/>
    <w:rsid w:val="00394280"/>
    <w:rsid w:val="003942BB"/>
    <w:rsid w:val="00394405"/>
    <w:rsid w:val="00394731"/>
    <w:rsid w:val="00394906"/>
    <w:rsid w:val="00394D38"/>
    <w:rsid w:val="00394DE0"/>
    <w:rsid w:val="0039518E"/>
    <w:rsid w:val="003954CA"/>
    <w:rsid w:val="00395783"/>
    <w:rsid w:val="00395917"/>
    <w:rsid w:val="00395C6B"/>
    <w:rsid w:val="00395D3F"/>
    <w:rsid w:val="00395FB9"/>
    <w:rsid w:val="00395FD2"/>
    <w:rsid w:val="00396016"/>
    <w:rsid w:val="0039628F"/>
    <w:rsid w:val="003964B5"/>
    <w:rsid w:val="003968A7"/>
    <w:rsid w:val="00396B69"/>
    <w:rsid w:val="00396DC1"/>
    <w:rsid w:val="00396EEA"/>
    <w:rsid w:val="00396F51"/>
    <w:rsid w:val="0039705B"/>
    <w:rsid w:val="0039710C"/>
    <w:rsid w:val="00397255"/>
    <w:rsid w:val="0039739D"/>
    <w:rsid w:val="00397580"/>
    <w:rsid w:val="00397AAC"/>
    <w:rsid w:val="00397B8E"/>
    <w:rsid w:val="00397B9D"/>
    <w:rsid w:val="00397BCC"/>
    <w:rsid w:val="00397CBD"/>
    <w:rsid w:val="00397EDF"/>
    <w:rsid w:val="003A0030"/>
    <w:rsid w:val="003A05E6"/>
    <w:rsid w:val="003A0771"/>
    <w:rsid w:val="003A07A9"/>
    <w:rsid w:val="003A088A"/>
    <w:rsid w:val="003A0F32"/>
    <w:rsid w:val="003A106C"/>
    <w:rsid w:val="003A10C9"/>
    <w:rsid w:val="003A1599"/>
    <w:rsid w:val="003A17F5"/>
    <w:rsid w:val="003A1A99"/>
    <w:rsid w:val="003A1B2B"/>
    <w:rsid w:val="003A1C85"/>
    <w:rsid w:val="003A1CF9"/>
    <w:rsid w:val="003A209B"/>
    <w:rsid w:val="003A2280"/>
    <w:rsid w:val="003A253E"/>
    <w:rsid w:val="003A29A5"/>
    <w:rsid w:val="003A29FE"/>
    <w:rsid w:val="003A2C67"/>
    <w:rsid w:val="003A2EB8"/>
    <w:rsid w:val="003A2EE7"/>
    <w:rsid w:val="003A2F0E"/>
    <w:rsid w:val="003A3180"/>
    <w:rsid w:val="003A31D4"/>
    <w:rsid w:val="003A33E0"/>
    <w:rsid w:val="003A3560"/>
    <w:rsid w:val="003A35E3"/>
    <w:rsid w:val="003A36F7"/>
    <w:rsid w:val="003A37A9"/>
    <w:rsid w:val="003A37D3"/>
    <w:rsid w:val="003A394F"/>
    <w:rsid w:val="003A3A73"/>
    <w:rsid w:val="003A3CFF"/>
    <w:rsid w:val="003A3E27"/>
    <w:rsid w:val="003A3F6A"/>
    <w:rsid w:val="003A410E"/>
    <w:rsid w:val="003A4719"/>
    <w:rsid w:val="003A474C"/>
    <w:rsid w:val="003A4793"/>
    <w:rsid w:val="003A47DA"/>
    <w:rsid w:val="003A48B4"/>
    <w:rsid w:val="003A48F2"/>
    <w:rsid w:val="003A4D0D"/>
    <w:rsid w:val="003A4E27"/>
    <w:rsid w:val="003A56CC"/>
    <w:rsid w:val="003A5728"/>
    <w:rsid w:val="003A59E7"/>
    <w:rsid w:val="003A5B42"/>
    <w:rsid w:val="003A5B97"/>
    <w:rsid w:val="003A6374"/>
    <w:rsid w:val="003A63D8"/>
    <w:rsid w:val="003A6C5E"/>
    <w:rsid w:val="003A6EA9"/>
    <w:rsid w:val="003A7041"/>
    <w:rsid w:val="003A7246"/>
    <w:rsid w:val="003A75A5"/>
    <w:rsid w:val="003A7929"/>
    <w:rsid w:val="003A7969"/>
    <w:rsid w:val="003A79F4"/>
    <w:rsid w:val="003A7A6E"/>
    <w:rsid w:val="003A7AB4"/>
    <w:rsid w:val="003A7AE0"/>
    <w:rsid w:val="003A7D5C"/>
    <w:rsid w:val="003A7EC3"/>
    <w:rsid w:val="003A7F76"/>
    <w:rsid w:val="003B025D"/>
    <w:rsid w:val="003B02E5"/>
    <w:rsid w:val="003B0992"/>
    <w:rsid w:val="003B0A38"/>
    <w:rsid w:val="003B0C0C"/>
    <w:rsid w:val="003B0E01"/>
    <w:rsid w:val="003B130C"/>
    <w:rsid w:val="003B1510"/>
    <w:rsid w:val="003B1665"/>
    <w:rsid w:val="003B1857"/>
    <w:rsid w:val="003B19B1"/>
    <w:rsid w:val="003B1AC0"/>
    <w:rsid w:val="003B1BF0"/>
    <w:rsid w:val="003B1D46"/>
    <w:rsid w:val="003B2280"/>
    <w:rsid w:val="003B2668"/>
    <w:rsid w:val="003B2C21"/>
    <w:rsid w:val="003B2C59"/>
    <w:rsid w:val="003B2CA4"/>
    <w:rsid w:val="003B2D56"/>
    <w:rsid w:val="003B2E64"/>
    <w:rsid w:val="003B346E"/>
    <w:rsid w:val="003B3D25"/>
    <w:rsid w:val="003B4306"/>
    <w:rsid w:val="003B49A9"/>
    <w:rsid w:val="003B4A6E"/>
    <w:rsid w:val="003B4F04"/>
    <w:rsid w:val="003B5306"/>
    <w:rsid w:val="003B5630"/>
    <w:rsid w:val="003B58B7"/>
    <w:rsid w:val="003B5D50"/>
    <w:rsid w:val="003B5FFB"/>
    <w:rsid w:val="003B66EA"/>
    <w:rsid w:val="003B677F"/>
    <w:rsid w:val="003B6C15"/>
    <w:rsid w:val="003B6DD1"/>
    <w:rsid w:val="003B6EC4"/>
    <w:rsid w:val="003B709A"/>
    <w:rsid w:val="003B7135"/>
    <w:rsid w:val="003B74C9"/>
    <w:rsid w:val="003B74E2"/>
    <w:rsid w:val="003B75AC"/>
    <w:rsid w:val="003B77C7"/>
    <w:rsid w:val="003B7A03"/>
    <w:rsid w:val="003B7F53"/>
    <w:rsid w:val="003C018E"/>
    <w:rsid w:val="003C01B5"/>
    <w:rsid w:val="003C0341"/>
    <w:rsid w:val="003C038A"/>
    <w:rsid w:val="003C041A"/>
    <w:rsid w:val="003C0605"/>
    <w:rsid w:val="003C0834"/>
    <w:rsid w:val="003C0D93"/>
    <w:rsid w:val="003C0E28"/>
    <w:rsid w:val="003C12EE"/>
    <w:rsid w:val="003C16DF"/>
    <w:rsid w:val="003C1969"/>
    <w:rsid w:val="003C1AA2"/>
    <w:rsid w:val="003C1B73"/>
    <w:rsid w:val="003C1BD6"/>
    <w:rsid w:val="003C1C25"/>
    <w:rsid w:val="003C1D76"/>
    <w:rsid w:val="003C1FCD"/>
    <w:rsid w:val="003C203D"/>
    <w:rsid w:val="003C2150"/>
    <w:rsid w:val="003C2435"/>
    <w:rsid w:val="003C260C"/>
    <w:rsid w:val="003C2649"/>
    <w:rsid w:val="003C2693"/>
    <w:rsid w:val="003C285B"/>
    <w:rsid w:val="003C2A36"/>
    <w:rsid w:val="003C2D89"/>
    <w:rsid w:val="003C2ECC"/>
    <w:rsid w:val="003C2F63"/>
    <w:rsid w:val="003C2FA8"/>
    <w:rsid w:val="003C330B"/>
    <w:rsid w:val="003C3381"/>
    <w:rsid w:val="003C358B"/>
    <w:rsid w:val="003C3A29"/>
    <w:rsid w:val="003C3FAD"/>
    <w:rsid w:val="003C3FF2"/>
    <w:rsid w:val="003C3FFB"/>
    <w:rsid w:val="003C4270"/>
    <w:rsid w:val="003C4385"/>
    <w:rsid w:val="003C451B"/>
    <w:rsid w:val="003C4862"/>
    <w:rsid w:val="003C4909"/>
    <w:rsid w:val="003C4D96"/>
    <w:rsid w:val="003C4E34"/>
    <w:rsid w:val="003C4EC2"/>
    <w:rsid w:val="003C4F7A"/>
    <w:rsid w:val="003C50AB"/>
    <w:rsid w:val="003C5481"/>
    <w:rsid w:val="003C55CA"/>
    <w:rsid w:val="003C55FE"/>
    <w:rsid w:val="003C56CD"/>
    <w:rsid w:val="003C56CF"/>
    <w:rsid w:val="003C5AAC"/>
    <w:rsid w:val="003C5B2C"/>
    <w:rsid w:val="003C5B66"/>
    <w:rsid w:val="003C5E51"/>
    <w:rsid w:val="003C625B"/>
    <w:rsid w:val="003C6386"/>
    <w:rsid w:val="003C65BB"/>
    <w:rsid w:val="003C67ED"/>
    <w:rsid w:val="003C6E1F"/>
    <w:rsid w:val="003C72FA"/>
    <w:rsid w:val="003C74E4"/>
    <w:rsid w:val="003C75BA"/>
    <w:rsid w:val="003C770A"/>
    <w:rsid w:val="003C7772"/>
    <w:rsid w:val="003C7D54"/>
    <w:rsid w:val="003C7D62"/>
    <w:rsid w:val="003D024A"/>
    <w:rsid w:val="003D03CE"/>
    <w:rsid w:val="003D0671"/>
    <w:rsid w:val="003D07AF"/>
    <w:rsid w:val="003D081D"/>
    <w:rsid w:val="003D0E95"/>
    <w:rsid w:val="003D10FD"/>
    <w:rsid w:val="003D15F2"/>
    <w:rsid w:val="003D1670"/>
    <w:rsid w:val="003D1B6F"/>
    <w:rsid w:val="003D206F"/>
    <w:rsid w:val="003D21FC"/>
    <w:rsid w:val="003D292F"/>
    <w:rsid w:val="003D2E51"/>
    <w:rsid w:val="003D340B"/>
    <w:rsid w:val="003D3538"/>
    <w:rsid w:val="003D387A"/>
    <w:rsid w:val="003D38B8"/>
    <w:rsid w:val="003D3AB4"/>
    <w:rsid w:val="003D41D1"/>
    <w:rsid w:val="003D43A2"/>
    <w:rsid w:val="003D4424"/>
    <w:rsid w:val="003D4589"/>
    <w:rsid w:val="003D4E1C"/>
    <w:rsid w:val="003D4E9E"/>
    <w:rsid w:val="003D4FF5"/>
    <w:rsid w:val="003D501E"/>
    <w:rsid w:val="003D517E"/>
    <w:rsid w:val="003D533E"/>
    <w:rsid w:val="003D56A0"/>
    <w:rsid w:val="003D58A4"/>
    <w:rsid w:val="003D597B"/>
    <w:rsid w:val="003D5BA3"/>
    <w:rsid w:val="003D5F65"/>
    <w:rsid w:val="003D6035"/>
    <w:rsid w:val="003D64B5"/>
    <w:rsid w:val="003D6854"/>
    <w:rsid w:val="003D6927"/>
    <w:rsid w:val="003D6A63"/>
    <w:rsid w:val="003D6A73"/>
    <w:rsid w:val="003D6DED"/>
    <w:rsid w:val="003D7201"/>
    <w:rsid w:val="003D7289"/>
    <w:rsid w:val="003D7341"/>
    <w:rsid w:val="003D777B"/>
    <w:rsid w:val="003D77EA"/>
    <w:rsid w:val="003D7987"/>
    <w:rsid w:val="003D7A03"/>
    <w:rsid w:val="003D7D76"/>
    <w:rsid w:val="003D7DAA"/>
    <w:rsid w:val="003E027F"/>
    <w:rsid w:val="003E0459"/>
    <w:rsid w:val="003E07F9"/>
    <w:rsid w:val="003E09B4"/>
    <w:rsid w:val="003E0D01"/>
    <w:rsid w:val="003E0D93"/>
    <w:rsid w:val="003E0DDA"/>
    <w:rsid w:val="003E0E19"/>
    <w:rsid w:val="003E0F2B"/>
    <w:rsid w:val="003E0FC0"/>
    <w:rsid w:val="003E1017"/>
    <w:rsid w:val="003E10F0"/>
    <w:rsid w:val="003E1535"/>
    <w:rsid w:val="003E1676"/>
    <w:rsid w:val="003E1723"/>
    <w:rsid w:val="003E1828"/>
    <w:rsid w:val="003E1942"/>
    <w:rsid w:val="003E1A9E"/>
    <w:rsid w:val="003E1D0C"/>
    <w:rsid w:val="003E1D10"/>
    <w:rsid w:val="003E1D5C"/>
    <w:rsid w:val="003E1DDF"/>
    <w:rsid w:val="003E27CC"/>
    <w:rsid w:val="003E2BB1"/>
    <w:rsid w:val="003E2E9A"/>
    <w:rsid w:val="003E2F2F"/>
    <w:rsid w:val="003E318F"/>
    <w:rsid w:val="003E334D"/>
    <w:rsid w:val="003E347C"/>
    <w:rsid w:val="003E354D"/>
    <w:rsid w:val="003E3BED"/>
    <w:rsid w:val="003E3C5D"/>
    <w:rsid w:val="003E4073"/>
    <w:rsid w:val="003E408F"/>
    <w:rsid w:val="003E445B"/>
    <w:rsid w:val="003E498B"/>
    <w:rsid w:val="003E4C7B"/>
    <w:rsid w:val="003E4FDC"/>
    <w:rsid w:val="003E5374"/>
    <w:rsid w:val="003E551A"/>
    <w:rsid w:val="003E5816"/>
    <w:rsid w:val="003E5A56"/>
    <w:rsid w:val="003E5B45"/>
    <w:rsid w:val="003E63F5"/>
    <w:rsid w:val="003E6BD0"/>
    <w:rsid w:val="003E6C2D"/>
    <w:rsid w:val="003E6CF6"/>
    <w:rsid w:val="003E6E70"/>
    <w:rsid w:val="003E765C"/>
    <w:rsid w:val="003E784C"/>
    <w:rsid w:val="003E7DC6"/>
    <w:rsid w:val="003F00D2"/>
    <w:rsid w:val="003F02F4"/>
    <w:rsid w:val="003F0402"/>
    <w:rsid w:val="003F043A"/>
    <w:rsid w:val="003F0622"/>
    <w:rsid w:val="003F07A3"/>
    <w:rsid w:val="003F0B72"/>
    <w:rsid w:val="003F0C01"/>
    <w:rsid w:val="003F0C34"/>
    <w:rsid w:val="003F0C42"/>
    <w:rsid w:val="003F0D5D"/>
    <w:rsid w:val="003F11E3"/>
    <w:rsid w:val="003F1431"/>
    <w:rsid w:val="003F165E"/>
    <w:rsid w:val="003F1B53"/>
    <w:rsid w:val="003F1BF8"/>
    <w:rsid w:val="003F1D7D"/>
    <w:rsid w:val="003F1FD5"/>
    <w:rsid w:val="003F2198"/>
    <w:rsid w:val="003F240D"/>
    <w:rsid w:val="003F25C1"/>
    <w:rsid w:val="003F26B9"/>
    <w:rsid w:val="003F2700"/>
    <w:rsid w:val="003F27C2"/>
    <w:rsid w:val="003F2894"/>
    <w:rsid w:val="003F2BA6"/>
    <w:rsid w:val="003F2E75"/>
    <w:rsid w:val="003F3039"/>
    <w:rsid w:val="003F3080"/>
    <w:rsid w:val="003F3662"/>
    <w:rsid w:val="003F3C78"/>
    <w:rsid w:val="003F3DA4"/>
    <w:rsid w:val="003F3DCB"/>
    <w:rsid w:val="003F4319"/>
    <w:rsid w:val="003F43B1"/>
    <w:rsid w:val="003F483F"/>
    <w:rsid w:val="003F4B9A"/>
    <w:rsid w:val="003F4C97"/>
    <w:rsid w:val="003F4F31"/>
    <w:rsid w:val="003F56DE"/>
    <w:rsid w:val="003F5997"/>
    <w:rsid w:val="003F5CB2"/>
    <w:rsid w:val="003F5CE6"/>
    <w:rsid w:val="003F5DE8"/>
    <w:rsid w:val="003F61F9"/>
    <w:rsid w:val="003F6373"/>
    <w:rsid w:val="003F6459"/>
    <w:rsid w:val="003F663F"/>
    <w:rsid w:val="003F6787"/>
    <w:rsid w:val="003F6AC6"/>
    <w:rsid w:val="003F6F42"/>
    <w:rsid w:val="003F7369"/>
    <w:rsid w:val="003F7498"/>
    <w:rsid w:val="003F7522"/>
    <w:rsid w:val="003F75EE"/>
    <w:rsid w:val="003F772A"/>
    <w:rsid w:val="003F7773"/>
    <w:rsid w:val="003F7A42"/>
    <w:rsid w:val="00400008"/>
    <w:rsid w:val="00400296"/>
    <w:rsid w:val="00400628"/>
    <w:rsid w:val="004006E0"/>
    <w:rsid w:val="00400C31"/>
    <w:rsid w:val="00400CD0"/>
    <w:rsid w:val="00401432"/>
    <w:rsid w:val="00401663"/>
    <w:rsid w:val="0040180A"/>
    <w:rsid w:val="004018FC"/>
    <w:rsid w:val="0040210B"/>
    <w:rsid w:val="004021E0"/>
    <w:rsid w:val="00402372"/>
    <w:rsid w:val="00402449"/>
    <w:rsid w:val="00403052"/>
    <w:rsid w:val="0040349E"/>
    <w:rsid w:val="0040350A"/>
    <w:rsid w:val="0040358C"/>
    <w:rsid w:val="00403629"/>
    <w:rsid w:val="00403B85"/>
    <w:rsid w:val="00403D35"/>
    <w:rsid w:val="00403D39"/>
    <w:rsid w:val="004040FE"/>
    <w:rsid w:val="004043E4"/>
    <w:rsid w:val="00404678"/>
    <w:rsid w:val="0040488A"/>
    <w:rsid w:val="004048B9"/>
    <w:rsid w:val="004048C5"/>
    <w:rsid w:val="00404AB7"/>
    <w:rsid w:val="00404BA6"/>
    <w:rsid w:val="00404FCE"/>
    <w:rsid w:val="00405445"/>
    <w:rsid w:val="00405555"/>
    <w:rsid w:val="0040589B"/>
    <w:rsid w:val="0040594B"/>
    <w:rsid w:val="00405B3E"/>
    <w:rsid w:val="0040616D"/>
    <w:rsid w:val="004063D6"/>
    <w:rsid w:val="00406560"/>
    <w:rsid w:val="00406997"/>
    <w:rsid w:val="00406B4B"/>
    <w:rsid w:val="00406B82"/>
    <w:rsid w:val="00406BC5"/>
    <w:rsid w:val="00406C03"/>
    <w:rsid w:val="00406E0D"/>
    <w:rsid w:val="00406FD7"/>
    <w:rsid w:val="00407589"/>
    <w:rsid w:val="004077E2"/>
    <w:rsid w:val="00407815"/>
    <w:rsid w:val="00407C7E"/>
    <w:rsid w:val="00407F0C"/>
    <w:rsid w:val="00407F59"/>
    <w:rsid w:val="00407F6D"/>
    <w:rsid w:val="00410057"/>
    <w:rsid w:val="00410B2C"/>
    <w:rsid w:val="00410E70"/>
    <w:rsid w:val="00410FCE"/>
    <w:rsid w:val="00411326"/>
    <w:rsid w:val="004114B6"/>
    <w:rsid w:val="004115B4"/>
    <w:rsid w:val="004115F5"/>
    <w:rsid w:val="00411603"/>
    <w:rsid w:val="00411930"/>
    <w:rsid w:val="00411A54"/>
    <w:rsid w:val="0041208E"/>
    <w:rsid w:val="00412225"/>
    <w:rsid w:val="004122CF"/>
    <w:rsid w:val="0041260A"/>
    <w:rsid w:val="0041261A"/>
    <w:rsid w:val="004126DA"/>
    <w:rsid w:val="00412927"/>
    <w:rsid w:val="004129C7"/>
    <w:rsid w:val="00412CBA"/>
    <w:rsid w:val="00412D19"/>
    <w:rsid w:val="004130C1"/>
    <w:rsid w:val="0041355A"/>
    <w:rsid w:val="004137F8"/>
    <w:rsid w:val="0041381A"/>
    <w:rsid w:val="0041397B"/>
    <w:rsid w:val="00413C7E"/>
    <w:rsid w:val="00413D67"/>
    <w:rsid w:val="00413EB9"/>
    <w:rsid w:val="00414085"/>
    <w:rsid w:val="00414204"/>
    <w:rsid w:val="00414219"/>
    <w:rsid w:val="004142EF"/>
    <w:rsid w:val="004145F5"/>
    <w:rsid w:val="00414924"/>
    <w:rsid w:val="00414C7F"/>
    <w:rsid w:val="00414D0A"/>
    <w:rsid w:val="00414D82"/>
    <w:rsid w:val="004150F6"/>
    <w:rsid w:val="0041530F"/>
    <w:rsid w:val="004153BE"/>
    <w:rsid w:val="00415423"/>
    <w:rsid w:val="004159C7"/>
    <w:rsid w:val="00416216"/>
    <w:rsid w:val="00416524"/>
    <w:rsid w:val="00416563"/>
    <w:rsid w:val="004165E3"/>
    <w:rsid w:val="0041666A"/>
    <w:rsid w:val="00416801"/>
    <w:rsid w:val="00416B0C"/>
    <w:rsid w:val="00416B65"/>
    <w:rsid w:val="004171FB"/>
    <w:rsid w:val="00417288"/>
    <w:rsid w:val="00417F0F"/>
    <w:rsid w:val="00420420"/>
    <w:rsid w:val="0042062D"/>
    <w:rsid w:val="00421128"/>
    <w:rsid w:val="004213F3"/>
    <w:rsid w:val="0042161D"/>
    <w:rsid w:val="0042190A"/>
    <w:rsid w:val="00421BAC"/>
    <w:rsid w:val="00421E12"/>
    <w:rsid w:val="00421FAA"/>
    <w:rsid w:val="0042208C"/>
    <w:rsid w:val="004222AC"/>
    <w:rsid w:val="00422367"/>
    <w:rsid w:val="00422780"/>
    <w:rsid w:val="00422F01"/>
    <w:rsid w:val="00422FC8"/>
    <w:rsid w:val="00423199"/>
    <w:rsid w:val="004233ED"/>
    <w:rsid w:val="004234BB"/>
    <w:rsid w:val="00423685"/>
    <w:rsid w:val="00423821"/>
    <w:rsid w:val="004238BA"/>
    <w:rsid w:val="004239E9"/>
    <w:rsid w:val="00423C39"/>
    <w:rsid w:val="00423D83"/>
    <w:rsid w:val="004245D4"/>
    <w:rsid w:val="00424667"/>
    <w:rsid w:val="004248F9"/>
    <w:rsid w:val="004249BC"/>
    <w:rsid w:val="00425055"/>
    <w:rsid w:val="0042530C"/>
    <w:rsid w:val="00425414"/>
    <w:rsid w:val="0042547E"/>
    <w:rsid w:val="00425531"/>
    <w:rsid w:val="004257EC"/>
    <w:rsid w:val="00425823"/>
    <w:rsid w:val="00425A35"/>
    <w:rsid w:val="00425A62"/>
    <w:rsid w:val="00425C15"/>
    <w:rsid w:val="00425FC7"/>
    <w:rsid w:val="0042620F"/>
    <w:rsid w:val="00426488"/>
    <w:rsid w:val="004269AC"/>
    <w:rsid w:val="00426B3B"/>
    <w:rsid w:val="00426BD5"/>
    <w:rsid w:val="00426CCF"/>
    <w:rsid w:val="00426E64"/>
    <w:rsid w:val="00427155"/>
    <w:rsid w:val="004273AE"/>
    <w:rsid w:val="0042747B"/>
    <w:rsid w:val="0042761A"/>
    <w:rsid w:val="004276E7"/>
    <w:rsid w:val="00427AAC"/>
    <w:rsid w:val="00427C31"/>
    <w:rsid w:val="0043009B"/>
    <w:rsid w:val="00430391"/>
    <w:rsid w:val="00430410"/>
    <w:rsid w:val="00430462"/>
    <w:rsid w:val="004305FC"/>
    <w:rsid w:val="00430869"/>
    <w:rsid w:val="004309B4"/>
    <w:rsid w:val="00430B8B"/>
    <w:rsid w:val="00430C27"/>
    <w:rsid w:val="00430C60"/>
    <w:rsid w:val="00430F59"/>
    <w:rsid w:val="00430FE2"/>
    <w:rsid w:val="00431170"/>
    <w:rsid w:val="004311AD"/>
    <w:rsid w:val="00431290"/>
    <w:rsid w:val="004312BC"/>
    <w:rsid w:val="004313DF"/>
    <w:rsid w:val="00431489"/>
    <w:rsid w:val="0043164A"/>
    <w:rsid w:val="0043165D"/>
    <w:rsid w:val="00431660"/>
    <w:rsid w:val="00431FEB"/>
    <w:rsid w:val="00432718"/>
    <w:rsid w:val="0043272C"/>
    <w:rsid w:val="004327AF"/>
    <w:rsid w:val="00432974"/>
    <w:rsid w:val="00432AB0"/>
    <w:rsid w:val="00432AFF"/>
    <w:rsid w:val="004330B8"/>
    <w:rsid w:val="00433367"/>
    <w:rsid w:val="0043358B"/>
    <w:rsid w:val="004335DB"/>
    <w:rsid w:val="004337A2"/>
    <w:rsid w:val="004339A5"/>
    <w:rsid w:val="00433C76"/>
    <w:rsid w:val="0043430B"/>
    <w:rsid w:val="00434397"/>
    <w:rsid w:val="0043457C"/>
    <w:rsid w:val="004345B9"/>
    <w:rsid w:val="004346D2"/>
    <w:rsid w:val="004348B0"/>
    <w:rsid w:val="00434AE6"/>
    <w:rsid w:val="00434BE7"/>
    <w:rsid w:val="00434EFD"/>
    <w:rsid w:val="00434F98"/>
    <w:rsid w:val="00435A29"/>
    <w:rsid w:val="00435D99"/>
    <w:rsid w:val="0043611F"/>
    <w:rsid w:val="00436587"/>
    <w:rsid w:val="00436A77"/>
    <w:rsid w:val="00436F9F"/>
    <w:rsid w:val="00437063"/>
    <w:rsid w:val="004372FA"/>
    <w:rsid w:val="004374F1"/>
    <w:rsid w:val="00437DBD"/>
    <w:rsid w:val="00437EA3"/>
    <w:rsid w:val="00437F32"/>
    <w:rsid w:val="00437FCC"/>
    <w:rsid w:val="00440001"/>
    <w:rsid w:val="00440770"/>
    <w:rsid w:val="004408E8"/>
    <w:rsid w:val="004408FA"/>
    <w:rsid w:val="00440A4B"/>
    <w:rsid w:val="00440BED"/>
    <w:rsid w:val="00441347"/>
    <w:rsid w:val="0044142C"/>
    <w:rsid w:val="00441464"/>
    <w:rsid w:val="0044194E"/>
    <w:rsid w:val="00441B09"/>
    <w:rsid w:val="00442084"/>
    <w:rsid w:val="00442379"/>
    <w:rsid w:val="0044237A"/>
    <w:rsid w:val="00442394"/>
    <w:rsid w:val="00442550"/>
    <w:rsid w:val="00442A62"/>
    <w:rsid w:val="0044306D"/>
    <w:rsid w:val="004430C5"/>
    <w:rsid w:val="004431E9"/>
    <w:rsid w:val="00443257"/>
    <w:rsid w:val="00443287"/>
    <w:rsid w:val="00443456"/>
    <w:rsid w:val="0044352B"/>
    <w:rsid w:val="00443B68"/>
    <w:rsid w:val="00443B95"/>
    <w:rsid w:val="004440A5"/>
    <w:rsid w:val="0044410C"/>
    <w:rsid w:val="004445BE"/>
    <w:rsid w:val="00444627"/>
    <w:rsid w:val="0044463C"/>
    <w:rsid w:val="00444946"/>
    <w:rsid w:val="00444AC5"/>
    <w:rsid w:val="00444D23"/>
    <w:rsid w:val="0044537B"/>
    <w:rsid w:val="00445835"/>
    <w:rsid w:val="00445884"/>
    <w:rsid w:val="00445A4D"/>
    <w:rsid w:val="00445AD4"/>
    <w:rsid w:val="00445D39"/>
    <w:rsid w:val="00445EC8"/>
    <w:rsid w:val="004461D0"/>
    <w:rsid w:val="004465FB"/>
    <w:rsid w:val="004469FE"/>
    <w:rsid w:val="00446CC4"/>
    <w:rsid w:val="00446E8A"/>
    <w:rsid w:val="004470BD"/>
    <w:rsid w:val="004470C6"/>
    <w:rsid w:val="004472E9"/>
    <w:rsid w:val="00447966"/>
    <w:rsid w:val="004479A6"/>
    <w:rsid w:val="00447E34"/>
    <w:rsid w:val="004503B9"/>
    <w:rsid w:val="004504DD"/>
    <w:rsid w:val="00450580"/>
    <w:rsid w:val="0045060E"/>
    <w:rsid w:val="00450E97"/>
    <w:rsid w:val="00450EE7"/>
    <w:rsid w:val="00451194"/>
    <w:rsid w:val="004511BA"/>
    <w:rsid w:val="004514C8"/>
    <w:rsid w:val="00451684"/>
    <w:rsid w:val="0045193F"/>
    <w:rsid w:val="00451949"/>
    <w:rsid w:val="00451DA0"/>
    <w:rsid w:val="00452216"/>
    <w:rsid w:val="00452256"/>
    <w:rsid w:val="004525D1"/>
    <w:rsid w:val="004529A7"/>
    <w:rsid w:val="00452E16"/>
    <w:rsid w:val="0045348B"/>
    <w:rsid w:val="0045353E"/>
    <w:rsid w:val="00453950"/>
    <w:rsid w:val="00453959"/>
    <w:rsid w:val="00453AD2"/>
    <w:rsid w:val="00453DAC"/>
    <w:rsid w:val="0045411B"/>
    <w:rsid w:val="004541E0"/>
    <w:rsid w:val="00454231"/>
    <w:rsid w:val="00454458"/>
    <w:rsid w:val="00454485"/>
    <w:rsid w:val="004544DB"/>
    <w:rsid w:val="00454958"/>
    <w:rsid w:val="00454C4C"/>
    <w:rsid w:val="004550C7"/>
    <w:rsid w:val="004553B6"/>
    <w:rsid w:val="00455761"/>
    <w:rsid w:val="004557B0"/>
    <w:rsid w:val="00455927"/>
    <w:rsid w:val="0045599B"/>
    <w:rsid w:val="00455D80"/>
    <w:rsid w:val="00456437"/>
    <w:rsid w:val="004565CF"/>
    <w:rsid w:val="00456627"/>
    <w:rsid w:val="0045664E"/>
    <w:rsid w:val="0045721B"/>
    <w:rsid w:val="00457269"/>
    <w:rsid w:val="00457692"/>
    <w:rsid w:val="00457D06"/>
    <w:rsid w:val="00457D64"/>
    <w:rsid w:val="00457EFF"/>
    <w:rsid w:val="00457F19"/>
    <w:rsid w:val="0046021A"/>
    <w:rsid w:val="004603A3"/>
    <w:rsid w:val="004603BA"/>
    <w:rsid w:val="0046048B"/>
    <w:rsid w:val="004604D3"/>
    <w:rsid w:val="004608C6"/>
    <w:rsid w:val="00460E89"/>
    <w:rsid w:val="0046129B"/>
    <w:rsid w:val="00461335"/>
    <w:rsid w:val="00461401"/>
    <w:rsid w:val="004615F0"/>
    <w:rsid w:val="00461650"/>
    <w:rsid w:val="00461928"/>
    <w:rsid w:val="00461C4D"/>
    <w:rsid w:val="004620C8"/>
    <w:rsid w:val="004620F4"/>
    <w:rsid w:val="0046248C"/>
    <w:rsid w:val="0046292A"/>
    <w:rsid w:val="00462DAF"/>
    <w:rsid w:val="00462DE7"/>
    <w:rsid w:val="004630F5"/>
    <w:rsid w:val="00463129"/>
    <w:rsid w:val="00463170"/>
    <w:rsid w:val="004632B3"/>
    <w:rsid w:val="00463378"/>
    <w:rsid w:val="00463BE7"/>
    <w:rsid w:val="00463CD7"/>
    <w:rsid w:val="00463E8D"/>
    <w:rsid w:val="004640F5"/>
    <w:rsid w:val="00464B90"/>
    <w:rsid w:val="00464D0A"/>
    <w:rsid w:val="004651A2"/>
    <w:rsid w:val="0046533E"/>
    <w:rsid w:val="00465363"/>
    <w:rsid w:val="004654E1"/>
    <w:rsid w:val="00465828"/>
    <w:rsid w:val="00465932"/>
    <w:rsid w:val="00465A9A"/>
    <w:rsid w:val="00465EFE"/>
    <w:rsid w:val="00466163"/>
    <w:rsid w:val="004662E2"/>
    <w:rsid w:val="0046630F"/>
    <w:rsid w:val="00466517"/>
    <w:rsid w:val="00466823"/>
    <w:rsid w:val="00466851"/>
    <w:rsid w:val="004669FE"/>
    <w:rsid w:val="00466C7F"/>
    <w:rsid w:val="0046700B"/>
    <w:rsid w:val="004670CC"/>
    <w:rsid w:val="004677B0"/>
    <w:rsid w:val="0046787D"/>
    <w:rsid w:val="004678C8"/>
    <w:rsid w:val="004678EE"/>
    <w:rsid w:val="00467DE1"/>
    <w:rsid w:val="004701F2"/>
    <w:rsid w:val="0047025D"/>
    <w:rsid w:val="004708D7"/>
    <w:rsid w:val="00470A0A"/>
    <w:rsid w:val="00470B98"/>
    <w:rsid w:val="00470CE4"/>
    <w:rsid w:val="0047167C"/>
    <w:rsid w:val="00471A92"/>
    <w:rsid w:val="00471F68"/>
    <w:rsid w:val="00471FC6"/>
    <w:rsid w:val="004721F1"/>
    <w:rsid w:val="0047241F"/>
    <w:rsid w:val="00472E61"/>
    <w:rsid w:val="004737C4"/>
    <w:rsid w:val="00473AD5"/>
    <w:rsid w:val="00473DFC"/>
    <w:rsid w:val="00473E7A"/>
    <w:rsid w:val="00474089"/>
    <w:rsid w:val="0047408D"/>
    <w:rsid w:val="00474219"/>
    <w:rsid w:val="0047439D"/>
    <w:rsid w:val="00474977"/>
    <w:rsid w:val="00474A19"/>
    <w:rsid w:val="00474A25"/>
    <w:rsid w:val="00474CAD"/>
    <w:rsid w:val="00474CFD"/>
    <w:rsid w:val="00474F17"/>
    <w:rsid w:val="00474F18"/>
    <w:rsid w:val="00474FCB"/>
    <w:rsid w:val="004750E6"/>
    <w:rsid w:val="00475144"/>
    <w:rsid w:val="004751B2"/>
    <w:rsid w:val="0047570A"/>
    <w:rsid w:val="00475A6F"/>
    <w:rsid w:val="00475C0F"/>
    <w:rsid w:val="00475DC5"/>
    <w:rsid w:val="004760EE"/>
    <w:rsid w:val="004761F1"/>
    <w:rsid w:val="004764F2"/>
    <w:rsid w:val="00476E12"/>
    <w:rsid w:val="00477039"/>
    <w:rsid w:val="00477101"/>
    <w:rsid w:val="004771C7"/>
    <w:rsid w:val="004772FF"/>
    <w:rsid w:val="00477304"/>
    <w:rsid w:val="0047736D"/>
    <w:rsid w:val="004777B1"/>
    <w:rsid w:val="004777E4"/>
    <w:rsid w:val="004779B9"/>
    <w:rsid w:val="00477F12"/>
    <w:rsid w:val="004800AD"/>
    <w:rsid w:val="00480360"/>
    <w:rsid w:val="0048037C"/>
    <w:rsid w:val="00480A4B"/>
    <w:rsid w:val="0048105C"/>
    <w:rsid w:val="00481184"/>
    <w:rsid w:val="004811E9"/>
    <w:rsid w:val="00481591"/>
    <w:rsid w:val="00481722"/>
    <w:rsid w:val="00481730"/>
    <w:rsid w:val="00481900"/>
    <w:rsid w:val="00481A6F"/>
    <w:rsid w:val="00481BC4"/>
    <w:rsid w:val="00481F90"/>
    <w:rsid w:val="0048248D"/>
    <w:rsid w:val="0048270A"/>
    <w:rsid w:val="00482741"/>
    <w:rsid w:val="00482A86"/>
    <w:rsid w:val="00482B28"/>
    <w:rsid w:val="00482F0D"/>
    <w:rsid w:val="004830D9"/>
    <w:rsid w:val="0048339A"/>
    <w:rsid w:val="00483A28"/>
    <w:rsid w:val="00483E53"/>
    <w:rsid w:val="00484092"/>
    <w:rsid w:val="00484936"/>
    <w:rsid w:val="00484B61"/>
    <w:rsid w:val="00484B99"/>
    <w:rsid w:val="00484C0C"/>
    <w:rsid w:val="00484C13"/>
    <w:rsid w:val="00485109"/>
    <w:rsid w:val="0048548C"/>
    <w:rsid w:val="00485632"/>
    <w:rsid w:val="0048578F"/>
    <w:rsid w:val="00485815"/>
    <w:rsid w:val="00485929"/>
    <w:rsid w:val="004859AF"/>
    <w:rsid w:val="004859B1"/>
    <w:rsid w:val="00485E64"/>
    <w:rsid w:val="0048602C"/>
    <w:rsid w:val="00486202"/>
    <w:rsid w:val="004867C3"/>
    <w:rsid w:val="00486DD1"/>
    <w:rsid w:val="00487849"/>
    <w:rsid w:val="004878CC"/>
    <w:rsid w:val="00487A9D"/>
    <w:rsid w:val="00487BFE"/>
    <w:rsid w:val="00487FFC"/>
    <w:rsid w:val="004900EB"/>
    <w:rsid w:val="0049013D"/>
    <w:rsid w:val="0049016A"/>
    <w:rsid w:val="004904E7"/>
    <w:rsid w:val="00490601"/>
    <w:rsid w:val="004909EE"/>
    <w:rsid w:val="00490A56"/>
    <w:rsid w:val="00490E7B"/>
    <w:rsid w:val="00490ED8"/>
    <w:rsid w:val="00490EE1"/>
    <w:rsid w:val="004910D4"/>
    <w:rsid w:val="004911F5"/>
    <w:rsid w:val="00491212"/>
    <w:rsid w:val="00491335"/>
    <w:rsid w:val="00491510"/>
    <w:rsid w:val="0049153D"/>
    <w:rsid w:val="004916EF"/>
    <w:rsid w:val="00491769"/>
    <w:rsid w:val="00491822"/>
    <w:rsid w:val="004918C5"/>
    <w:rsid w:val="00492657"/>
    <w:rsid w:val="004927C0"/>
    <w:rsid w:val="00492D3D"/>
    <w:rsid w:val="00493345"/>
    <w:rsid w:val="004933AC"/>
    <w:rsid w:val="004933DB"/>
    <w:rsid w:val="004934C7"/>
    <w:rsid w:val="00493C1C"/>
    <w:rsid w:val="00493DB1"/>
    <w:rsid w:val="00493F05"/>
    <w:rsid w:val="00494492"/>
    <w:rsid w:val="00494C63"/>
    <w:rsid w:val="00494E0D"/>
    <w:rsid w:val="00494F5C"/>
    <w:rsid w:val="0049500C"/>
    <w:rsid w:val="0049501C"/>
    <w:rsid w:val="00495280"/>
    <w:rsid w:val="00495302"/>
    <w:rsid w:val="00495543"/>
    <w:rsid w:val="004958F2"/>
    <w:rsid w:val="00495AC8"/>
    <w:rsid w:val="00495B0E"/>
    <w:rsid w:val="00495B5B"/>
    <w:rsid w:val="00495D18"/>
    <w:rsid w:val="00495D3C"/>
    <w:rsid w:val="0049611A"/>
    <w:rsid w:val="004965CA"/>
    <w:rsid w:val="004966CE"/>
    <w:rsid w:val="00496BFE"/>
    <w:rsid w:val="00497032"/>
    <w:rsid w:val="0049738F"/>
    <w:rsid w:val="00497801"/>
    <w:rsid w:val="0049786D"/>
    <w:rsid w:val="00497B34"/>
    <w:rsid w:val="00497F12"/>
    <w:rsid w:val="00497F82"/>
    <w:rsid w:val="004A0065"/>
    <w:rsid w:val="004A0128"/>
    <w:rsid w:val="004A066A"/>
    <w:rsid w:val="004A0853"/>
    <w:rsid w:val="004A0AD7"/>
    <w:rsid w:val="004A0C6F"/>
    <w:rsid w:val="004A0CFB"/>
    <w:rsid w:val="004A0E25"/>
    <w:rsid w:val="004A10B2"/>
    <w:rsid w:val="004A12BD"/>
    <w:rsid w:val="004A15A2"/>
    <w:rsid w:val="004A15E3"/>
    <w:rsid w:val="004A17BB"/>
    <w:rsid w:val="004A182D"/>
    <w:rsid w:val="004A1905"/>
    <w:rsid w:val="004A19EA"/>
    <w:rsid w:val="004A1A5B"/>
    <w:rsid w:val="004A1A7D"/>
    <w:rsid w:val="004A1EA9"/>
    <w:rsid w:val="004A2340"/>
    <w:rsid w:val="004A2529"/>
    <w:rsid w:val="004A280D"/>
    <w:rsid w:val="004A2A1B"/>
    <w:rsid w:val="004A2AF1"/>
    <w:rsid w:val="004A2C39"/>
    <w:rsid w:val="004A3076"/>
    <w:rsid w:val="004A30C2"/>
    <w:rsid w:val="004A3174"/>
    <w:rsid w:val="004A3184"/>
    <w:rsid w:val="004A35B0"/>
    <w:rsid w:val="004A3850"/>
    <w:rsid w:val="004A38C9"/>
    <w:rsid w:val="004A390D"/>
    <w:rsid w:val="004A39DC"/>
    <w:rsid w:val="004A3A12"/>
    <w:rsid w:val="004A3A9A"/>
    <w:rsid w:val="004A3B4C"/>
    <w:rsid w:val="004A3F88"/>
    <w:rsid w:val="004A4051"/>
    <w:rsid w:val="004A418C"/>
    <w:rsid w:val="004A42AC"/>
    <w:rsid w:val="004A42BE"/>
    <w:rsid w:val="004A4869"/>
    <w:rsid w:val="004A488D"/>
    <w:rsid w:val="004A4992"/>
    <w:rsid w:val="004A4B33"/>
    <w:rsid w:val="004A4CEE"/>
    <w:rsid w:val="004A4F82"/>
    <w:rsid w:val="004A5084"/>
    <w:rsid w:val="004A5598"/>
    <w:rsid w:val="004A55D1"/>
    <w:rsid w:val="004A56B0"/>
    <w:rsid w:val="004A5A91"/>
    <w:rsid w:val="004A5BD7"/>
    <w:rsid w:val="004A5EB7"/>
    <w:rsid w:val="004A5EEA"/>
    <w:rsid w:val="004A61EE"/>
    <w:rsid w:val="004A65B8"/>
    <w:rsid w:val="004A65BF"/>
    <w:rsid w:val="004A664E"/>
    <w:rsid w:val="004A66BB"/>
    <w:rsid w:val="004A6C75"/>
    <w:rsid w:val="004A6C8D"/>
    <w:rsid w:val="004A6DB4"/>
    <w:rsid w:val="004A6EB2"/>
    <w:rsid w:val="004A7141"/>
    <w:rsid w:val="004A7212"/>
    <w:rsid w:val="004A73D5"/>
    <w:rsid w:val="004A755A"/>
    <w:rsid w:val="004A7952"/>
    <w:rsid w:val="004A7A4E"/>
    <w:rsid w:val="004B0071"/>
    <w:rsid w:val="004B007B"/>
    <w:rsid w:val="004B037C"/>
    <w:rsid w:val="004B0389"/>
    <w:rsid w:val="004B03A3"/>
    <w:rsid w:val="004B03A4"/>
    <w:rsid w:val="004B0886"/>
    <w:rsid w:val="004B0BAD"/>
    <w:rsid w:val="004B0EB4"/>
    <w:rsid w:val="004B1544"/>
    <w:rsid w:val="004B157D"/>
    <w:rsid w:val="004B18D5"/>
    <w:rsid w:val="004B1A13"/>
    <w:rsid w:val="004B1C30"/>
    <w:rsid w:val="004B1EF8"/>
    <w:rsid w:val="004B1F87"/>
    <w:rsid w:val="004B2870"/>
    <w:rsid w:val="004B2C91"/>
    <w:rsid w:val="004B2D8E"/>
    <w:rsid w:val="004B31FF"/>
    <w:rsid w:val="004B3393"/>
    <w:rsid w:val="004B3468"/>
    <w:rsid w:val="004B3974"/>
    <w:rsid w:val="004B3FF4"/>
    <w:rsid w:val="004B44E7"/>
    <w:rsid w:val="004B4695"/>
    <w:rsid w:val="004B472A"/>
    <w:rsid w:val="004B4751"/>
    <w:rsid w:val="004B4797"/>
    <w:rsid w:val="004B4F84"/>
    <w:rsid w:val="004B5703"/>
    <w:rsid w:val="004B571B"/>
    <w:rsid w:val="004B59A0"/>
    <w:rsid w:val="004B669B"/>
    <w:rsid w:val="004B68A1"/>
    <w:rsid w:val="004B6AB3"/>
    <w:rsid w:val="004B6B11"/>
    <w:rsid w:val="004B6C85"/>
    <w:rsid w:val="004B6E1C"/>
    <w:rsid w:val="004B6F35"/>
    <w:rsid w:val="004B725B"/>
    <w:rsid w:val="004B72A1"/>
    <w:rsid w:val="004B7542"/>
    <w:rsid w:val="004B766A"/>
    <w:rsid w:val="004B78D5"/>
    <w:rsid w:val="004B7C3E"/>
    <w:rsid w:val="004B7DF7"/>
    <w:rsid w:val="004B7F61"/>
    <w:rsid w:val="004C024F"/>
    <w:rsid w:val="004C03D8"/>
    <w:rsid w:val="004C07AA"/>
    <w:rsid w:val="004C083B"/>
    <w:rsid w:val="004C096D"/>
    <w:rsid w:val="004C0983"/>
    <w:rsid w:val="004C0AF9"/>
    <w:rsid w:val="004C0C22"/>
    <w:rsid w:val="004C0CD0"/>
    <w:rsid w:val="004C1223"/>
    <w:rsid w:val="004C1506"/>
    <w:rsid w:val="004C1BF7"/>
    <w:rsid w:val="004C1CA9"/>
    <w:rsid w:val="004C1CB8"/>
    <w:rsid w:val="004C2226"/>
    <w:rsid w:val="004C230A"/>
    <w:rsid w:val="004C24A2"/>
    <w:rsid w:val="004C2C14"/>
    <w:rsid w:val="004C2F6C"/>
    <w:rsid w:val="004C3552"/>
    <w:rsid w:val="004C367E"/>
    <w:rsid w:val="004C378B"/>
    <w:rsid w:val="004C38CC"/>
    <w:rsid w:val="004C3E57"/>
    <w:rsid w:val="004C4161"/>
    <w:rsid w:val="004C456B"/>
    <w:rsid w:val="004C4738"/>
    <w:rsid w:val="004C49B9"/>
    <w:rsid w:val="004C51D4"/>
    <w:rsid w:val="004C59C8"/>
    <w:rsid w:val="004C5AAC"/>
    <w:rsid w:val="004C5AFE"/>
    <w:rsid w:val="004C5D3E"/>
    <w:rsid w:val="004C5EB3"/>
    <w:rsid w:val="004C5FA4"/>
    <w:rsid w:val="004C6937"/>
    <w:rsid w:val="004C69A9"/>
    <w:rsid w:val="004C6D15"/>
    <w:rsid w:val="004C6DF7"/>
    <w:rsid w:val="004C7350"/>
    <w:rsid w:val="004C75E0"/>
    <w:rsid w:val="004C7620"/>
    <w:rsid w:val="004C795A"/>
    <w:rsid w:val="004C795C"/>
    <w:rsid w:val="004C7962"/>
    <w:rsid w:val="004C7A66"/>
    <w:rsid w:val="004C7AFE"/>
    <w:rsid w:val="004D039F"/>
    <w:rsid w:val="004D0675"/>
    <w:rsid w:val="004D0B20"/>
    <w:rsid w:val="004D0EA4"/>
    <w:rsid w:val="004D16C8"/>
    <w:rsid w:val="004D18ED"/>
    <w:rsid w:val="004D1A4F"/>
    <w:rsid w:val="004D1D25"/>
    <w:rsid w:val="004D1F60"/>
    <w:rsid w:val="004D23FA"/>
    <w:rsid w:val="004D24F0"/>
    <w:rsid w:val="004D2771"/>
    <w:rsid w:val="004D2B36"/>
    <w:rsid w:val="004D2D30"/>
    <w:rsid w:val="004D2F26"/>
    <w:rsid w:val="004D308D"/>
    <w:rsid w:val="004D3711"/>
    <w:rsid w:val="004D39DF"/>
    <w:rsid w:val="004D3A34"/>
    <w:rsid w:val="004D3BA4"/>
    <w:rsid w:val="004D3BBA"/>
    <w:rsid w:val="004D3BD5"/>
    <w:rsid w:val="004D3DC4"/>
    <w:rsid w:val="004D3F1B"/>
    <w:rsid w:val="004D4178"/>
    <w:rsid w:val="004D4924"/>
    <w:rsid w:val="004D4AFD"/>
    <w:rsid w:val="004D4CC9"/>
    <w:rsid w:val="004D4E58"/>
    <w:rsid w:val="004D4EB3"/>
    <w:rsid w:val="004D4F37"/>
    <w:rsid w:val="004D5074"/>
    <w:rsid w:val="004D5141"/>
    <w:rsid w:val="004D52B5"/>
    <w:rsid w:val="004D5386"/>
    <w:rsid w:val="004D55A4"/>
    <w:rsid w:val="004D5C3C"/>
    <w:rsid w:val="004D5CC0"/>
    <w:rsid w:val="004D69EE"/>
    <w:rsid w:val="004D6D5F"/>
    <w:rsid w:val="004D6EB6"/>
    <w:rsid w:val="004D718B"/>
    <w:rsid w:val="004D718E"/>
    <w:rsid w:val="004D74B6"/>
    <w:rsid w:val="004D76C8"/>
    <w:rsid w:val="004D7794"/>
    <w:rsid w:val="004D793D"/>
    <w:rsid w:val="004D79E1"/>
    <w:rsid w:val="004D7DF9"/>
    <w:rsid w:val="004D7FC3"/>
    <w:rsid w:val="004E00FE"/>
    <w:rsid w:val="004E011D"/>
    <w:rsid w:val="004E0C43"/>
    <w:rsid w:val="004E0C75"/>
    <w:rsid w:val="004E0E00"/>
    <w:rsid w:val="004E0E38"/>
    <w:rsid w:val="004E1525"/>
    <w:rsid w:val="004E1677"/>
    <w:rsid w:val="004E1BE2"/>
    <w:rsid w:val="004E1DB4"/>
    <w:rsid w:val="004E221C"/>
    <w:rsid w:val="004E2299"/>
    <w:rsid w:val="004E2318"/>
    <w:rsid w:val="004E2425"/>
    <w:rsid w:val="004E2455"/>
    <w:rsid w:val="004E282E"/>
    <w:rsid w:val="004E28B7"/>
    <w:rsid w:val="004E2C54"/>
    <w:rsid w:val="004E2E8A"/>
    <w:rsid w:val="004E2F20"/>
    <w:rsid w:val="004E2F9C"/>
    <w:rsid w:val="004E3176"/>
    <w:rsid w:val="004E32F0"/>
    <w:rsid w:val="004E34DA"/>
    <w:rsid w:val="004E34E6"/>
    <w:rsid w:val="004E36BF"/>
    <w:rsid w:val="004E3781"/>
    <w:rsid w:val="004E3936"/>
    <w:rsid w:val="004E3C21"/>
    <w:rsid w:val="004E3D49"/>
    <w:rsid w:val="004E4191"/>
    <w:rsid w:val="004E43F7"/>
    <w:rsid w:val="004E446E"/>
    <w:rsid w:val="004E45BF"/>
    <w:rsid w:val="004E4799"/>
    <w:rsid w:val="004E4806"/>
    <w:rsid w:val="004E48B2"/>
    <w:rsid w:val="004E4F24"/>
    <w:rsid w:val="004E50E7"/>
    <w:rsid w:val="004E5515"/>
    <w:rsid w:val="004E55E6"/>
    <w:rsid w:val="004E5A91"/>
    <w:rsid w:val="004E5ADA"/>
    <w:rsid w:val="004E5F74"/>
    <w:rsid w:val="004E5FB6"/>
    <w:rsid w:val="004E6070"/>
    <w:rsid w:val="004E6241"/>
    <w:rsid w:val="004E6286"/>
    <w:rsid w:val="004E63C2"/>
    <w:rsid w:val="004E652B"/>
    <w:rsid w:val="004E6925"/>
    <w:rsid w:val="004E69AC"/>
    <w:rsid w:val="004E6A1A"/>
    <w:rsid w:val="004E73FC"/>
    <w:rsid w:val="004E79E8"/>
    <w:rsid w:val="004F038F"/>
    <w:rsid w:val="004F0CEF"/>
    <w:rsid w:val="004F0D87"/>
    <w:rsid w:val="004F0E09"/>
    <w:rsid w:val="004F0F04"/>
    <w:rsid w:val="004F104A"/>
    <w:rsid w:val="004F1076"/>
    <w:rsid w:val="004F10F3"/>
    <w:rsid w:val="004F130D"/>
    <w:rsid w:val="004F1429"/>
    <w:rsid w:val="004F155C"/>
    <w:rsid w:val="004F17C2"/>
    <w:rsid w:val="004F19B9"/>
    <w:rsid w:val="004F227F"/>
    <w:rsid w:val="004F246A"/>
    <w:rsid w:val="004F2584"/>
    <w:rsid w:val="004F265A"/>
    <w:rsid w:val="004F295F"/>
    <w:rsid w:val="004F2B75"/>
    <w:rsid w:val="004F2D51"/>
    <w:rsid w:val="004F308F"/>
    <w:rsid w:val="004F320D"/>
    <w:rsid w:val="004F380A"/>
    <w:rsid w:val="004F39B1"/>
    <w:rsid w:val="004F39E9"/>
    <w:rsid w:val="004F3B03"/>
    <w:rsid w:val="004F3DA1"/>
    <w:rsid w:val="004F437B"/>
    <w:rsid w:val="004F44AB"/>
    <w:rsid w:val="004F465E"/>
    <w:rsid w:val="004F468B"/>
    <w:rsid w:val="004F46EF"/>
    <w:rsid w:val="004F487C"/>
    <w:rsid w:val="004F4A10"/>
    <w:rsid w:val="004F4BEE"/>
    <w:rsid w:val="004F56E0"/>
    <w:rsid w:val="004F5B77"/>
    <w:rsid w:val="004F5C9E"/>
    <w:rsid w:val="004F5F44"/>
    <w:rsid w:val="004F5F6B"/>
    <w:rsid w:val="004F6803"/>
    <w:rsid w:val="004F689F"/>
    <w:rsid w:val="004F71E8"/>
    <w:rsid w:val="004F726B"/>
    <w:rsid w:val="004F7289"/>
    <w:rsid w:val="004F7357"/>
    <w:rsid w:val="004F77BD"/>
    <w:rsid w:val="004F79F7"/>
    <w:rsid w:val="004F7EF6"/>
    <w:rsid w:val="0050058C"/>
    <w:rsid w:val="00500663"/>
    <w:rsid w:val="00500A8D"/>
    <w:rsid w:val="00501085"/>
    <w:rsid w:val="0050133E"/>
    <w:rsid w:val="0050134F"/>
    <w:rsid w:val="00501360"/>
    <w:rsid w:val="00501368"/>
    <w:rsid w:val="00501518"/>
    <w:rsid w:val="00501538"/>
    <w:rsid w:val="00501686"/>
    <w:rsid w:val="00501A70"/>
    <w:rsid w:val="00501C8D"/>
    <w:rsid w:val="00501D2E"/>
    <w:rsid w:val="00502060"/>
    <w:rsid w:val="00502AD1"/>
    <w:rsid w:val="00502C96"/>
    <w:rsid w:val="00502CED"/>
    <w:rsid w:val="00502D17"/>
    <w:rsid w:val="00503496"/>
    <w:rsid w:val="00503598"/>
    <w:rsid w:val="00503647"/>
    <w:rsid w:val="00503AE8"/>
    <w:rsid w:val="00503C54"/>
    <w:rsid w:val="00503CAB"/>
    <w:rsid w:val="00503E2E"/>
    <w:rsid w:val="00503E82"/>
    <w:rsid w:val="0050410F"/>
    <w:rsid w:val="005042D4"/>
    <w:rsid w:val="00504AAB"/>
    <w:rsid w:val="00504DAD"/>
    <w:rsid w:val="00505363"/>
    <w:rsid w:val="00505663"/>
    <w:rsid w:val="005057A5"/>
    <w:rsid w:val="00505D08"/>
    <w:rsid w:val="00505FE2"/>
    <w:rsid w:val="00506257"/>
    <w:rsid w:val="00506BC6"/>
    <w:rsid w:val="00506E38"/>
    <w:rsid w:val="00506FDF"/>
    <w:rsid w:val="005072A7"/>
    <w:rsid w:val="0050745F"/>
    <w:rsid w:val="0050762F"/>
    <w:rsid w:val="00507785"/>
    <w:rsid w:val="00507D44"/>
    <w:rsid w:val="00507D8B"/>
    <w:rsid w:val="00507DC7"/>
    <w:rsid w:val="00507F3A"/>
    <w:rsid w:val="0051010E"/>
    <w:rsid w:val="005102FB"/>
    <w:rsid w:val="005103A6"/>
    <w:rsid w:val="005103EC"/>
    <w:rsid w:val="00510486"/>
    <w:rsid w:val="00510C8B"/>
    <w:rsid w:val="00510CB7"/>
    <w:rsid w:val="00510F0E"/>
    <w:rsid w:val="005110F9"/>
    <w:rsid w:val="0051164B"/>
    <w:rsid w:val="005116D5"/>
    <w:rsid w:val="005116F9"/>
    <w:rsid w:val="005117A6"/>
    <w:rsid w:val="00511B30"/>
    <w:rsid w:val="00511CF3"/>
    <w:rsid w:val="00511E6D"/>
    <w:rsid w:val="00511EA0"/>
    <w:rsid w:val="00512017"/>
    <w:rsid w:val="005120B2"/>
    <w:rsid w:val="005124A1"/>
    <w:rsid w:val="005124B2"/>
    <w:rsid w:val="00512648"/>
    <w:rsid w:val="00512804"/>
    <w:rsid w:val="005128A7"/>
    <w:rsid w:val="00512B17"/>
    <w:rsid w:val="00512B6A"/>
    <w:rsid w:val="00512C2A"/>
    <w:rsid w:val="0051313C"/>
    <w:rsid w:val="0051338F"/>
    <w:rsid w:val="00513590"/>
    <w:rsid w:val="00513945"/>
    <w:rsid w:val="00513A32"/>
    <w:rsid w:val="00513B9C"/>
    <w:rsid w:val="00513BA6"/>
    <w:rsid w:val="00513C58"/>
    <w:rsid w:val="005144E7"/>
    <w:rsid w:val="00514843"/>
    <w:rsid w:val="00514880"/>
    <w:rsid w:val="005149C4"/>
    <w:rsid w:val="00514A93"/>
    <w:rsid w:val="00514B64"/>
    <w:rsid w:val="00514D16"/>
    <w:rsid w:val="00514F47"/>
    <w:rsid w:val="00515081"/>
    <w:rsid w:val="00515463"/>
    <w:rsid w:val="005155AE"/>
    <w:rsid w:val="0051567D"/>
    <w:rsid w:val="00515E7D"/>
    <w:rsid w:val="00516025"/>
    <w:rsid w:val="005165E3"/>
    <w:rsid w:val="00516CD7"/>
    <w:rsid w:val="00516EAF"/>
    <w:rsid w:val="00516F23"/>
    <w:rsid w:val="00516F93"/>
    <w:rsid w:val="00516FF1"/>
    <w:rsid w:val="005170E9"/>
    <w:rsid w:val="005170EE"/>
    <w:rsid w:val="0051718C"/>
    <w:rsid w:val="005171C7"/>
    <w:rsid w:val="005172F1"/>
    <w:rsid w:val="0051732E"/>
    <w:rsid w:val="005177FB"/>
    <w:rsid w:val="00517B22"/>
    <w:rsid w:val="00520116"/>
    <w:rsid w:val="00520262"/>
    <w:rsid w:val="005205B7"/>
    <w:rsid w:val="00520659"/>
    <w:rsid w:val="00520B1B"/>
    <w:rsid w:val="00520C09"/>
    <w:rsid w:val="00520DAE"/>
    <w:rsid w:val="00520FD9"/>
    <w:rsid w:val="0052140B"/>
    <w:rsid w:val="00521467"/>
    <w:rsid w:val="005214F9"/>
    <w:rsid w:val="00521527"/>
    <w:rsid w:val="0052158B"/>
    <w:rsid w:val="005217D5"/>
    <w:rsid w:val="00521CC1"/>
    <w:rsid w:val="00521E37"/>
    <w:rsid w:val="00521F54"/>
    <w:rsid w:val="005222EC"/>
    <w:rsid w:val="005222FF"/>
    <w:rsid w:val="005223BD"/>
    <w:rsid w:val="005223F1"/>
    <w:rsid w:val="005225D3"/>
    <w:rsid w:val="00522C2D"/>
    <w:rsid w:val="00522E18"/>
    <w:rsid w:val="00522FBF"/>
    <w:rsid w:val="005235C7"/>
    <w:rsid w:val="0052370A"/>
    <w:rsid w:val="00523F23"/>
    <w:rsid w:val="00524099"/>
    <w:rsid w:val="0052431D"/>
    <w:rsid w:val="00524339"/>
    <w:rsid w:val="00524379"/>
    <w:rsid w:val="00524382"/>
    <w:rsid w:val="005243C1"/>
    <w:rsid w:val="005243C7"/>
    <w:rsid w:val="005247C1"/>
    <w:rsid w:val="005248BC"/>
    <w:rsid w:val="00525217"/>
    <w:rsid w:val="00525459"/>
    <w:rsid w:val="00525526"/>
    <w:rsid w:val="005256EC"/>
    <w:rsid w:val="00525D31"/>
    <w:rsid w:val="00526026"/>
    <w:rsid w:val="005261C8"/>
    <w:rsid w:val="00526987"/>
    <w:rsid w:val="00526FFA"/>
    <w:rsid w:val="00527372"/>
    <w:rsid w:val="005273E6"/>
    <w:rsid w:val="00527423"/>
    <w:rsid w:val="0052759A"/>
    <w:rsid w:val="005276B0"/>
    <w:rsid w:val="00527770"/>
    <w:rsid w:val="00527791"/>
    <w:rsid w:val="005277FB"/>
    <w:rsid w:val="00527C8F"/>
    <w:rsid w:val="00527CFD"/>
    <w:rsid w:val="00527D30"/>
    <w:rsid w:val="00527DD8"/>
    <w:rsid w:val="00530167"/>
    <w:rsid w:val="005301C2"/>
    <w:rsid w:val="00530450"/>
    <w:rsid w:val="00530659"/>
    <w:rsid w:val="00530898"/>
    <w:rsid w:val="00530D38"/>
    <w:rsid w:val="00530ECD"/>
    <w:rsid w:val="00530F1E"/>
    <w:rsid w:val="00531012"/>
    <w:rsid w:val="00531243"/>
    <w:rsid w:val="005312E8"/>
    <w:rsid w:val="005312FD"/>
    <w:rsid w:val="00531398"/>
    <w:rsid w:val="00531764"/>
    <w:rsid w:val="005318E9"/>
    <w:rsid w:val="00531E20"/>
    <w:rsid w:val="0053202A"/>
    <w:rsid w:val="00532114"/>
    <w:rsid w:val="005322F0"/>
    <w:rsid w:val="00532548"/>
    <w:rsid w:val="00532DD6"/>
    <w:rsid w:val="00532FF5"/>
    <w:rsid w:val="0053321E"/>
    <w:rsid w:val="005333F7"/>
    <w:rsid w:val="00533562"/>
    <w:rsid w:val="0053388D"/>
    <w:rsid w:val="005339A6"/>
    <w:rsid w:val="005339C4"/>
    <w:rsid w:val="00533DC0"/>
    <w:rsid w:val="00533EAE"/>
    <w:rsid w:val="00534063"/>
    <w:rsid w:val="0053414B"/>
    <w:rsid w:val="005341DB"/>
    <w:rsid w:val="0053455E"/>
    <w:rsid w:val="005347BC"/>
    <w:rsid w:val="00535052"/>
    <w:rsid w:val="00535084"/>
    <w:rsid w:val="00535087"/>
    <w:rsid w:val="00535600"/>
    <w:rsid w:val="005358C8"/>
    <w:rsid w:val="005359EC"/>
    <w:rsid w:val="005360C9"/>
    <w:rsid w:val="0053636E"/>
    <w:rsid w:val="0053640E"/>
    <w:rsid w:val="00536523"/>
    <w:rsid w:val="00536800"/>
    <w:rsid w:val="00536879"/>
    <w:rsid w:val="0053698B"/>
    <w:rsid w:val="00536AB0"/>
    <w:rsid w:val="00536AEF"/>
    <w:rsid w:val="00536CF4"/>
    <w:rsid w:val="00536D89"/>
    <w:rsid w:val="005376AA"/>
    <w:rsid w:val="00537780"/>
    <w:rsid w:val="00537A2C"/>
    <w:rsid w:val="00537D65"/>
    <w:rsid w:val="00537DCF"/>
    <w:rsid w:val="00537FC3"/>
    <w:rsid w:val="00540029"/>
    <w:rsid w:val="005406C6"/>
    <w:rsid w:val="00540A2D"/>
    <w:rsid w:val="00540BDB"/>
    <w:rsid w:val="00540E9F"/>
    <w:rsid w:val="00540F72"/>
    <w:rsid w:val="00540FEF"/>
    <w:rsid w:val="005411DF"/>
    <w:rsid w:val="005411EC"/>
    <w:rsid w:val="00541413"/>
    <w:rsid w:val="005414CE"/>
    <w:rsid w:val="0054179C"/>
    <w:rsid w:val="005418FB"/>
    <w:rsid w:val="005419E3"/>
    <w:rsid w:val="00541B4C"/>
    <w:rsid w:val="00541CA2"/>
    <w:rsid w:val="00541D9A"/>
    <w:rsid w:val="00541F26"/>
    <w:rsid w:val="00542173"/>
    <w:rsid w:val="00542192"/>
    <w:rsid w:val="005421FF"/>
    <w:rsid w:val="005423A7"/>
    <w:rsid w:val="00542657"/>
    <w:rsid w:val="00542773"/>
    <w:rsid w:val="00542906"/>
    <w:rsid w:val="00542BBA"/>
    <w:rsid w:val="00542CD9"/>
    <w:rsid w:val="00542D6B"/>
    <w:rsid w:val="00543219"/>
    <w:rsid w:val="005432D8"/>
    <w:rsid w:val="00543561"/>
    <w:rsid w:val="0054383C"/>
    <w:rsid w:val="005439DF"/>
    <w:rsid w:val="005439F2"/>
    <w:rsid w:val="00543A15"/>
    <w:rsid w:val="00543A3E"/>
    <w:rsid w:val="00543F3E"/>
    <w:rsid w:val="00543F49"/>
    <w:rsid w:val="00543F69"/>
    <w:rsid w:val="00543FCD"/>
    <w:rsid w:val="00544067"/>
    <w:rsid w:val="005442B1"/>
    <w:rsid w:val="005443E1"/>
    <w:rsid w:val="00544589"/>
    <w:rsid w:val="00544701"/>
    <w:rsid w:val="00544820"/>
    <w:rsid w:val="00544CD6"/>
    <w:rsid w:val="00544D6B"/>
    <w:rsid w:val="005455D7"/>
    <w:rsid w:val="005458AB"/>
    <w:rsid w:val="00545D5D"/>
    <w:rsid w:val="00545F09"/>
    <w:rsid w:val="005461B2"/>
    <w:rsid w:val="00546238"/>
    <w:rsid w:val="0054646F"/>
    <w:rsid w:val="005466A1"/>
    <w:rsid w:val="00546702"/>
    <w:rsid w:val="0054677C"/>
    <w:rsid w:val="005467D5"/>
    <w:rsid w:val="00546AB2"/>
    <w:rsid w:val="00546B6D"/>
    <w:rsid w:val="00546E12"/>
    <w:rsid w:val="0054701F"/>
    <w:rsid w:val="005471E8"/>
    <w:rsid w:val="00547382"/>
    <w:rsid w:val="0054741B"/>
    <w:rsid w:val="00547531"/>
    <w:rsid w:val="00547618"/>
    <w:rsid w:val="0054783E"/>
    <w:rsid w:val="0054785F"/>
    <w:rsid w:val="00547ABC"/>
    <w:rsid w:val="00547C45"/>
    <w:rsid w:val="00547F9B"/>
    <w:rsid w:val="00547FF2"/>
    <w:rsid w:val="0055009B"/>
    <w:rsid w:val="005501F7"/>
    <w:rsid w:val="00550342"/>
    <w:rsid w:val="00550959"/>
    <w:rsid w:val="00550BF8"/>
    <w:rsid w:val="00550F14"/>
    <w:rsid w:val="00550FDB"/>
    <w:rsid w:val="005513D1"/>
    <w:rsid w:val="005513E7"/>
    <w:rsid w:val="00551421"/>
    <w:rsid w:val="00551447"/>
    <w:rsid w:val="00551494"/>
    <w:rsid w:val="00551659"/>
    <w:rsid w:val="00551842"/>
    <w:rsid w:val="0055194A"/>
    <w:rsid w:val="00551C35"/>
    <w:rsid w:val="00551E7B"/>
    <w:rsid w:val="0055203D"/>
    <w:rsid w:val="005524A3"/>
    <w:rsid w:val="00552797"/>
    <w:rsid w:val="00552C43"/>
    <w:rsid w:val="00553269"/>
    <w:rsid w:val="0055360E"/>
    <w:rsid w:val="00553BFC"/>
    <w:rsid w:val="00553D82"/>
    <w:rsid w:val="0055435E"/>
    <w:rsid w:val="0055472C"/>
    <w:rsid w:val="005548E5"/>
    <w:rsid w:val="00554B3E"/>
    <w:rsid w:val="00555010"/>
    <w:rsid w:val="00555274"/>
    <w:rsid w:val="00555370"/>
    <w:rsid w:val="005557AE"/>
    <w:rsid w:val="0055582B"/>
    <w:rsid w:val="005558B8"/>
    <w:rsid w:val="00555F29"/>
    <w:rsid w:val="00555FB7"/>
    <w:rsid w:val="005561FD"/>
    <w:rsid w:val="005565E3"/>
    <w:rsid w:val="005569D7"/>
    <w:rsid w:val="00556AAC"/>
    <w:rsid w:val="00556C03"/>
    <w:rsid w:val="00556C24"/>
    <w:rsid w:val="00556DC1"/>
    <w:rsid w:val="00556E33"/>
    <w:rsid w:val="00556E7A"/>
    <w:rsid w:val="00556ECA"/>
    <w:rsid w:val="0055790F"/>
    <w:rsid w:val="00557950"/>
    <w:rsid w:val="00557AAE"/>
    <w:rsid w:val="00557C1C"/>
    <w:rsid w:val="005601AD"/>
    <w:rsid w:val="00560286"/>
    <w:rsid w:val="00560B98"/>
    <w:rsid w:val="00560D1B"/>
    <w:rsid w:val="00560FFE"/>
    <w:rsid w:val="00561103"/>
    <w:rsid w:val="00561764"/>
    <w:rsid w:val="0056179F"/>
    <w:rsid w:val="005618E6"/>
    <w:rsid w:val="00561AD5"/>
    <w:rsid w:val="00561BAB"/>
    <w:rsid w:val="00561F82"/>
    <w:rsid w:val="00562191"/>
    <w:rsid w:val="005623FA"/>
    <w:rsid w:val="00562867"/>
    <w:rsid w:val="00562B4C"/>
    <w:rsid w:val="00562E16"/>
    <w:rsid w:val="00562F38"/>
    <w:rsid w:val="0056306E"/>
    <w:rsid w:val="00563110"/>
    <w:rsid w:val="0056328C"/>
    <w:rsid w:val="00563307"/>
    <w:rsid w:val="005634F5"/>
    <w:rsid w:val="0056360D"/>
    <w:rsid w:val="0056365E"/>
    <w:rsid w:val="005636D9"/>
    <w:rsid w:val="00563999"/>
    <w:rsid w:val="00564091"/>
    <w:rsid w:val="005643DB"/>
    <w:rsid w:val="00564855"/>
    <w:rsid w:val="00564CD0"/>
    <w:rsid w:val="00564F37"/>
    <w:rsid w:val="00565531"/>
    <w:rsid w:val="00565A8F"/>
    <w:rsid w:val="00565AD7"/>
    <w:rsid w:val="00565B78"/>
    <w:rsid w:val="00565FF2"/>
    <w:rsid w:val="0056665B"/>
    <w:rsid w:val="005667B2"/>
    <w:rsid w:val="005670A7"/>
    <w:rsid w:val="00567143"/>
    <w:rsid w:val="005672D7"/>
    <w:rsid w:val="0056755F"/>
    <w:rsid w:val="0056770C"/>
    <w:rsid w:val="00567893"/>
    <w:rsid w:val="005678D5"/>
    <w:rsid w:val="00567A0A"/>
    <w:rsid w:val="00567A18"/>
    <w:rsid w:val="00567D4D"/>
    <w:rsid w:val="0057049C"/>
    <w:rsid w:val="005704F4"/>
    <w:rsid w:val="00570852"/>
    <w:rsid w:val="00570AC1"/>
    <w:rsid w:val="005710FE"/>
    <w:rsid w:val="00571378"/>
    <w:rsid w:val="0057171F"/>
    <w:rsid w:val="00571906"/>
    <w:rsid w:val="00571C41"/>
    <w:rsid w:val="00571C49"/>
    <w:rsid w:val="00571CAC"/>
    <w:rsid w:val="00571D7F"/>
    <w:rsid w:val="00571DC2"/>
    <w:rsid w:val="00571E76"/>
    <w:rsid w:val="0057228E"/>
    <w:rsid w:val="00572551"/>
    <w:rsid w:val="005726E5"/>
    <w:rsid w:val="005727EB"/>
    <w:rsid w:val="005728C9"/>
    <w:rsid w:val="005729C3"/>
    <w:rsid w:val="00572C27"/>
    <w:rsid w:val="00572E87"/>
    <w:rsid w:val="00572FBF"/>
    <w:rsid w:val="005731DF"/>
    <w:rsid w:val="0057338E"/>
    <w:rsid w:val="00573475"/>
    <w:rsid w:val="00573AB9"/>
    <w:rsid w:val="00573B43"/>
    <w:rsid w:val="00573EE0"/>
    <w:rsid w:val="0057437B"/>
    <w:rsid w:val="005743B6"/>
    <w:rsid w:val="005745EB"/>
    <w:rsid w:val="00574818"/>
    <w:rsid w:val="00574CA8"/>
    <w:rsid w:val="00574D4F"/>
    <w:rsid w:val="005752D6"/>
    <w:rsid w:val="0057544E"/>
    <w:rsid w:val="005759E9"/>
    <w:rsid w:val="00575A72"/>
    <w:rsid w:val="00575AC0"/>
    <w:rsid w:val="00575BED"/>
    <w:rsid w:val="00575E79"/>
    <w:rsid w:val="005760B2"/>
    <w:rsid w:val="005761BC"/>
    <w:rsid w:val="00576E43"/>
    <w:rsid w:val="0057726E"/>
    <w:rsid w:val="005773E2"/>
    <w:rsid w:val="00577421"/>
    <w:rsid w:val="0057765A"/>
    <w:rsid w:val="005777E6"/>
    <w:rsid w:val="00577911"/>
    <w:rsid w:val="00577A2D"/>
    <w:rsid w:val="00577A42"/>
    <w:rsid w:val="00577C74"/>
    <w:rsid w:val="00577DA7"/>
    <w:rsid w:val="005805AD"/>
    <w:rsid w:val="005806FE"/>
    <w:rsid w:val="00580976"/>
    <w:rsid w:val="00580CA1"/>
    <w:rsid w:val="00580E2A"/>
    <w:rsid w:val="005813AA"/>
    <w:rsid w:val="0058147C"/>
    <w:rsid w:val="00581503"/>
    <w:rsid w:val="005816C7"/>
    <w:rsid w:val="0058173D"/>
    <w:rsid w:val="005818E6"/>
    <w:rsid w:val="005819EB"/>
    <w:rsid w:val="00581C2F"/>
    <w:rsid w:val="00581D15"/>
    <w:rsid w:val="00581DAA"/>
    <w:rsid w:val="00581DB0"/>
    <w:rsid w:val="00581E0A"/>
    <w:rsid w:val="00581F72"/>
    <w:rsid w:val="005821F4"/>
    <w:rsid w:val="005822A2"/>
    <w:rsid w:val="005822E8"/>
    <w:rsid w:val="0058283C"/>
    <w:rsid w:val="0058291B"/>
    <w:rsid w:val="00582A56"/>
    <w:rsid w:val="00582D1A"/>
    <w:rsid w:val="00582EF0"/>
    <w:rsid w:val="00583669"/>
    <w:rsid w:val="0058380D"/>
    <w:rsid w:val="00583BCB"/>
    <w:rsid w:val="00583C90"/>
    <w:rsid w:val="00583E95"/>
    <w:rsid w:val="00583F39"/>
    <w:rsid w:val="005849D1"/>
    <w:rsid w:val="00584A50"/>
    <w:rsid w:val="00584A62"/>
    <w:rsid w:val="00584AD5"/>
    <w:rsid w:val="00584B40"/>
    <w:rsid w:val="00584BEA"/>
    <w:rsid w:val="00584FFE"/>
    <w:rsid w:val="005850DA"/>
    <w:rsid w:val="005853FA"/>
    <w:rsid w:val="00585479"/>
    <w:rsid w:val="00585823"/>
    <w:rsid w:val="00585861"/>
    <w:rsid w:val="00585BC3"/>
    <w:rsid w:val="00585F93"/>
    <w:rsid w:val="0058603B"/>
    <w:rsid w:val="005863EC"/>
    <w:rsid w:val="00586622"/>
    <w:rsid w:val="00586865"/>
    <w:rsid w:val="005868D6"/>
    <w:rsid w:val="00586B89"/>
    <w:rsid w:val="00586D59"/>
    <w:rsid w:val="00586EA2"/>
    <w:rsid w:val="00586EB6"/>
    <w:rsid w:val="00586F00"/>
    <w:rsid w:val="00587225"/>
    <w:rsid w:val="005872A8"/>
    <w:rsid w:val="0058731B"/>
    <w:rsid w:val="005877AF"/>
    <w:rsid w:val="00587828"/>
    <w:rsid w:val="005878BB"/>
    <w:rsid w:val="00587B57"/>
    <w:rsid w:val="00587DFD"/>
    <w:rsid w:val="00587EF9"/>
    <w:rsid w:val="00590034"/>
    <w:rsid w:val="005900EE"/>
    <w:rsid w:val="00590126"/>
    <w:rsid w:val="00590320"/>
    <w:rsid w:val="00590363"/>
    <w:rsid w:val="0059036A"/>
    <w:rsid w:val="005903E9"/>
    <w:rsid w:val="0059044E"/>
    <w:rsid w:val="005905B9"/>
    <w:rsid w:val="00590646"/>
    <w:rsid w:val="005906D5"/>
    <w:rsid w:val="00590868"/>
    <w:rsid w:val="00590882"/>
    <w:rsid w:val="0059093A"/>
    <w:rsid w:val="0059096F"/>
    <w:rsid w:val="00590DD6"/>
    <w:rsid w:val="005910C7"/>
    <w:rsid w:val="00591458"/>
    <w:rsid w:val="0059150B"/>
    <w:rsid w:val="0059154E"/>
    <w:rsid w:val="00591667"/>
    <w:rsid w:val="0059172E"/>
    <w:rsid w:val="0059173B"/>
    <w:rsid w:val="0059180B"/>
    <w:rsid w:val="0059184C"/>
    <w:rsid w:val="005919A5"/>
    <w:rsid w:val="005919EB"/>
    <w:rsid w:val="00591D26"/>
    <w:rsid w:val="00591D73"/>
    <w:rsid w:val="0059207A"/>
    <w:rsid w:val="005928BD"/>
    <w:rsid w:val="00592B64"/>
    <w:rsid w:val="00592C74"/>
    <w:rsid w:val="00592DE8"/>
    <w:rsid w:val="00592E9E"/>
    <w:rsid w:val="00592F47"/>
    <w:rsid w:val="00593114"/>
    <w:rsid w:val="0059312E"/>
    <w:rsid w:val="0059316D"/>
    <w:rsid w:val="005933F2"/>
    <w:rsid w:val="0059346F"/>
    <w:rsid w:val="0059392D"/>
    <w:rsid w:val="00593A95"/>
    <w:rsid w:val="00593DEA"/>
    <w:rsid w:val="00594786"/>
    <w:rsid w:val="0059497E"/>
    <w:rsid w:val="00594AA4"/>
    <w:rsid w:val="00594B4E"/>
    <w:rsid w:val="00594C4F"/>
    <w:rsid w:val="00594E7B"/>
    <w:rsid w:val="00595257"/>
    <w:rsid w:val="005953D4"/>
    <w:rsid w:val="0059550B"/>
    <w:rsid w:val="00595CC8"/>
    <w:rsid w:val="00595EDE"/>
    <w:rsid w:val="00596773"/>
    <w:rsid w:val="005968AB"/>
    <w:rsid w:val="00596995"/>
    <w:rsid w:val="00596BB2"/>
    <w:rsid w:val="00596DAC"/>
    <w:rsid w:val="00596EC3"/>
    <w:rsid w:val="00597101"/>
    <w:rsid w:val="005972FA"/>
    <w:rsid w:val="005973BD"/>
    <w:rsid w:val="005974F0"/>
    <w:rsid w:val="005977B0"/>
    <w:rsid w:val="0059787A"/>
    <w:rsid w:val="00597D5D"/>
    <w:rsid w:val="005A011D"/>
    <w:rsid w:val="005A0177"/>
    <w:rsid w:val="005A0717"/>
    <w:rsid w:val="005A0AFC"/>
    <w:rsid w:val="005A0D17"/>
    <w:rsid w:val="005A0F41"/>
    <w:rsid w:val="005A114E"/>
    <w:rsid w:val="005A116F"/>
    <w:rsid w:val="005A1189"/>
    <w:rsid w:val="005A1673"/>
    <w:rsid w:val="005A1D3A"/>
    <w:rsid w:val="005A1E72"/>
    <w:rsid w:val="005A20BD"/>
    <w:rsid w:val="005A216F"/>
    <w:rsid w:val="005A247C"/>
    <w:rsid w:val="005A25AC"/>
    <w:rsid w:val="005A263D"/>
    <w:rsid w:val="005A269A"/>
    <w:rsid w:val="005A26AD"/>
    <w:rsid w:val="005A2D45"/>
    <w:rsid w:val="005A2D51"/>
    <w:rsid w:val="005A34FE"/>
    <w:rsid w:val="005A3501"/>
    <w:rsid w:val="005A3552"/>
    <w:rsid w:val="005A362E"/>
    <w:rsid w:val="005A383F"/>
    <w:rsid w:val="005A41DE"/>
    <w:rsid w:val="005A4422"/>
    <w:rsid w:val="005A481C"/>
    <w:rsid w:val="005A4870"/>
    <w:rsid w:val="005A490D"/>
    <w:rsid w:val="005A491F"/>
    <w:rsid w:val="005A4B85"/>
    <w:rsid w:val="005A4B8C"/>
    <w:rsid w:val="005A4C8B"/>
    <w:rsid w:val="005A4DF3"/>
    <w:rsid w:val="005A4F0A"/>
    <w:rsid w:val="005A52B6"/>
    <w:rsid w:val="005A533F"/>
    <w:rsid w:val="005A5340"/>
    <w:rsid w:val="005A53C6"/>
    <w:rsid w:val="005A5556"/>
    <w:rsid w:val="005A5941"/>
    <w:rsid w:val="005A5D2B"/>
    <w:rsid w:val="005A613E"/>
    <w:rsid w:val="005A6575"/>
    <w:rsid w:val="005A65FC"/>
    <w:rsid w:val="005A6602"/>
    <w:rsid w:val="005A6812"/>
    <w:rsid w:val="005A70B1"/>
    <w:rsid w:val="005A720E"/>
    <w:rsid w:val="005A739A"/>
    <w:rsid w:val="005A7679"/>
    <w:rsid w:val="005A77C7"/>
    <w:rsid w:val="005A77D8"/>
    <w:rsid w:val="005A7A94"/>
    <w:rsid w:val="005A7DF6"/>
    <w:rsid w:val="005A7E9B"/>
    <w:rsid w:val="005A7F53"/>
    <w:rsid w:val="005A7FE3"/>
    <w:rsid w:val="005B0097"/>
    <w:rsid w:val="005B0446"/>
    <w:rsid w:val="005B063C"/>
    <w:rsid w:val="005B0B64"/>
    <w:rsid w:val="005B1278"/>
    <w:rsid w:val="005B1493"/>
    <w:rsid w:val="005B1805"/>
    <w:rsid w:val="005B1879"/>
    <w:rsid w:val="005B1E9E"/>
    <w:rsid w:val="005B1EE8"/>
    <w:rsid w:val="005B1F9F"/>
    <w:rsid w:val="005B210D"/>
    <w:rsid w:val="005B23C6"/>
    <w:rsid w:val="005B2586"/>
    <w:rsid w:val="005B25D7"/>
    <w:rsid w:val="005B263B"/>
    <w:rsid w:val="005B27F7"/>
    <w:rsid w:val="005B2A82"/>
    <w:rsid w:val="005B2C00"/>
    <w:rsid w:val="005B2E02"/>
    <w:rsid w:val="005B2F33"/>
    <w:rsid w:val="005B2FB0"/>
    <w:rsid w:val="005B3054"/>
    <w:rsid w:val="005B3238"/>
    <w:rsid w:val="005B338C"/>
    <w:rsid w:val="005B342C"/>
    <w:rsid w:val="005B34C5"/>
    <w:rsid w:val="005B380F"/>
    <w:rsid w:val="005B388D"/>
    <w:rsid w:val="005B3AB2"/>
    <w:rsid w:val="005B3B2E"/>
    <w:rsid w:val="005B3DCC"/>
    <w:rsid w:val="005B3E69"/>
    <w:rsid w:val="005B418F"/>
    <w:rsid w:val="005B4525"/>
    <w:rsid w:val="005B4975"/>
    <w:rsid w:val="005B498A"/>
    <w:rsid w:val="005B49E9"/>
    <w:rsid w:val="005B4A6E"/>
    <w:rsid w:val="005B4B1B"/>
    <w:rsid w:val="005B4C86"/>
    <w:rsid w:val="005B4D60"/>
    <w:rsid w:val="005B4F0C"/>
    <w:rsid w:val="005B54FA"/>
    <w:rsid w:val="005B55A1"/>
    <w:rsid w:val="005B56FD"/>
    <w:rsid w:val="005B5757"/>
    <w:rsid w:val="005B5BCF"/>
    <w:rsid w:val="005B5E10"/>
    <w:rsid w:val="005B69BE"/>
    <w:rsid w:val="005B6CC7"/>
    <w:rsid w:val="005B6D9F"/>
    <w:rsid w:val="005B6F28"/>
    <w:rsid w:val="005B7A10"/>
    <w:rsid w:val="005B7FC3"/>
    <w:rsid w:val="005C0057"/>
    <w:rsid w:val="005C00A3"/>
    <w:rsid w:val="005C02D2"/>
    <w:rsid w:val="005C06A5"/>
    <w:rsid w:val="005C077B"/>
    <w:rsid w:val="005C0818"/>
    <w:rsid w:val="005C0993"/>
    <w:rsid w:val="005C0AD6"/>
    <w:rsid w:val="005C0AE2"/>
    <w:rsid w:val="005C0CEA"/>
    <w:rsid w:val="005C0FA3"/>
    <w:rsid w:val="005C0FD1"/>
    <w:rsid w:val="005C1351"/>
    <w:rsid w:val="005C1487"/>
    <w:rsid w:val="005C1922"/>
    <w:rsid w:val="005C1B41"/>
    <w:rsid w:val="005C1BEB"/>
    <w:rsid w:val="005C1C7B"/>
    <w:rsid w:val="005C1DA4"/>
    <w:rsid w:val="005C1DC2"/>
    <w:rsid w:val="005C1FAA"/>
    <w:rsid w:val="005C2189"/>
    <w:rsid w:val="005C218A"/>
    <w:rsid w:val="005C228E"/>
    <w:rsid w:val="005C25E7"/>
    <w:rsid w:val="005C29E5"/>
    <w:rsid w:val="005C2AB7"/>
    <w:rsid w:val="005C3203"/>
    <w:rsid w:val="005C3249"/>
    <w:rsid w:val="005C3492"/>
    <w:rsid w:val="005C3A6C"/>
    <w:rsid w:val="005C3A7C"/>
    <w:rsid w:val="005C3B28"/>
    <w:rsid w:val="005C3CAA"/>
    <w:rsid w:val="005C3F2C"/>
    <w:rsid w:val="005C421A"/>
    <w:rsid w:val="005C44BE"/>
    <w:rsid w:val="005C459C"/>
    <w:rsid w:val="005C45A3"/>
    <w:rsid w:val="005C4672"/>
    <w:rsid w:val="005C4B4C"/>
    <w:rsid w:val="005C4BF9"/>
    <w:rsid w:val="005C4D1D"/>
    <w:rsid w:val="005C551C"/>
    <w:rsid w:val="005C5764"/>
    <w:rsid w:val="005C5C98"/>
    <w:rsid w:val="005C5F88"/>
    <w:rsid w:val="005C6214"/>
    <w:rsid w:val="005C645F"/>
    <w:rsid w:val="005C64BD"/>
    <w:rsid w:val="005C667A"/>
    <w:rsid w:val="005C6A62"/>
    <w:rsid w:val="005C6EAF"/>
    <w:rsid w:val="005C6F1F"/>
    <w:rsid w:val="005C70CC"/>
    <w:rsid w:val="005C76F5"/>
    <w:rsid w:val="005C77D0"/>
    <w:rsid w:val="005C79C4"/>
    <w:rsid w:val="005C7A6C"/>
    <w:rsid w:val="005C7E97"/>
    <w:rsid w:val="005D04C1"/>
    <w:rsid w:val="005D079A"/>
    <w:rsid w:val="005D08B9"/>
    <w:rsid w:val="005D1194"/>
    <w:rsid w:val="005D1546"/>
    <w:rsid w:val="005D176B"/>
    <w:rsid w:val="005D1837"/>
    <w:rsid w:val="005D1852"/>
    <w:rsid w:val="005D19CF"/>
    <w:rsid w:val="005D1C45"/>
    <w:rsid w:val="005D1CE5"/>
    <w:rsid w:val="005D1CF2"/>
    <w:rsid w:val="005D1DE8"/>
    <w:rsid w:val="005D20B0"/>
    <w:rsid w:val="005D2413"/>
    <w:rsid w:val="005D24C4"/>
    <w:rsid w:val="005D251C"/>
    <w:rsid w:val="005D258E"/>
    <w:rsid w:val="005D27A0"/>
    <w:rsid w:val="005D2BBC"/>
    <w:rsid w:val="005D2CBD"/>
    <w:rsid w:val="005D2FBF"/>
    <w:rsid w:val="005D3148"/>
    <w:rsid w:val="005D31B7"/>
    <w:rsid w:val="005D335C"/>
    <w:rsid w:val="005D33CB"/>
    <w:rsid w:val="005D3BC1"/>
    <w:rsid w:val="005D40A2"/>
    <w:rsid w:val="005D42C0"/>
    <w:rsid w:val="005D43AF"/>
    <w:rsid w:val="005D4835"/>
    <w:rsid w:val="005D4AEC"/>
    <w:rsid w:val="005D4C20"/>
    <w:rsid w:val="005D4C7A"/>
    <w:rsid w:val="005D50B0"/>
    <w:rsid w:val="005D51B4"/>
    <w:rsid w:val="005D55AD"/>
    <w:rsid w:val="005D5AC4"/>
    <w:rsid w:val="005D5B7E"/>
    <w:rsid w:val="005D5C6E"/>
    <w:rsid w:val="005D5E10"/>
    <w:rsid w:val="005D608A"/>
    <w:rsid w:val="005D60C6"/>
    <w:rsid w:val="005D617F"/>
    <w:rsid w:val="005D6188"/>
    <w:rsid w:val="005D63FA"/>
    <w:rsid w:val="005D6541"/>
    <w:rsid w:val="005D669C"/>
    <w:rsid w:val="005D6C6A"/>
    <w:rsid w:val="005D7593"/>
    <w:rsid w:val="005D7608"/>
    <w:rsid w:val="005D7790"/>
    <w:rsid w:val="005D79BD"/>
    <w:rsid w:val="005D7B37"/>
    <w:rsid w:val="005D7B66"/>
    <w:rsid w:val="005D7D6C"/>
    <w:rsid w:val="005D7D9B"/>
    <w:rsid w:val="005D7E2B"/>
    <w:rsid w:val="005E0347"/>
    <w:rsid w:val="005E038D"/>
    <w:rsid w:val="005E0449"/>
    <w:rsid w:val="005E0996"/>
    <w:rsid w:val="005E0C92"/>
    <w:rsid w:val="005E0FCF"/>
    <w:rsid w:val="005E0FD3"/>
    <w:rsid w:val="005E128C"/>
    <w:rsid w:val="005E130C"/>
    <w:rsid w:val="005E1444"/>
    <w:rsid w:val="005E1555"/>
    <w:rsid w:val="005E15C0"/>
    <w:rsid w:val="005E1636"/>
    <w:rsid w:val="005E1851"/>
    <w:rsid w:val="005E1B33"/>
    <w:rsid w:val="005E1EBC"/>
    <w:rsid w:val="005E2073"/>
    <w:rsid w:val="005E2247"/>
    <w:rsid w:val="005E24D5"/>
    <w:rsid w:val="005E2580"/>
    <w:rsid w:val="005E2595"/>
    <w:rsid w:val="005E2B0C"/>
    <w:rsid w:val="005E2B81"/>
    <w:rsid w:val="005E2BC3"/>
    <w:rsid w:val="005E2DE5"/>
    <w:rsid w:val="005E31C8"/>
    <w:rsid w:val="005E325B"/>
    <w:rsid w:val="005E3387"/>
    <w:rsid w:val="005E34F5"/>
    <w:rsid w:val="005E3AA4"/>
    <w:rsid w:val="005E3C54"/>
    <w:rsid w:val="005E3DFC"/>
    <w:rsid w:val="005E43E7"/>
    <w:rsid w:val="005E4410"/>
    <w:rsid w:val="005E4889"/>
    <w:rsid w:val="005E4931"/>
    <w:rsid w:val="005E4CB8"/>
    <w:rsid w:val="005E4F8D"/>
    <w:rsid w:val="005E5386"/>
    <w:rsid w:val="005E5529"/>
    <w:rsid w:val="005E57E7"/>
    <w:rsid w:val="005E596D"/>
    <w:rsid w:val="005E5DD1"/>
    <w:rsid w:val="005E5E2F"/>
    <w:rsid w:val="005E5E3A"/>
    <w:rsid w:val="005E6617"/>
    <w:rsid w:val="005E704D"/>
    <w:rsid w:val="005E724D"/>
    <w:rsid w:val="005E7368"/>
    <w:rsid w:val="005E73AA"/>
    <w:rsid w:val="005E73AD"/>
    <w:rsid w:val="005E78A0"/>
    <w:rsid w:val="005E7A36"/>
    <w:rsid w:val="005E7C9F"/>
    <w:rsid w:val="005E7F8F"/>
    <w:rsid w:val="005F05E7"/>
    <w:rsid w:val="005F05FD"/>
    <w:rsid w:val="005F06C8"/>
    <w:rsid w:val="005F0836"/>
    <w:rsid w:val="005F08DC"/>
    <w:rsid w:val="005F0BB8"/>
    <w:rsid w:val="005F1223"/>
    <w:rsid w:val="005F136D"/>
    <w:rsid w:val="005F1864"/>
    <w:rsid w:val="005F1908"/>
    <w:rsid w:val="005F1C51"/>
    <w:rsid w:val="005F1E35"/>
    <w:rsid w:val="005F1E3A"/>
    <w:rsid w:val="005F262E"/>
    <w:rsid w:val="005F27A0"/>
    <w:rsid w:val="005F2820"/>
    <w:rsid w:val="005F2AB1"/>
    <w:rsid w:val="005F2CF2"/>
    <w:rsid w:val="005F2E1C"/>
    <w:rsid w:val="005F2F42"/>
    <w:rsid w:val="005F3230"/>
    <w:rsid w:val="005F32BB"/>
    <w:rsid w:val="005F3522"/>
    <w:rsid w:val="005F38EF"/>
    <w:rsid w:val="005F3E4D"/>
    <w:rsid w:val="005F3EDA"/>
    <w:rsid w:val="005F3F36"/>
    <w:rsid w:val="005F3FBF"/>
    <w:rsid w:val="005F4200"/>
    <w:rsid w:val="005F4218"/>
    <w:rsid w:val="005F4462"/>
    <w:rsid w:val="005F4524"/>
    <w:rsid w:val="005F459C"/>
    <w:rsid w:val="005F4785"/>
    <w:rsid w:val="005F4791"/>
    <w:rsid w:val="005F4839"/>
    <w:rsid w:val="005F4AFB"/>
    <w:rsid w:val="005F4B20"/>
    <w:rsid w:val="005F4BDE"/>
    <w:rsid w:val="005F4C0B"/>
    <w:rsid w:val="005F4CCE"/>
    <w:rsid w:val="005F4E97"/>
    <w:rsid w:val="005F4F65"/>
    <w:rsid w:val="005F5907"/>
    <w:rsid w:val="005F598E"/>
    <w:rsid w:val="005F5A16"/>
    <w:rsid w:val="005F61F3"/>
    <w:rsid w:val="005F6465"/>
    <w:rsid w:val="005F6699"/>
    <w:rsid w:val="005F6718"/>
    <w:rsid w:val="005F6B41"/>
    <w:rsid w:val="005F6E1F"/>
    <w:rsid w:val="005F73B8"/>
    <w:rsid w:val="005F75CE"/>
    <w:rsid w:val="005F7612"/>
    <w:rsid w:val="005F776D"/>
    <w:rsid w:val="005F795C"/>
    <w:rsid w:val="006001F1"/>
    <w:rsid w:val="006003D6"/>
    <w:rsid w:val="006004DE"/>
    <w:rsid w:val="00600872"/>
    <w:rsid w:val="00600A14"/>
    <w:rsid w:val="00600A3E"/>
    <w:rsid w:val="00600CC8"/>
    <w:rsid w:val="00600CF6"/>
    <w:rsid w:val="00600F1C"/>
    <w:rsid w:val="0060112D"/>
    <w:rsid w:val="00601214"/>
    <w:rsid w:val="0060137E"/>
    <w:rsid w:val="006015B4"/>
    <w:rsid w:val="0060172C"/>
    <w:rsid w:val="006017E1"/>
    <w:rsid w:val="00601A20"/>
    <w:rsid w:val="00601E9E"/>
    <w:rsid w:val="00601EE5"/>
    <w:rsid w:val="0060244E"/>
    <w:rsid w:val="0060264A"/>
    <w:rsid w:val="006026EA"/>
    <w:rsid w:val="006027D7"/>
    <w:rsid w:val="00602BFF"/>
    <w:rsid w:val="00602EC0"/>
    <w:rsid w:val="006031C8"/>
    <w:rsid w:val="0060326D"/>
    <w:rsid w:val="00603650"/>
    <w:rsid w:val="00603D16"/>
    <w:rsid w:val="00603F2B"/>
    <w:rsid w:val="006040E5"/>
    <w:rsid w:val="006042BB"/>
    <w:rsid w:val="0060443F"/>
    <w:rsid w:val="0060450C"/>
    <w:rsid w:val="00604841"/>
    <w:rsid w:val="006049F1"/>
    <w:rsid w:val="00604B82"/>
    <w:rsid w:val="00604C11"/>
    <w:rsid w:val="00604C8B"/>
    <w:rsid w:val="00604CCD"/>
    <w:rsid w:val="00604DAF"/>
    <w:rsid w:val="00604DFF"/>
    <w:rsid w:val="00604ED0"/>
    <w:rsid w:val="00604F78"/>
    <w:rsid w:val="00604FB0"/>
    <w:rsid w:val="006050DF"/>
    <w:rsid w:val="00605228"/>
    <w:rsid w:val="00605B86"/>
    <w:rsid w:val="00605C05"/>
    <w:rsid w:val="0060612B"/>
    <w:rsid w:val="006068FA"/>
    <w:rsid w:val="006069EE"/>
    <w:rsid w:val="00606D77"/>
    <w:rsid w:val="0060719A"/>
    <w:rsid w:val="00607502"/>
    <w:rsid w:val="00607CE9"/>
    <w:rsid w:val="00610280"/>
    <w:rsid w:val="0061061A"/>
    <w:rsid w:val="00610772"/>
    <w:rsid w:val="00610775"/>
    <w:rsid w:val="00610B92"/>
    <w:rsid w:val="00610DEF"/>
    <w:rsid w:val="00611280"/>
    <w:rsid w:val="00611636"/>
    <w:rsid w:val="00611764"/>
    <w:rsid w:val="006117C5"/>
    <w:rsid w:val="00611A90"/>
    <w:rsid w:val="00611BF1"/>
    <w:rsid w:val="00611C3B"/>
    <w:rsid w:val="00611FEB"/>
    <w:rsid w:val="006122F6"/>
    <w:rsid w:val="006124A0"/>
    <w:rsid w:val="0061259A"/>
    <w:rsid w:val="0061273D"/>
    <w:rsid w:val="0061285C"/>
    <w:rsid w:val="00612AA7"/>
    <w:rsid w:val="00612B98"/>
    <w:rsid w:val="00612C82"/>
    <w:rsid w:val="00612D1D"/>
    <w:rsid w:val="00612D8D"/>
    <w:rsid w:val="00612DEA"/>
    <w:rsid w:val="006133CD"/>
    <w:rsid w:val="0061346A"/>
    <w:rsid w:val="00613798"/>
    <w:rsid w:val="00613E96"/>
    <w:rsid w:val="0061426E"/>
    <w:rsid w:val="00614322"/>
    <w:rsid w:val="006145EF"/>
    <w:rsid w:val="0061469F"/>
    <w:rsid w:val="0061471E"/>
    <w:rsid w:val="0061477A"/>
    <w:rsid w:val="0061496F"/>
    <w:rsid w:val="00614C88"/>
    <w:rsid w:val="00614CC1"/>
    <w:rsid w:val="00614DF2"/>
    <w:rsid w:val="00614E4B"/>
    <w:rsid w:val="00614EA9"/>
    <w:rsid w:val="00614F32"/>
    <w:rsid w:val="006152E3"/>
    <w:rsid w:val="006153A2"/>
    <w:rsid w:val="0061551F"/>
    <w:rsid w:val="0061570C"/>
    <w:rsid w:val="00615781"/>
    <w:rsid w:val="00615AD3"/>
    <w:rsid w:val="00615ADE"/>
    <w:rsid w:val="00616288"/>
    <w:rsid w:val="00616334"/>
    <w:rsid w:val="00616B84"/>
    <w:rsid w:val="00616E06"/>
    <w:rsid w:val="006170A3"/>
    <w:rsid w:val="006170C3"/>
    <w:rsid w:val="00617BBA"/>
    <w:rsid w:val="00617D36"/>
    <w:rsid w:val="00617E57"/>
    <w:rsid w:val="0062060A"/>
    <w:rsid w:val="006206C9"/>
    <w:rsid w:val="00620D51"/>
    <w:rsid w:val="0062121F"/>
    <w:rsid w:val="0062122A"/>
    <w:rsid w:val="00621510"/>
    <w:rsid w:val="00621C2F"/>
    <w:rsid w:val="00621D78"/>
    <w:rsid w:val="006221B4"/>
    <w:rsid w:val="00622911"/>
    <w:rsid w:val="00622BB0"/>
    <w:rsid w:val="00622CF6"/>
    <w:rsid w:val="00622D13"/>
    <w:rsid w:val="00622D3F"/>
    <w:rsid w:val="00622E69"/>
    <w:rsid w:val="00622F47"/>
    <w:rsid w:val="00622FB2"/>
    <w:rsid w:val="00623056"/>
    <w:rsid w:val="006231BB"/>
    <w:rsid w:val="006235D4"/>
    <w:rsid w:val="0062380E"/>
    <w:rsid w:val="0062381E"/>
    <w:rsid w:val="00623A4B"/>
    <w:rsid w:val="00623B48"/>
    <w:rsid w:val="00623B73"/>
    <w:rsid w:val="00623B7D"/>
    <w:rsid w:val="00623B8D"/>
    <w:rsid w:val="00623C10"/>
    <w:rsid w:val="006245E9"/>
    <w:rsid w:val="0062472C"/>
    <w:rsid w:val="006247B0"/>
    <w:rsid w:val="00624A61"/>
    <w:rsid w:val="00624D34"/>
    <w:rsid w:val="00624D51"/>
    <w:rsid w:val="00624E47"/>
    <w:rsid w:val="00624FC9"/>
    <w:rsid w:val="00625207"/>
    <w:rsid w:val="00625277"/>
    <w:rsid w:val="006252B7"/>
    <w:rsid w:val="0062598E"/>
    <w:rsid w:val="00625DC7"/>
    <w:rsid w:val="00626076"/>
    <w:rsid w:val="006260DE"/>
    <w:rsid w:val="0062631F"/>
    <w:rsid w:val="006264CD"/>
    <w:rsid w:val="00626607"/>
    <w:rsid w:val="00626709"/>
    <w:rsid w:val="00626805"/>
    <w:rsid w:val="0062681E"/>
    <w:rsid w:val="00626883"/>
    <w:rsid w:val="00626884"/>
    <w:rsid w:val="00626A10"/>
    <w:rsid w:val="00626A96"/>
    <w:rsid w:val="00626D98"/>
    <w:rsid w:val="00626DFA"/>
    <w:rsid w:val="00626E75"/>
    <w:rsid w:val="006272E8"/>
    <w:rsid w:val="00627401"/>
    <w:rsid w:val="00627DBD"/>
    <w:rsid w:val="00627F9F"/>
    <w:rsid w:val="006301F7"/>
    <w:rsid w:val="006303DB"/>
    <w:rsid w:val="00630492"/>
    <w:rsid w:val="00630902"/>
    <w:rsid w:val="00630948"/>
    <w:rsid w:val="00630A76"/>
    <w:rsid w:val="00630BB2"/>
    <w:rsid w:val="00631887"/>
    <w:rsid w:val="006318D2"/>
    <w:rsid w:val="006318F3"/>
    <w:rsid w:val="00631D43"/>
    <w:rsid w:val="00631EB2"/>
    <w:rsid w:val="00632511"/>
    <w:rsid w:val="0063258E"/>
    <w:rsid w:val="00632D50"/>
    <w:rsid w:val="00632F26"/>
    <w:rsid w:val="006334C6"/>
    <w:rsid w:val="00633520"/>
    <w:rsid w:val="006336D7"/>
    <w:rsid w:val="00633BBF"/>
    <w:rsid w:val="006347EB"/>
    <w:rsid w:val="00634933"/>
    <w:rsid w:val="00634B22"/>
    <w:rsid w:val="00634E9B"/>
    <w:rsid w:val="0063538B"/>
    <w:rsid w:val="00635581"/>
    <w:rsid w:val="00636010"/>
    <w:rsid w:val="0063618F"/>
    <w:rsid w:val="00636410"/>
    <w:rsid w:val="0063661B"/>
    <w:rsid w:val="006367CD"/>
    <w:rsid w:val="00636804"/>
    <w:rsid w:val="006368DC"/>
    <w:rsid w:val="00636DB4"/>
    <w:rsid w:val="00636F52"/>
    <w:rsid w:val="006372DE"/>
    <w:rsid w:val="00637378"/>
    <w:rsid w:val="00637BBB"/>
    <w:rsid w:val="00637BC8"/>
    <w:rsid w:val="0064005D"/>
    <w:rsid w:val="006400D3"/>
    <w:rsid w:val="0064010A"/>
    <w:rsid w:val="006403BD"/>
    <w:rsid w:val="00640934"/>
    <w:rsid w:val="00640AD6"/>
    <w:rsid w:val="00640B54"/>
    <w:rsid w:val="00640D35"/>
    <w:rsid w:val="006410B8"/>
    <w:rsid w:val="00641E8D"/>
    <w:rsid w:val="00641EC0"/>
    <w:rsid w:val="00642103"/>
    <w:rsid w:val="00642283"/>
    <w:rsid w:val="00642AE4"/>
    <w:rsid w:val="00642B6D"/>
    <w:rsid w:val="00642C7C"/>
    <w:rsid w:val="00642DDC"/>
    <w:rsid w:val="00642F12"/>
    <w:rsid w:val="00643013"/>
    <w:rsid w:val="00643116"/>
    <w:rsid w:val="00643278"/>
    <w:rsid w:val="0064329D"/>
    <w:rsid w:val="0064333E"/>
    <w:rsid w:val="0064388F"/>
    <w:rsid w:val="0064393A"/>
    <w:rsid w:val="00643B32"/>
    <w:rsid w:val="00643F77"/>
    <w:rsid w:val="00644133"/>
    <w:rsid w:val="0064413A"/>
    <w:rsid w:val="0064418D"/>
    <w:rsid w:val="006443E1"/>
    <w:rsid w:val="00644C15"/>
    <w:rsid w:val="006450A3"/>
    <w:rsid w:val="006452C1"/>
    <w:rsid w:val="006452E2"/>
    <w:rsid w:val="00645322"/>
    <w:rsid w:val="00645585"/>
    <w:rsid w:val="006455E0"/>
    <w:rsid w:val="00645B3D"/>
    <w:rsid w:val="006460DC"/>
    <w:rsid w:val="006461B5"/>
    <w:rsid w:val="00646563"/>
    <w:rsid w:val="00646655"/>
    <w:rsid w:val="00646CD0"/>
    <w:rsid w:val="00646D48"/>
    <w:rsid w:val="00646E24"/>
    <w:rsid w:val="0064764B"/>
    <w:rsid w:val="006500BF"/>
    <w:rsid w:val="00650C81"/>
    <w:rsid w:val="00650E8B"/>
    <w:rsid w:val="00651084"/>
    <w:rsid w:val="006510B1"/>
    <w:rsid w:val="00651375"/>
    <w:rsid w:val="006513D7"/>
    <w:rsid w:val="0065154D"/>
    <w:rsid w:val="006515B0"/>
    <w:rsid w:val="00651704"/>
    <w:rsid w:val="00651B2B"/>
    <w:rsid w:val="00651C08"/>
    <w:rsid w:val="00651C17"/>
    <w:rsid w:val="00652210"/>
    <w:rsid w:val="00652234"/>
    <w:rsid w:val="00652349"/>
    <w:rsid w:val="00652455"/>
    <w:rsid w:val="00652466"/>
    <w:rsid w:val="00652659"/>
    <w:rsid w:val="0065275C"/>
    <w:rsid w:val="00652795"/>
    <w:rsid w:val="006527D6"/>
    <w:rsid w:val="006528E7"/>
    <w:rsid w:val="00652902"/>
    <w:rsid w:val="00652B14"/>
    <w:rsid w:val="006530DA"/>
    <w:rsid w:val="006533F4"/>
    <w:rsid w:val="00653461"/>
    <w:rsid w:val="006536F2"/>
    <w:rsid w:val="0065375A"/>
    <w:rsid w:val="00653AA2"/>
    <w:rsid w:val="00653F86"/>
    <w:rsid w:val="006546D0"/>
    <w:rsid w:val="0065482C"/>
    <w:rsid w:val="00654A97"/>
    <w:rsid w:val="00654C3A"/>
    <w:rsid w:val="00654C76"/>
    <w:rsid w:val="00654EB1"/>
    <w:rsid w:val="006554D4"/>
    <w:rsid w:val="00655639"/>
    <w:rsid w:val="006557AE"/>
    <w:rsid w:val="0065597E"/>
    <w:rsid w:val="00655A09"/>
    <w:rsid w:val="00655A8F"/>
    <w:rsid w:val="00655A9F"/>
    <w:rsid w:val="00655B0F"/>
    <w:rsid w:val="00655C50"/>
    <w:rsid w:val="0065657B"/>
    <w:rsid w:val="00656650"/>
    <w:rsid w:val="006566E6"/>
    <w:rsid w:val="00656A00"/>
    <w:rsid w:val="00656BDA"/>
    <w:rsid w:val="00656D03"/>
    <w:rsid w:val="00657077"/>
    <w:rsid w:val="006572F1"/>
    <w:rsid w:val="0065790D"/>
    <w:rsid w:val="00660461"/>
    <w:rsid w:val="006604A3"/>
    <w:rsid w:val="006608AE"/>
    <w:rsid w:val="00660A47"/>
    <w:rsid w:val="00660ADA"/>
    <w:rsid w:val="00661309"/>
    <w:rsid w:val="00661441"/>
    <w:rsid w:val="00661509"/>
    <w:rsid w:val="006615CC"/>
    <w:rsid w:val="00661682"/>
    <w:rsid w:val="00661927"/>
    <w:rsid w:val="00661AA3"/>
    <w:rsid w:val="00661C4A"/>
    <w:rsid w:val="0066202B"/>
    <w:rsid w:val="0066228C"/>
    <w:rsid w:val="006626D4"/>
    <w:rsid w:val="00662B4A"/>
    <w:rsid w:val="00662D58"/>
    <w:rsid w:val="00662E19"/>
    <w:rsid w:val="00662F64"/>
    <w:rsid w:val="00662FA7"/>
    <w:rsid w:val="006633C9"/>
    <w:rsid w:val="006637AC"/>
    <w:rsid w:val="00663845"/>
    <w:rsid w:val="0066386D"/>
    <w:rsid w:val="006638C6"/>
    <w:rsid w:val="00663A40"/>
    <w:rsid w:val="006643F2"/>
    <w:rsid w:val="006645B4"/>
    <w:rsid w:val="00664643"/>
    <w:rsid w:val="0066499C"/>
    <w:rsid w:val="00664A6A"/>
    <w:rsid w:val="00664DA4"/>
    <w:rsid w:val="00664E71"/>
    <w:rsid w:val="006652DF"/>
    <w:rsid w:val="00665307"/>
    <w:rsid w:val="0066531C"/>
    <w:rsid w:val="006655C8"/>
    <w:rsid w:val="006657B1"/>
    <w:rsid w:val="00665BCA"/>
    <w:rsid w:val="006667FB"/>
    <w:rsid w:val="00666971"/>
    <w:rsid w:val="00666BB1"/>
    <w:rsid w:val="00666CA8"/>
    <w:rsid w:val="006671C6"/>
    <w:rsid w:val="0066775F"/>
    <w:rsid w:val="006679CA"/>
    <w:rsid w:val="00667ABC"/>
    <w:rsid w:val="00667B84"/>
    <w:rsid w:val="00667CFB"/>
    <w:rsid w:val="00667D4C"/>
    <w:rsid w:val="00667FE6"/>
    <w:rsid w:val="0067031D"/>
    <w:rsid w:val="00670517"/>
    <w:rsid w:val="0067069E"/>
    <w:rsid w:val="00670A80"/>
    <w:rsid w:val="00670BB9"/>
    <w:rsid w:val="00670EE7"/>
    <w:rsid w:val="00670F43"/>
    <w:rsid w:val="00670F92"/>
    <w:rsid w:val="00671405"/>
    <w:rsid w:val="00671430"/>
    <w:rsid w:val="006718D6"/>
    <w:rsid w:val="00671968"/>
    <w:rsid w:val="00671A05"/>
    <w:rsid w:val="00671A87"/>
    <w:rsid w:val="00671DBF"/>
    <w:rsid w:val="00671E3A"/>
    <w:rsid w:val="00672122"/>
    <w:rsid w:val="00672334"/>
    <w:rsid w:val="0067241D"/>
    <w:rsid w:val="00672791"/>
    <w:rsid w:val="00672995"/>
    <w:rsid w:val="00673122"/>
    <w:rsid w:val="006731DC"/>
    <w:rsid w:val="0067342E"/>
    <w:rsid w:val="006735AA"/>
    <w:rsid w:val="00673AF2"/>
    <w:rsid w:val="00673CCC"/>
    <w:rsid w:val="00673F41"/>
    <w:rsid w:val="00673FE3"/>
    <w:rsid w:val="006744B6"/>
    <w:rsid w:val="00674823"/>
    <w:rsid w:val="00674C0C"/>
    <w:rsid w:val="00674CD2"/>
    <w:rsid w:val="00674CFD"/>
    <w:rsid w:val="006750C7"/>
    <w:rsid w:val="006751B4"/>
    <w:rsid w:val="0067566F"/>
    <w:rsid w:val="0067567C"/>
    <w:rsid w:val="00675857"/>
    <w:rsid w:val="00675997"/>
    <w:rsid w:val="00675FB5"/>
    <w:rsid w:val="006760DA"/>
    <w:rsid w:val="00676245"/>
    <w:rsid w:val="006763D0"/>
    <w:rsid w:val="006768AB"/>
    <w:rsid w:val="00676CC4"/>
    <w:rsid w:val="00676DA3"/>
    <w:rsid w:val="00676FBE"/>
    <w:rsid w:val="0067774C"/>
    <w:rsid w:val="006777C2"/>
    <w:rsid w:val="006778BE"/>
    <w:rsid w:val="00677C0F"/>
    <w:rsid w:val="00677E76"/>
    <w:rsid w:val="00677F2C"/>
    <w:rsid w:val="00677FF8"/>
    <w:rsid w:val="0068024B"/>
    <w:rsid w:val="00680295"/>
    <w:rsid w:val="006806A4"/>
    <w:rsid w:val="00680AB1"/>
    <w:rsid w:val="006810F3"/>
    <w:rsid w:val="00681131"/>
    <w:rsid w:val="0068124C"/>
    <w:rsid w:val="0068150B"/>
    <w:rsid w:val="00681575"/>
    <w:rsid w:val="0068166E"/>
    <w:rsid w:val="0068188F"/>
    <w:rsid w:val="00681A54"/>
    <w:rsid w:val="00681F01"/>
    <w:rsid w:val="0068214D"/>
    <w:rsid w:val="00682B9B"/>
    <w:rsid w:val="00682CEE"/>
    <w:rsid w:val="006833FB"/>
    <w:rsid w:val="006834E2"/>
    <w:rsid w:val="00683588"/>
    <w:rsid w:val="00683767"/>
    <w:rsid w:val="00684296"/>
    <w:rsid w:val="006844B5"/>
    <w:rsid w:val="00684DBB"/>
    <w:rsid w:val="00684F64"/>
    <w:rsid w:val="006856CD"/>
    <w:rsid w:val="0068598B"/>
    <w:rsid w:val="00685A63"/>
    <w:rsid w:val="00685B5E"/>
    <w:rsid w:val="00685D18"/>
    <w:rsid w:val="00685E22"/>
    <w:rsid w:val="00685E6A"/>
    <w:rsid w:val="006870D9"/>
    <w:rsid w:val="006870F5"/>
    <w:rsid w:val="006874A9"/>
    <w:rsid w:val="006875A5"/>
    <w:rsid w:val="006875DB"/>
    <w:rsid w:val="00687990"/>
    <w:rsid w:val="006879BD"/>
    <w:rsid w:val="00687A84"/>
    <w:rsid w:val="00690087"/>
    <w:rsid w:val="006902F3"/>
    <w:rsid w:val="00690734"/>
    <w:rsid w:val="00690CA0"/>
    <w:rsid w:val="00690CFE"/>
    <w:rsid w:val="00691033"/>
    <w:rsid w:val="00691090"/>
    <w:rsid w:val="006910EC"/>
    <w:rsid w:val="00691930"/>
    <w:rsid w:val="00691D4D"/>
    <w:rsid w:val="00691E78"/>
    <w:rsid w:val="006921F8"/>
    <w:rsid w:val="00692901"/>
    <w:rsid w:val="00692C72"/>
    <w:rsid w:val="00692C77"/>
    <w:rsid w:val="006930F6"/>
    <w:rsid w:val="006931CE"/>
    <w:rsid w:val="00693213"/>
    <w:rsid w:val="006934A0"/>
    <w:rsid w:val="006936AD"/>
    <w:rsid w:val="00693A1F"/>
    <w:rsid w:val="00693C4F"/>
    <w:rsid w:val="00693FFD"/>
    <w:rsid w:val="00694500"/>
    <w:rsid w:val="0069478E"/>
    <w:rsid w:val="006948D6"/>
    <w:rsid w:val="0069498F"/>
    <w:rsid w:val="006949A0"/>
    <w:rsid w:val="006949F5"/>
    <w:rsid w:val="00694AE8"/>
    <w:rsid w:val="00694DD1"/>
    <w:rsid w:val="0069527F"/>
    <w:rsid w:val="006954AA"/>
    <w:rsid w:val="00695727"/>
    <w:rsid w:val="00695FAA"/>
    <w:rsid w:val="006965D7"/>
    <w:rsid w:val="006969CC"/>
    <w:rsid w:val="00696A47"/>
    <w:rsid w:val="00696D62"/>
    <w:rsid w:val="00697136"/>
    <w:rsid w:val="00697246"/>
    <w:rsid w:val="00697698"/>
    <w:rsid w:val="006976F7"/>
    <w:rsid w:val="006979D7"/>
    <w:rsid w:val="00697C83"/>
    <w:rsid w:val="006A0037"/>
    <w:rsid w:val="006A0C9B"/>
    <w:rsid w:val="006A0DAA"/>
    <w:rsid w:val="006A0F98"/>
    <w:rsid w:val="006A1006"/>
    <w:rsid w:val="006A151E"/>
    <w:rsid w:val="006A19B8"/>
    <w:rsid w:val="006A22CF"/>
    <w:rsid w:val="006A2511"/>
    <w:rsid w:val="006A2656"/>
    <w:rsid w:val="006A27DD"/>
    <w:rsid w:val="006A29A4"/>
    <w:rsid w:val="006A2EBA"/>
    <w:rsid w:val="006A3070"/>
    <w:rsid w:val="006A32D8"/>
    <w:rsid w:val="006A37EC"/>
    <w:rsid w:val="006A3853"/>
    <w:rsid w:val="006A3AF9"/>
    <w:rsid w:val="006A3AFC"/>
    <w:rsid w:val="006A3CDD"/>
    <w:rsid w:val="006A3CDF"/>
    <w:rsid w:val="006A3EEF"/>
    <w:rsid w:val="006A46A4"/>
    <w:rsid w:val="006A4711"/>
    <w:rsid w:val="006A47ED"/>
    <w:rsid w:val="006A4818"/>
    <w:rsid w:val="006A4976"/>
    <w:rsid w:val="006A4A2B"/>
    <w:rsid w:val="006A4C0D"/>
    <w:rsid w:val="006A5222"/>
    <w:rsid w:val="006A564A"/>
    <w:rsid w:val="006A5E23"/>
    <w:rsid w:val="006A5E78"/>
    <w:rsid w:val="006A5FAA"/>
    <w:rsid w:val="006A5FEF"/>
    <w:rsid w:val="006A6633"/>
    <w:rsid w:val="006A6887"/>
    <w:rsid w:val="006A6CE7"/>
    <w:rsid w:val="006A6FD9"/>
    <w:rsid w:val="006A7017"/>
    <w:rsid w:val="006A733A"/>
    <w:rsid w:val="006A7497"/>
    <w:rsid w:val="006A76CB"/>
    <w:rsid w:val="006A7988"/>
    <w:rsid w:val="006A7998"/>
    <w:rsid w:val="006A7E73"/>
    <w:rsid w:val="006B007A"/>
    <w:rsid w:val="006B0144"/>
    <w:rsid w:val="006B0272"/>
    <w:rsid w:val="006B0CAF"/>
    <w:rsid w:val="006B0FF8"/>
    <w:rsid w:val="006B1424"/>
    <w:rsid w:val="006B1B3B"/>
    <w:rsid w:val="006B1C48"/>
    <w:rsid w:val="006B1ECD"/>
    <w:rsid w:val="006B2146"/>
    <w:rsid w:val="006B21F2"/>
    <w:rsid w:val="006B298B"/>
    <w:rsid w:val="006B3185"/>
    <w:rsid w:val="006B38E1"/>
    <w:rsid w:val="006B39C8"/>
    <w:rsid w:val="006B4498"/>
    <w:rsid w:val="006B45E5"/>
    <w:rsid w:val="006B463C"/>
    <w:rsid w:val="006B4BB4"/>
    <w:rsid w:val="006B4D22"/>
    <w:rsid w:val="006B4E3E"/>
    <w:rsid w:val="006B50E7"/>
    <w:rsid w:val="006B57B9"/>
    <w:rsid w:val="006B58DB"/>
    <w:rsid w:val="006B5BAE"/>
    <w:rsid w:val="006B5F29"/>
    <w:rsid w:val="006B61F1"/>
    <w:rsid w:val="006B63D0"/>
    <w:rsid w:val="006B65E4"/>
    <w:rsid w:val="006B6B38"/>
    <w:rsid w:val="006B6C6C"/>
    <w:rsid w:val="006B6C74"/>
    <w:rsid w:val="006B6D80"/>
    <w:rsid w:val="006B6EE8"/>
    <w:rsid w:val="006B75E4"/>
    <w:rsid w:val="006B7ABF"/>
    <w:rsid w:val="006B7B56"/>
    <w:rsid w:val="006B7CD8"/>
    <w:rsid w:val="006C0016"/>
    <w:rsid w:val="006C043D"/>
    <w:rsid w:val="006C067C"/>
    <w:rsid w:val="006C06A9"/>
    <w:rsid w:val="006C077D"/>
    <w:rsid w:val="006C09B2"/>
    <w:rsid w:val="006C09DD"/>
    <w:rsid w:val="006C0AD9"/>
    <w:rsid w:val="006C11C0"/>
    <w:rsid w:val="006C11E4"/>
    <w:rsid w:val="006C126F"/>
    <w:rsid w:val="006C18D7"/>
    <w:rsid w:val="006C1B19"/>
    <w:rsid w:val="006C1C95"/>
    <w:rsid w:val="006C1E79"/>
    <w:rsid w:val="006C2002"/>
    <w:rsid w:val="006C2007"/>
    <w:rsid w:val="006C20FE"/>
    <w:rsid w:val="006C2121"/>
    <w:rsid w:val="006C228D"/>
    <w:rsid w:val="006C22AE"/>
    <w:rsid w:val="006C23D0"/>
    <w:rsid w:val="006C2537"/>
    <w:rsid w:val="006C28B8"/>
    <w:rsid w:val="006C292D"/>
    <w:rsid w:val="006C2996"/>
    <w:rsid w:val="006C2A59"/>
    <w:rsid w:val="006C2AE0"/>
    <w:rsid w:val="006C2C28"/>
    <w:rsid w:val="006C2D1F"/>
    <w:rsid w:val="006C30BC"/>
    <w:rsid w:val="006C312E"/>
    <w:rsid w:val="006C358A"/>
    <w:rsid w:val="006C3B07"/>
    <w:rsid w:val="006C4915"/>
    <w:rsid w:val="006C4B13"/>
    <w:rsid w:val="006C4B26"/>
    <w:rsid w:val="006C50E6"/>
    <w:rsid w:val="006C5377"/>
    <w:rsid w:val="006C53F1"/>
    <w:rsid w:val="006C5EE0"/>
    <w:rsid w:val="006C654F"/>
    <w:rsid w:val="006C66D1"/>
    <w:rsid w:val="006C6EC5"/>
    <w:rsid w:val="006C6FBB"/>
    <w:rsid w:val="006C7039"/>
    <w:rsid w:val="006C7320"/>
    <w:rsid w:val="006C73D8"/>
    <w:rsid w:val="006C7571"/>
    <w:rsid w:val="006C76F7"/>
    <w:rsid w:val="006C7988"/>
    <w:rsid w:val="006C7ADD"/>
    <w:rsid w:val="006D003D"/>
    <w:rsid w:val="006D021D"/>
    <w:rsid w:val="006D023A"/>
    <w:rsid w:val="006D0883"/>
    <w:rsid w:val="006D08EC"/>
    <w:rsid w:val="006D09B5"/>
    <w:rsid w:val="006D0CD3"/>
    <w:rsid w:val="006D11B5"/>
    <w:rsid w:val="006D163A"/>
    <w:rsid w:val="006D1771"/>
    <w:rsid w:val="006D18AE"/>
    <w:rsid w:val="006D1985"/>
    <w:rsid w:val="006D1C2C"/>
    <w:rsid w:val="006D1FC8"/>
    <w:rsid w:val="006D2160"/>
    <w:rsid w:val="006D235C"/>
    <w:rsid w:val="006D242D"/>
    <w:rsid w:val="006D3881"/>
    <w:rsid w:val="006D3981"/>
    <w:rsid w:val="006D3A17"/>
    <w:rsid w:val="006D3DA9"/>
    <w:rsid w:val="006D3EDC"/>
    <w:rsid w:val="006D3EF2"/>
    <w:rsid w:val="006D4142"/>
    <w:rsid w:val="006D41CD"/>
    <w:rsid w:val="006D4273"/>
    <w:rsid w:val="006D4369"/>
    <w:rsid w:val="006D4809"/>
    <w:rsid w:val="006D4821"/>
    <w:rsid w:val="006D4884"/>
    <w:rsid w:val="006D496E"/>
    <w:rsid w:val="006D4985"/>
    <w:rsid w:val="006D4B1F"/>
    <w:rsid w:val="006D4BF9"/>
    <w:rsid w:val="006D4C46"/>
    <w:rsid w:val="006D4FF9"/>
    <w:rsid w:val="006D516F"/>
    <w:rsid w:val="006D56CC"/>
    <w:rsid w:val="006D57E1"/>
    <w:rsid w:val="006D59E7"/>
    <w:rsid w:val="006D5C3D"/>
    <w:rsid w:val="006D5DA5"/>
    <w:rsid w:val="006D5DD9"/>
    <w:rsid w:val="006D5EA4"/>
    <w:rsid w:val="006D6038"/>
    <w:rsid w:val="006D6493"/>
    <w:rsid w:val="006D64E0"/>
    <w:rsid w:val="006D65FB"/>
    <w:rsid w:val="006D6886"/>
    <w:rsid w:val="006D68F2"/>
    <w:rsid w:val="006D69B8"/>
    <w:rsid w:val="006D724A"/>
    <w:rsid w:val="006D72E1"/>
    <w:rsid w:val="006D7A43"/>
    <w:rsid w:val="006D7D6E"/>
    <w:rsid w:val="006E0530"/>
    <w:rsid w:val="006E05BA"/>
    <w:rsid w:val="006E0837"/>
    <w:rsid w:val="006E094B"/>
    <w:rsid w:val="006E0AEA"/>
    <w:rsid w:val="006E0C3B"/>
    <w:rsid w:val="006E0FBE"/>
    <w:rsid w:val="006E10CA"/>
    <w:rsid w:val="006E10DB"/>
    <w:rsid w:val="006E18E5"/>
    <w:rsid w:val="006E2035"/>
    <w:rsid w:val="006E210D"/>
    <w:rsid w:val="006E2182"/>
    <w:rsid w:val="006E2204"/>
    <w:rsid w:val="006E230C"/>
    <w:rsid w:val="006E24BE"/>
    <w:rsid w:val="006E25C7"/>
    <w:rsid w:val="006E2637"/>
    <w:rsid w:val="006E2AB2"/>
    <w:rsid w:val="006E2C69"/>
    <w:rsid w:val="006E2CEF"/>
    <w:rsid w:val="006E3215"/>
    <w:rsid w:val="006E34D1"/>
    <w:rsid w:val="006E36C7"/>
    <w:rsid w:val="006E3DFD"/>
    <w:rsid w:val="006E4467"/>
    <w:rsid w:val="006E44D6"/>
    <w:rsid w:val="006E492D"/>
    <w:rsid w:val="006E4937"/>
    <w:rsid w:val="006E4A14"/>
    <w:rsid w:val="006E4B2E"/>
    <w:rsid w:val="006E4BA9"/>
    <w:rsid w:val="006E4DDF"/>
    <w:rsid w:val="006E4E7A"/>
    <w:rsid w:val="006E4F06"/>
    <w:rsid w:val="006E50F8"/>
    <w:rsid w:val="006E52CF"/>
    <w:rsid w:val="006E53DF"/>
    <w:rsid w:val="006E5920"/>
    <w:rsid w:val="006E5BB8"/>
    <w:rsid w:val="006E6001"/>
    <w:rsid w:val="006E66A9"/>
    <w:rsid w:val="006E671A"/>
    <w:rsid w:val="006E6880"/>
    <w:rsid w:val="006E6B72"/>
    <w:rsid w:val="006E6CBD"/>
    <w:rsid w:val="006E7006"/>
    <w:rsid w:val="006E7193"/>
    <w:rsid w:val="006E7255"/>
    <w:rsid w:val="006E7318"/>
    <w:rsid w:val="006E7DDE"/>
    <w:rsid w:val="006E7EB4"/>
    <w:rsid w:val="006F04D8"/>
    <w:rsid w:val="006F0A0B"/>
    <w:rsid w:val="006F101B"/>
    <w:rsid w:val="006F10DD"/>
    <w:rsid w:val="006F15D1"/>
    <w:rsid w:val="006F1912"/>
    <w:rsid w:val="006F1B0B"/>
    <w:rsid w:val="006F20B4"/>
    <w:rsid w:val="006F20C9"/>
    <w:rsid w:val="006F2148"/>
    <w:rsid w:val="006F2492"/>
    <w:rsid w:val="006F25AE"/>
    <w:rsid w:val="006F265B"/>
    <w:rsid w:val="006F298D"/>
    <w:rsid w:val="006F2D03"/>
    <w:rsid w:val="006F2FAB"/>
    <w:rsid w:val="006F3154"/>
    <w:rsid w:val="006F3265"/>
    <w:rsid w:val="006F3408"/>
    <w:rsid w:val="006F36CF"/>
    <w:rsid w:val="006F3964"/>
    <w:rsid w:val="006F4780"/>
    <w:rsid w:val="006F4812"/>
    <w:rsid w:val="006F4954"/>
    <w:rsid w:val="006F4A66"/>
    <w:rsid w:val="006F4EF4"/>
    <w:rsid w:val="006F5046"/>
    <w:rsid w:val="006F5C74"/>
    <w:rsid w:val="006F5CD8"/>
    <w:rsid w:val="006F5D92"/>
    <w:rsid w:val="006F611A"/>
    <w:rsid w:val="006F678D"/>
    <w:rsid w:val="006F6B40"/>
    <w:rsid w:val="006F703D"/>
    <w:rsid w:val="006F729C"/>
    <w:rsid w:val="006F75BF"/>
    <w:rsid w:val="006F78A2"/>
    <w:rsid w:val="006F78EC"/>
    <w:rsid w:val="006F7D55"/>
    <w:rsid w:val="006F7F89"/>
    <w:rsid w:val="0070007B"/>
    <w:rsid w:val="00700390"/>
    <w:rsid w:val="00700A9F"/>
    <w:rsid w:val="00701163"/>
    <w:rsid w:val="00701388"/>
    <w:rsid w:val="007014DD"/>
    <w:rsid w:val="007015F1"/>
    <w:rsid w:val="00701AF5"/>
    <w:rsid w:val="0070222E"/>
    <w:rsid w:val="0070225D"/>
    <w:rsid w:val="00702514"/>
    <w:rsid w:val="007029A2"/>
    <w:rsid w:val="007029A8"/>
    <w:rsid w:val="00702E26"/>
    <w:rsid w:val="007037D1"/>
    <w:rsid w:val="00703A7B"/>
    <w:rsid w:val="00703F11"/>
    <w:rsid w:val="00704185"/>
    <w:rsid w:val="0070422C"/>
    <w:rsid w:val="00704303"/>
    <w:rsid w:val="00704418"/>
    <w:rsid w:val="00704AB7"/>
    <w:rsid w:val="00704ADF"/>
    <w:rsid w:val="0070502F"/>
    <w:rsid w:val="00705319"/>
    <w:rsid w:val="00705416"/>
    <w:rsid w:val="007054BB"/>
    <w:rsid w:val="007055D3"/>
    <w:rsid w:val="00705A15"/>
    <w:rsid w:val="00705B0D"/>
    <w:rsid w:val="007064EE"/>
    <w:rsid w:val="00706652"/>
    <w:rsid w:val="007066F5"/>
    <w:rsid w:val="0070696B"/>
    <w:rsid w:val="00706AF9"/>
    <w:rsid w:val="00706B71"/>
    <w:rsid w:val="00706EBD"/>
    <w:rsid w:val="00706EEB"/>
    <w:rsid w:val="00706F75"/>
    <w:rsid w:val="00707773"/>
    <w:rsid w:val="00707B1D"/>
    <w:rsid w:val="00707B6B"/>
    <w:rsid w:val="00707F11"/>
    <w:rsid w:val="00710533"/>
    <w:rsid w:val="00710FA0"/>
    <w:rsid w:val="0071153A"/>
    <w:rsid w:val="00711667"/>
    <w:rsid w:val="007119EA"/>
    <w:rsid w:val="00711A65"/>
    <w:rsid w:val="0071263F"/>
    <w:rsid w:val="00712693"/>
    <w:rsid w:val="007127A7"/>
    <w:rsid w:val="00712A40"/>
    <w:rsid w:val="00712BE1"/>
    <w:rsid w:val="007130FD"/>
    <w:rsid w:val="0071351F"/>
    <w:rsid w:val="007135F8"/>
    <w:rsid w:val="00713A5F"/>
    <w:rsid w:val="00713D3A"/>
    <w:rsid w:val="00713F35"/>
    <w:rsid w:val="00713FE4"/>
    <w:rsid w:val="0071422C"/>
    <w:rsid w:val="00714A1E"/>
    <w:rsid w:val="00714A29"/>
    <w:rsid w:val="00714AFC"/>
    <w:rsid w:val="00714D95"/>
    <w:rsid w:val="00714EF8"/>
    <w:rsid w:val="00714F11"/>
    <w:rsid w:val="0071511D"/>
    <w:rsid w:val="007156A6"/>
    <w:rsid w:val="0071576F"/>
    <w:rsid w:val="00715862"/>
    <w:rsid w:val="00715BBA"/>
    <w:rsid w:val="00715F0C"/>
    <w:rsid w:val="00715FB3"/>
    <w:rsid w:val="00716006"/>
    <w:rsid w:val="0071651D"/>
    <w:rsid w:val="00716538"/>
    <w:rsid w:val="007169EF"/>
    <w:rsid w:val="00716A32"/>
    <w:rsid w:val="00716CCA"/>
    <w:rsid w:val="007171C0"/>
    <w:rsid w:val="00717915"/>
    <w:rsid w:val="00720708"/>
    <w:rsid w:val="0072087C"/>
    <w:rsid w:val="00720BBF"/>
    <w:rsid w:val="00720EED"/>
    <w:rsid w:val="00720F4E"/>
    <w:rsid w:val="0072102B"/>
    <w:rsid w:val="007211E0"/>
    <w:rsid w:val="0072160A"/>
    <w:rsid w:val="0072162F"/>
    <w:rsid w:val="0072183E"/>
    <w:rsid w:val="00721A48"/>
    <w:rsid w:val="00721E5D"/>
    <w:rsid w:val="00721F6A"/>
    <w:rsid w:val="007222C1"/>
    <w:rsid w:val="007223F0"/>
    <w:rsid w:val="007225F6"/>
    <w:rsid w:val="007226E4"/>
    <w:rsid w:val="00722800"/>
    <w:rsid w:val="00722850"/>
    <w:rsid w:val="00722D0C"/>
    <w:rsid w:val="00722FAB"/>
    <w:rsid w:val="007232BD"/>
    <w:rsid w:val="00723479"/>
    <w:rsid w:val="00723C27"/>
    <w:rsid w:val="00723C77"/>
    <w:rsid w:val="00723E7C"/>
    <w:rsid w:val="00723F16"/>
    <w:rsid w:val="0072407A"/>
    <w:rsid w:val="00725250"/>
    <w:rsid w:val="00725A1A"/>
    <w:rsid w:val="00726039"/>
    <w:rsid w:val="007260F4"/>
    <w:rsid w:val="007260FD"/>
    <w:rsid w:val="00726143"/>
    <w:rsid w:val="0072641D"/>
    <w:rsid w:val="00726C59"/>
    <w:rsid w:val="00726D06"/>
    <w:rsid w:val="0072715E"/>
    <w:rsid w:val="00727332"/>
    <w:rsid w:val="007275E6"/>
    <w:rsid w:val="00727798"/>
    <w:rsid w:val="00727810"/>
    <w:rsid w:val="00727829"/>
    <w:rsid w:val="007279B8"/>
    <w:rsid w:val="00727BA5"/>
    <w:rsid w:val="00727DFA"/>
    <w:rsid w:val="00730022"/>
    <w:rsid w:val="0073074D"/>
    <w:rsid w:val="00730C35"/>
    <w:rsid w:val="00731228"/>
    <w:rsid w:val="007313DC"/>
    <w:rsid w:val="00731B16"/>
    <w:rsid w:val="00731B25"/>
    <w:rsid w:val="00731B31"/>
    <w:rsid w:val="00731E52"/>
    <w:rsid w:val="007323ED"/>
    <w:rsid w:val="00732940"/>
    <w:rsid w:val="0073298A"/>
    <w:rsid w:val="00732A1B"/>
    <w:rsid w:val="00732C54"/>
    <w:rsid w:val="00733073"/>
    <w:rsid w:val="00733595"/>
    <w:rsid w:val="0073361A"/>
    <w:rsid w:val="007337D6"/>
    <w:rsid w:val="00733CCC"/>
    <w:rsid w:val="00733DD7"/>
    <w:rsid w:val="00733F8C"/>
    <w:rsid w:val="00734267"/>
    <w:rsid w:val="00734422"/>
    <w:rsid w:val="00734757"/>
    <w:rsid w:val="007347C7"/>
    <w:rsid w:val="00734CA0"/>
    <w:rsid w:val="00734F9C"/>
    <w:rsid w:val="00734FD8"/>
    <w:rsid w:val="0073513D"/>
    <w:rsid w:val="007357F2"/>
    <w:rsid w:val="00735892"/>
    <w:rsid w:val="00735953"/>
    <w:rsid w:val="0073599B"/>
    <w:rsid w:val="00735A5C"/>
    <w:rsid w:val="0073635E"/>
    <w:rsid w:val="00736D85"/>
    <w:rsid w:val="00736DE9"/>
    <w:rsid w:val="0073700E"/>
    <w:rsid w:val="007374A4"/>
    <w:rsid w:val="007374DD"/>
    <w:rsid w:val="0073757E"/>
    <w:rsid w:val="0073758C"/>
    <w:rsid w:val="00737AF6"/>
    <w:rsid w:val="00737BB7"/>
    <w:rsid w:val="00737CD0"/>
    <w:rsid w:val="00737D51"/>
    <w:rsid w:val="00737DAD"/>
    <w:rsid w:val="00737EDF"/>
    <w:rsid w:val="0074026F"/>
    <w:rsid w:val="0074046E"/>
    <w:rsid w:val="00740858"/>
    <w:rsid w:val="007409B6"/>
    <w:rsid w:val="00740C39"/>
    <w:rsid w:val="00740DCC"/>
    <w:rsid w:val="00740E80"/>
    <w:rsid w:val="00741376"/>
    <w:rsid w:val="007414E9"/>
    <w:rsid w:val="00741542"/>
    <w:rsid w:val="00741C85"/>
    <w:rsid w:val="00741ECB"/>
    <w:rsid w:val="00741FE4"/>
    <w:rsid w:val="00742608"/>
    <w:rsid w:val="0074267C"/>
    <w:rsid w:val="007426FC"/>
    <w:rsid w:val="007428AE"/>
    <w:rsid w:val="00742A2B"/>
    <w:rsid w:val="00742A5C"/>
    <w:rsid w:val="00742A8D"/>
    <w:rsid w:val="00742B6F"/>
    <w:rsid w:val="00742CB8"/>
    <w:rsid w:val="00742DAD"/>
    <w:rsid w:val="0074301B"/>
    <w:rsid w:val="007432D3"/>
    <w:rsid w:val="00743378"/>
    <w:rsid w:val="007436BA"/>
    <w:rsid w:val="00743924"/>
    <w:rsid w:val="00743A01"/>
    <w:rsid w:val="00743A02"/>
    <w:rsid w:val="00743F3B"/>
    <w:rsid w:val="007449D5"/>
    <w:rsid w:val="00744B0E"/>
    <w:rsid w:val="007450BF"/>
    <w:rsid w:val="0074522B"/>
    <w:rsid w:val="00745BF3"/>
    <w:rsid w:val="00745CE0"/>
    <w:rsid w:val="00745F65"/>
    <w:rsid w:val="007464B3"/>
    <w:rsid w:val="00746682"/>
    <w:rsid w:val="007468A7"/>
    <w:rsid w:val="007471C7"/>
    <w:rsid w:val="007475D9"/>
    <w:rsid w:val="00747913"/>
    <w:rsid w:val="00747D17"/>
    <w:rsid w:val="00747E36"/>
    <w:rsid w:val="00747ED1"/>
    <w:rsid w:val="00747F92"/>
    <w:rsid w:val="00750809"/>
    <w:rsid w:val="00750AA8"/>
    <w:rsid w:val="00750D50"/>
    <w:rsid w:val="00750EBC"/>
    <w:rsid w:val="00750F44"/>
    <w:rsid w:val="0075114F"/>
    <w:rsid w:val="00751685"/>
    <w:rsid w:val="00751A20"/>
    <w:rsid w:val="00751A61"/>
    <w:rsid w:val="00752069"/>
    <w:rsid w:val="007523EA"/>
    <w:rsid w:val="00752477"/>
    <w:rsid w:val="007525B0"/>
    <w:rsid w:val="007525C1"/>
    <w:rsid w:val="00752720"/>
    <w:rsid w:val="007528D7"/>
    <w:rsid w:val="00752A84"/>
    <w:rsid w:val="00752B18"/>
    <w:rsid w:val="00752B50"/>
    <w:rsid w:val="00752D93"/>
    <w:rsid w:val="00753083"/>
    <w:rsid w:val="0075317B"/>
    <w:rsid w:val="007532C0"/>
    <w:rsid w:val="0075331B"/>
    <w:rsid w:val="0075381C"/>
    <w:rsid w:val="007539FA"/>
    <w:rsid w:val="00753C15"/>
    <w:rsid w:val="00754167"/>
    <w:rsid w:val="0075434B"/>
    <w:rsid w:val="00754384"/>
    <w:rsid w:val="0075474C"/>
    <w:rsid w:val="0075492D"/>
    <w:rsid w:val="00754C3B"/>
    <w:rsid w:val="00755043"/>
    <w:rsid w:val="00755068"/>
    <w:rsid w:val="007553DD"/>
    <w:rsid w:val="00755562"/>
    <w:rsid w:val="007558C7"/>
    <w:rsid w:val="007558D6"/>
    <w:rsid w:val="00755C42"/>
    <w:rsid w:val="00755E06"/>
    <w:rsid w:val="00755E67"/>
    <w:rsid w:val="00756053"/>
    <w:rsid w:val="007560A6"/>
    <w:rsid w:val="007567C5"/>
    <w:rsid w:val="00756B79"/>
    <w:rsid w:val="00756D1B"/>
    <w:rsid w:val="00756DA8"/>
    <w:rsid w:val="007578FC"/>
    <w:rsid w:val="00757A63"/>
    <w:rsid w:val="00757ACA"/>
    <w:rsid w:val="00757B6E"/>
    <w:rsid w:val="0076071C"/>
    <w:rsid w:val="007608D3"/>
    <w:rsid w:val="00760904"/>
    <w:rsid w:val="00760DB7"/>
    <w:rsid w:val="00760E51"/>
    <w:rsid w:val="00760FCA"/>
    <w:rsid w:val="00761366"/>
    <w:rsid w:val="007613D1"/>
    <w:rsid w:val="0076158D"/>
    <w:rsid w:val="00761620"/>
    <w:rsid w:val="00761A10"/>
    <w:rsid w:val="0076254A"/>
    <w:rsid w:val="00762FB4"/>
    <w:rsid w:val="0076348D"/>
    <w:rsid w:val="0076349E"/>
    <w:rsid w:val="0076387F"/>
    <w:rsid w:val="00763A39"/>
    <w:rsid w:val="00763B0D"/>
    <w:rsid w:val="00763EE4"/>
    <w:rsid w:val="0076410A"/>
    <w:rsid w:val="00764B29"/>
    <w:rsid w:val="00764BE2"/>
    <w:rsid w:val="00764DD6"/>
    <w:rsid w:val="00764E10"/>
    <w:rsid w:val="00764E4F"/>
    <w:rsid w:val="00765213"/>
    <w:rsid w:val="007655AD"/>
    <w:rsid w:val="007658D9"/>
    <w:rsid w:val="00765BE3"/>
    <w:rsid w:val="00765CEB"/>
    <w:rsid w:val="00765D55"/>
    <w:rsid w:val="00766002"/>
    <w:rsid w:val="0076676F"/>
    <w:rsid w:val="00766803"/>
    <w:rsid w:val="00766A31"/>
    <w:rsid w:val="00766B5D"/>
    <w:rsid w:val="00766D63"/>
    <w:rsid w:val="00766E7B"/>
    <w:rsid w:val="00766E9E"/>
    <w:rsid w:val="00767103"/>
    <w:rsid w:val="00767181"/>
    <w:rsid w:val="0076737F"/>
    <w:rsid w:val="007674F2"/>
    <w:rsid w:val="007675C8"/>
    <w:rsid w:val="007677BB"/>
    <w:rsid w:val="0076792C"/>
    <w:rsid w:val="00767D32"/>
    <w:rsid w:val="00767F93"/>
    <w:rsid w:val="00770214"/>
    <w:rsid w:val="00770353"/>
    <w:rsid w:val="00770578"/>
    <w:rsid w:val="0077080A"/>
    <w:rsid w:val="00770836"/>
    <w:rsid w:val="007708DE"/>
    <w:rsid w:val="00770AE2"/>
    <w:rsid w:val="0077108B"/>
    <w:rsid w:val="00771412"/>
    <w:rsid w:val="007714CF"/>
    <w:rsid w:val="007719C1"/>
    <w:rsid w:val="00771F98"/>
    <w:rsid w:val="007724A9"/>
    <w:rsid w:val="007726C2"/>
    <w:rsid w:val="007728EC"/>
    <w:rsid w:val="00772A05"/>
    <w:rsid w:val="00772A20"/>
    <w:rsid w:val="00772BC1"/>
    <w:rsid w:val="00772CCF"/>
    <w:rsid w:val="00772E05"/>
    <w:rsid w:val="0077300D"/>
    <w:rsid w:val="007734E3"/>
    <w:rsid w:val="00774112"/>
    <w:rsid w:val="007743A8"/>
    <w:rsid w:val="007744AC"/>
    <w:rsid w:val="007748B2"/>
    <w:rsid w:val="007749AF"/>
    <w:rsid w:val="00774BDC"/>
    <w:rsid w:val="00774FED"/>
    <w:rsid w:val="00775283"/>
    <w:rsid w:val="007755C6"/>
    <w:rsid w:val="00775762"/>
    <w:rsid w:val="0077599A"/>
    <w:rsid w:val="00775F8E"/>
    <w:rsid w:val="007764D3"/>
    <w:rsid w:val="00776CC0"/>
    <w:rsid w:val="00777065"/>
    <w:rsid w:val="0077731F"/>
    <w:rsid w:val="00777345"/>
    <w:rsid w:val="007777C6"/>
    <w:rsid w:val="0077780C"/>
    <w:rsid w:val="00777D9A"/>
    <w:rsid w:val="007802B7"/>
    <w:rsid w:val="00780892"/>
    <w:rsid w:val="007809A4"/>
    <w:rsid w:val="00780C83"/>
    <w:rsid w:val="00780DDE"/>
    <w:rsid w:val="00780E6B"/>
    <w:rsid w:val="00781659"/>
    <w:rsid w:val="007817C9"/>
    <w:rsid w:val="00781939"/>
    <w:rsid w:val="00781CE4"/>
    <w:rsid w:val="00781EE6"/>
    <w:rsid w:val="0078251B"/>
    <w:rsid w:val="00782B5E"/>
    <w:rsid w:val="00782C7B"/>
    <w:rsid w:val="00782C8F"/>
    <w:rsid w:val="00782F5A"/>
    <w:rsid w:val="00783278"/>
    <w:rsid w:val="007836E9"/>
    <w:rsid w:val="00783879"/>
    <w:rsid w:val="0078394A"/>
    <w:rsid w:val="00783C8F"/>
    <w:rsid w:val="007841BD"/>
    <w:rsid w:val="0078439D"/>
    <w:rsid w:val="007849E0"/>
    <w:rsid w:val="00784B5E"/>
    <w:rsid w:val="00784E51"/>
    <w:rsid w:val="00785114"/>
    <w:rsid w:val="00785343"/>
    <w:rsid w:val="00785469"/>
    <w:rsid w:val="00785518"/>
    <w:rsid w:val="00785CA9"/>
    <w:rsid w:val="00785CBD"/>
    <w:rsid w:val="00785CFD"/>
    <w:rsid w:val="00785FAF"/>
    <w:rsid w:val="0078674B"/>
    <w:rsid w:val="007867B5"/>
    <w:rsid w:val="007867E3"/>
    <w:rsid w:val="00786C83"/>
    <w:rsid w:val="00786FC3"/>
    <w:rsid w:val="00787633"/>
    <w:rsid w:val="00787932"/>
    <w:rsid w:val="00787975"/>
    <w:rsid w:val="0078799B"/>
    <w:rsid w:val="00787AC5"/>
    <w:rsid w:val="00787B4F"/>
    <w:rsid w:val="00787D25"/>
    <w:rsid w:val="00787ECE"/>
    <w:rsid w:val="00787F7D"/>
    <w:rsid w:val="00787F96"/>
    <w:rsid w:val="007901E3"/>
    <w:rsid w:val="007903BF"/>
    <w:rsid w:val="007909F0"/>
    <w:rsid w:val="00790C5C"/>
    <w:rsid w:val="00790CC6"/>
    <w:rsid w:val="00790E3B"/>
    <w:rsid w:val="007910E9"/>
    <w:rsid w:val="007912F3"/>
    <w:rsid w:val="007913B9"/>
    <w:rsid w:val="007913F1"/>
    <w:rsid w:val="007916E2"/>
    <w:rsid w:val="007917CD"/>
    <w:rsid w:val="007918C4"/>
    <w:rsid w:val="00791A8C"/>
    <w:rsid w:val="00791EE5"/>
    <w:rsid w:val="00791FC6"/>
    <w:rsid w:val="00792045"/>
    <w:rsid w:val="007920B6"/>
    <w:rsid w:val="00792360"/>
    <w:rsid w:val="00792386"/>
    <w:rsid w:val="007927DE"/>
    <w:rsid w:val="00792C0F"/>
    <w:rsid w:val="00792C91"/>
    <w:rsid w:val="00792E70"/>
    <w:rsid w:val="00793046"/>
    <w:rsid w:val="007930D7"/>
    <w:rsid w:val="0079323B"/>
    <w:rsid w:val="00793565"/>
    <w:rsid w:val="007936D0"/>
    <w:rsid w:val="0079370C"/>
    <w:rsid w:val="007937D1"/>
    <w:rsid w:val="00793AA5"/>
    <w:rsid w:val="00793C3D"/>
    <w:rsid w:val="00793FF7"/>
    <w:rsid w:val="00794049"/>
    <w:rsid w:val="00794225"/>
    <w:rsid w:val="007942CA"/>
    <w:rsid w:val="007945A4"/>
    <w:rsid w:val="007945B8"/>
    <w:rsid w:val="007948E3"/>
    <w:rsid w:val="00794A7B"/>
    <w:rsid w:val="007953A8"/>
    <w:rsid w:val="0079556D"/>
    <w:rsid w:val="00795C9D"/>
    <w:rsid w:val="00795DBA"/>
    <w:rsid w:val="00795DD2"/>
    <w:rsid w:val="007960B5"/>
    <w:rsid w:val="007965E1"/>
    <w:rsid w:val="00796E93"/>
    <w:rsid w:val="00796F18"/>
    <w:rsid w:val="00796F8A"/>
    <w:rsid w:val="00797A0A"/>
    <w:rsid w:val="00797B8C"/>
    <w:rsid w:val="00797ECC"/>
    <w:rsid w:val="00797FD7"/>
    <w:rsid w:val="007A00A9"/>
    <w:rsid w:val="007A0204"/>
    <w:rsid w:val="007A050A"/>
    <w:rsid w:val="007A061C"/>
    <w:rsid w:val="007A0654"/>
    <w:rsid w:val="007A065D"/>
    <w:rsid w:val="007A0D22"/>
    <w:rsid w:val="007A0D51"/>
    <w:rsid w:val="007A0F79"/>
    <w:rsid w:val="007A14C2"/>
    <w:rsid w:val="007A1990"/>
    <w:rsid w:val="007A1CA8"/>
    <w:rsid w:val="007A22AB"/>
    <w:rsid w:val="007A2389"/>
    <w:rsid w:val="007A25EC"/>
    <w:rsid w:val="007A266F"/>
    <w:rsid w:val="007A269B"/>
    <w:rsid w:val="007A2BB5"/>
    <w:rsid w:val="007A2D5A"/>
    <w:rsid w:val="007A2EA4"/>
    <w:rsid w:val="007A3219"/>
    <w:rsid w:val="007A36B8"/>
    <w:rsid w:val="007A3823"/>
    <w:rsid w:val="007A38D0"/>
    <w:rsid w:val="007A3E06"/>
    <w:rsid w:val="007A3E40"/>
    <w:rsid w:val="007A3E8F"/>
    <w:rsid w:val="007A427F"/>
    <w:rsid w:val="007A44E6"/>
    <w:rsid w:val="007A45F1"/>
    <w:rsid w:val="007A4664"/>
    <w:rsid w:val="007A4FBA"/>
    <w:rsid w:val="007A524A"/>
    <w:rsid w:val="007A5750"/>
    <w:rsid w:val="007A5D2F"/>
    <w:rsid w:val="007A5E1A"/>
    <w:rsid w:val="007A6150"/>
    <w:rsid w:val="007A6401"/>
    <w:rsid w:val="007A66DE"/>
    <w:rsid w:val="007A678C"/>
    <w:rsid w:val="007A68B7"/>
    <w:rsid w:val="007A69CB"/>
    <w:rsid w:val="007A6BB7"/>
    <w:rsid w:val="007A6EF8"/>
    <w:rsid w:val="007A6FBB"/>
    <w:rsid w:val="007A704E"/>
    <w:rsid w:val="007A705A"/>
    <w:rsid w:val="007A73FA"/>
    <w:rsid w:val="007A764E"/>
    <w:rsid w:val="007A773C"/>
    <w:rsid w:val="007A776F"/>
    <w:rsid w:val="007A79E2"/>
    <w:rsid w:val="007A7BF9"/>
    <w:rsid w:val="007A7CAE"/>
    <w:rsid w:val="007A7D1D"/>
    <w:rsid w:val="007A7D49"/>
    <w:rsid w:val="007A7FC1"/>
    <w:rsid w:val="007B0032"/>
    <w:rsid w:val="007B0044"/>
    <w:rsid w:val="007B00F2"/>
    <w:rsid w:val="007B03A1"/>
    <w:rsid w:val="007B0487"/>
    <w:rsid w:val="007B05A5"/>
    <w:rsid w:val="007B07D0"/>
    <w:rsid w:val="007B08C4"/>
    <w:rsid w:val="007B0B95"/>
    <w:rsid w:val="007B0D13"/>
    <w:rsid w:val="007B0D92"/>
    <w:rsid w:val="007B0D95"/>
    <w:rsid w:val="007B138E"/>
    <w:rsid w:val="007B13AD"/>
    <w:rsid w:val="007B188C"/>
    <w:rsid w:val="007B1BAA"/>
    <w:rsid w:val="007B1DA0"/>
    <w:rsid w:val="007B1FEB"/>
    <w:rsid w:val="007B218B"/>
    <w:rsid w:val="007B2576"/>
    <w:rsid w:val="007B25F1"/>
    <w:rsid w:val="007B264E"/>
    <w:rsid w:val="007B295E"/>
    <w:rsid w:val="007B2A33"/>
    <w:rsid w:val="007B2CB0"/>
    <w:rsid w:val="007B2DC7"/>
    <w:rsid w:val="007B2EDF"/>
    <w:rsid w:val="007B2EE7"/>
    <w:rsid w:val="007B2F9E"/>
    <w:rsid w:val="007B32A0"/>
    <w:rsid w:val="007B3541"/>
    <w:rsid w:val="007B3587"/>
    <w:rsid w:val="007B379C"/>
    <w:rsid w:val="007B3940"/>
    <w:rsid w:val="007B39E5"/>
    <w:rsid w:val="007B39F7"/>
    <w:rsid w:val="007B3C5F"/>
    <w:rsid w:val="007B3CCC"/>
    <w:rsid w:val="007B3F49"/>
    <w:rsid w:val="007B400C"/>
    <w:rsid w:val="007B40DB"/>
    <w:rsid w:val="007B42C1"/>
    <w:rsid w:val="007B435F"/>
    <w:rsid w:val="007B4859"/>
    <w:rsid w:val="007B48FF"/>
    <w:rsid w:val="007B4DAC"/>
    <w:rsid w:val="007B4DB8"/>
    <w:rsid w:val="007B4FF6"/>
    <w:rsid w:val="007B5056"/>
    <w:rsid w:val="007B50E0"/>
    <w:rsid w:val="007B5533"/>
    <w:rsid w:val="007B5723"/>
    <w:rsid w:val="007B5989"/>
    <w:rsid w:val="007B5F5D"/>
    <w:rsid w:val="007B6002"/>
    <w:rsid w:val="007B671B"/>
    <w:rsid w:val="007B6797"/>
    <w:rsid w:val="007B688E"/>
    <w:rsid w:val="007B690D"/>
    <w:rsid w:val="007B6D0F"/>
    <w:rsid w:val="007B6EAF"/>
    <w:rsid w:val="007B7339"/>
    <w:rsid w:val="007B7469"/>
    <w:rsid w:val="007B74C0"/>
    <w:rsid w:val="007B76FB"/>
    <w:rsid w:val="007B78C8"/>
    <w:rsid w:val="007B7B9C"/>
    <w:rsid w:val="007B7C98"/>
    <w:rsid w:val="007C00BC"/>
    <w:rsid w:val="007C0C2A"/>
    <w:rsid w:val="007C0D90"/>
    <w:rsid w:val="007C1039"/>
    <w:rsid w:val="007C12B8"/>
    <w:rsid w:val="007C1439"/>
    <w:rsid w:val="007C143A"/>
    <w:rsid w:val="007C1483"/>
    <w:rsid w:val="007C17B2"/>
    <w:rsid w:val="007C18AF"/>
    <w:rsid w:val="007C1E18"/>
    <w:rsid w:val="007C22F3"/>
    <w:rsid w:val="007C251F"/>
    <w:rsid w:val="007C25A0"/>
    <w:rsid w:val="007C2631"/>
    <w:rsid w:val="007C2866"/>
    <w:rsid w:val="007C28D5"/>
    <w:rsid w:val="007C2BB6"/>
    <w:rsid w:val="007C2D11"/>
    <w:rsid w:val="007C312D"/>
    <w:rsid w:val="007C33F2"/>
    <w:rsid w:val="007C353B"/>
    <w:rsid w:val="007C374A"/>
    <w:rsid w:val="007C3892"/>
    <w:rsid w:val="007C3AC1"/>
    <w:rsid w:val="007C40DB"/>
    <w:rsid w:val="007C4184"/>
    <w:rsid w:val="007C4355"/>
    <w:rsid w:val="007C43B5"/>
    <w:rsid w:val="007C4412"/>
    <w:rsid w:val="007C4A40"/>
    <w:rsid w:val="007C4B78"/>
    <w:rsid w:val="007C4B90"/>
    <w:rsid w:val="007C4C5E"/>
    <w:rsid w:val="007C4E70"/>
    <w:rsid w:val="007C4ED3"/>
    <w:rsid w:val="007C4FA6"/>
    <w:rsid w:val="007C4FC7"/>
    <w:rsid w:val="007C50CC"/>
    <w:rsid w:val="007C5193"/>
    <w:rsid w:val="007C54B0"/>
    <w:rsid w:val="007C55E8"/>
    <w:rsid w:val="007C5634"/>
    <w:rsid w:val="007C5BE0"/>
    <w:rsid w:val="007C5BF8"/>
    <w:rsid w:val="007C5E7A"/>
    <w:rsid w:val="007C5FBA"/>
    <w:rsid w:val="007C60A8"/>
    <w:rsid w:val="007C61F5"/>
    <w:rsid w:val="007C653C"/>
    <w:rsid w:val="007C6671"/>
    <w:rsid w:val="007C66E3"/>
    <w:rsid w:val="007C6D78"/>
    <w:rsid w:val="007C70FA"/>
    <w:rsid w:val="007C7198"/>
    <w:rsid w:val="007C7296"/>
    <w:rsid w:val="007D01B4"/>
    <w:rsid w:val="007D01CE"/>
    <w:rsid w:val="007D038E"/>
    <w:rsid w:val="007D0AD9"/>
    <w:rsid w:val="007D0B2D"/>
    <w:rsid w:val="007D0D23"/>
    <w:rsid w:val="007D0DEE"/>
    <w:rsid w:val="007D0DF3"/>
    <w:rsid w:val="007D1049"/>
    <w:rsid w:val="007D1355"/>
    <w:rsid w:val="007D1453"/>
    <w:rsid w:val="007D1608"/>
    <w:rsid w:val="007D1942"/>
    <w:rsid w:val="007D1EB4"/>
    <w:rsid w:val="007D213E"/>
    <w:rsid w:val="007D213F"/>
    <w:rsid w:val="007D2623"/>
    <w:rsid w:val="007D2687"/>
    <w:rsid w:val="007D2931"/>
    <w:rsid w:val="007D29C6"/>
    <w:rsid w:val="007D2A1B"/>
    <w:rsid w:val="007D2F07"/>
    <w:rsid w:val="007D341C"/>
    <w:rsid w:val="007D3852"/>
    <w:rsid w:val="007D3AA0"/>
    <w:rsid w:val="007D3CC4"/>
    <w:rsid w:val="007D3E6F"/>
    <w:rsid w:val="007D416A"/>
    <w:rsid w:val="007D4443"/>
    <w:rsid w:val="007D4859"/>
    <w:rsid w:val="007D48F2"/>
    <w:rsid w:val="007D4ADA"/>
    <w:rsid w:val="007D4C32"/>
    <w:rsid w:val="007D4D55"/>
    <w:rsid w:val="007D4E44"/>
    <w:rsid w:val="007D503C"/>
    <w:rsid w:val="007D553D"/>
    <w:rsid w:val="007D5843"/>
    <w:rsid w:val="007D5874"/>
    <w:rsid w:val="007D5CCA"/>
    <w:rsid w:val="007D5D2D"/>
    <w:rsid w:val="007D5DEF"/>
    <w:rsid w:val="007D5FA6"/>
    <w:rsid w:val="007D606A"/>
    <w:rsid w:val="007D6F27"/>
    <w:rsid w:val="007D6F53"/>
    <w:rsid w:val="007D6FB0"/>
    <w:rsid w:val="007D7309"/>
    <w:rsid w:val="007D733F"/>
    <w:rsid w:val="007D74A4"/>
    <w:rsid w:val="007D74FD"/>
    <w:rsid w:val="007D7FA1"/>
    <w:rsid w:val="007E0145"/>
    <w:rsid w:val="007E0210"/>
    <w:rsid w:val="007E033C"/>
    <w:rsid w:val="007E0654"/>
    <w:rsid w:val="007E0BE1"/>
    <w:rsid w:val="007E0FD4"/>
    <w:rsid w:val="007E1292"/>
    <w:rsid w:val="007E18B1"/>
    <w:rsid w:val="007E1BAC"/>
    <w:rsid w:val="007E1E15"/>
    <w:rsid w:val="007E1E5A"/>
    <w:rsid w:val="007E20D2"/>
    <w:rsid w:val="007E210D"/>
    <w:rsid w:val="007E22C9"/>
    <w:rsid w:val="007E2365"/>
    <w:rsid w:val="007E279C"/>
    <w:rsid w:val="007E2844"/>
    <w:rsid w:val="007E2E43"/>
    <w:rsid w:val="007E31B6"/>
    <w:rsid w:val="007E36B0"/>
    <w:rsid w:val="007E378F"/>
    <w:rsid w:val="007E38AD"/>
    <w:rsid w:val="007E39D6"/>
    <w:rsid w:val="007E3F4F"/>
    <w:rsid w:val="007E40CD"/>
    <w:rsid w:val="007E41FC"/>
    <w:rsid w:val="007E4206"/>
    <w:rsid w:val="007E43DC"/>
    <w:rsid w:val="007E4CC3"/>
    <w:rsid w:val="007E5038"/>
    <w:rsid w:val="007E5301"/>
    <w:rsid w:val="007E5AED"/>
    <w:rsid w:val="007E5B30"/>
    <w:rsid w:val="007E5CF7"/>
    <w:rsid w:val="007E5FDB"/>
    <w:rsid w:val="007E6079"/>
    <w:rsid w:val="007E610A"/>
    <w:rsid w:val="007E61E1"/>
    <w:rsid w:val="007E6304"/>
    <w:rsid w:val="007E64B0"/>
    <w:rsid w:val="007E69B7"/>
    <w:rsid w:val="007E6A93"/>
    <w:rsid w:val="007E6F2A"/>
    <w:rsid w:val="007E7504"/>
    <w:rsid w:val="007E76C7"/>
    <w:rsid w:val="007E7830"/>
    <w:rsid w:val="007E7A34"/>
    <w:rsid w:val="007E7D1E"/>
    <w:rsid w:val="007F0032"/>
    <w:rsid w:val="007F023A"/>
    <w:rsid w:val="007F04E7"/>
    <w:rsid w:val="007F0613"/>
    <w:rsid w:val="007F0C92"/>
    <w:rsid w:val="007F112A"/>
    <w:rsid w:val="007F1226"/>
    <w:rsid w:val="007F1738"/>
    <w:rsid w:val="007F194B"/>
    <w:rsid w:val="007F1C53"/>
    <w:rsid w:val="007F2177"/>
    <w:rsid w:val="007F226E"/>
    <w:rsid w:val="007F2D2C"/>
    <w:rsid w:val="007F368E"/>
    <w:rsid w:val="007F3740"/>
    <w:rsid w:val="007F3A01"/>
    <w:rsid w:val="007F3AE7"/>
    <w:rsid w:val="007F3C33"/>
    <w:rsid w:val="007F3E3D"/>
    <w:rsid w:val="007F41B4"/>
    <w:rsid w:val="007F4521"/>
    <w:rsid w:val="007F47E9"/>
    <w:rsid w:val="007F4BBB"/>
    <w:rsid w:val="007F4BE5"/>
    <w:rsid w:val="007F4D0C"/>
    <w:rsid w:val="007F5471"/>
    <w:rsid w:val="007F5688"/>
    <w:rsid w:val="007F56E7"/>
    <w:rsid w:val="007F593E"/>
    <w:rsid w:val="007F5994"/>
    <w:rsid w:val="007F5B1C"/>
    <w:rsid w:val="007F5C43"/>
    <w:rsid w:val="007F6159"/>
    <w:rsid w:val="007F632B"/>
    <w:rsid w:val="007F64FE"/>
    <w:rsid w:val="007F6532"/>
    <w:rsid w:val="007F7265"/>
    <w:rsid w:val="007F7381"/>
    <w:rsid w:val="007F76A1"/>
    <w:rsid w:val="007F7822"/>
    <w:rsid w:val="007F78AC"/>
    <w:rsid w:val="007F79AD"/>
    <w:rsid w:val="007F7D0B"/>
    <w:rsid w:val="007F7FEA"/>
    <w:rsid w:val="008005B0"/>
    <w:rsid w:val="0080095D"/>
    <w:rsid w:val="008017CF"/>
    <w:rsid w:val="00801A86"/>
    <w:rsid w:val="00801D5F"/>
    <w:rsid w:val="00801E8F"/>
    <w:rsid w:val="00801F3E"/>
    <w:rsid w:val="00801FBA"/>
    <w:rsid w:val="008020F8"/>
    <w:rsid w:val="008022C9"/>
    <w:rsid w:val="008024DB"/>
    <w:rsid w:val="0080265D"/>
    <w:rsid w:val="008026DF"/>
    <w:rsid w:val="0080277C"/>
    <w:rsid w:val="00802C3A"/>
    <w:rsid w:val="00802C4A"/>
    <w:rsid w:val="00802DA3"/>
    <w:rsid w:val="00802E79"/>
    <w:rsid w:val="00803308"/>
    <w:rsid w:val="0080352D"/>
    <w:rsid w:val="00803547"/>
    <w:rsid w:val="00803B1D"/>
    <w:rsid w:val="00803F69"/>
    <w:rsid w:val="0080404E"/>
    <w:rsid w:val="0080430F"/>
    <w:rsid w:val="0080488A"/>
    <w:rsid w:val="00804AD4"/>
    <w:rsid w:val="00804CE3"/>
    <w:rsid w:val="00804DA5"/>
    <w:rsid w:val="00805072"/>
    <w:rsid w:val="00805197"/>
    <w:rsid w:val="0080527A"/>
    <w:rsid w:val="008052AB"/>
    <w:rsid w:val="00805BCF"/>
    <w:rsid w:val="008060AC"/>
    <w:rsid w:val="008061B4"/>
    <w:rsid w:val="0080645F"/>
    <w:rsid w:val="00806569"/>
    <w:rsid w:val="008067FB"/>
    <w:rsid w:val="008068CF"/>
    <w:rsid w:val="00806B65"/>
    <w:rsid w:val="00806BF8"/>
    <w:rsid w:val="00806DA5"/>
    <w:rsid w:val="00806F71"/>
    <w:rsid w:val="00806FD7"/>
    <w:rsid w:val="00806FF7"/>
    <w:rsid w:val="0080734C"/>
    <w:rsid w:val="008078B6"/>
    <w:rsid w:val="00807A1C"/>
    <w:rsid w:val="00807A2C"/>
    <w:rsid w:val="00807C96"/>
    <w:rsid w:val="00810463"/>
    <w:rsid w:val="008106B4"/>
    <w:rsid w:val="00810871"/>
    <w:rsid w:val="00810C67"/>
    <w:rsid w:val="008118A7"/>
    <w:rsid w:val="008118D5"/>
    <w:rsid w:val="00811AEE"/>
    <w:rsid w:val="00812041"/>
    <w:rsid w:val="00812091"/>
    <w:rsid w:val="00812132"/>
    <w:rsid w:val="008124A4"/>
    <w:rsid w:val="008124B1"/>
    <w:rsid w:val="00812544"/>
    <w:rsid w:val="00812790"/>
    <w:rsid w:val="00812A77"/>
    <w:rsid w:val="00812BAF"/>
    <w:rsid w:val="008130C6"/>
    <w:rsid w:val="00813127"/>
    <w:rsid w:val="00813206"/>
    <w:rsid w:val="00813BB4"/>
    <w:rsid w:val="00813F96"/>
    <w:rsid w:val="00814067"/>
    <w:rsid w:val="008141E5"/>
    <w:rsid w:val="00814518"/>
    <w:rsid w:val="00814739"/>
    <w:rsid w:val="00814BEB"/>
    <w:rsid w:val="00814DB0"/>
    <w:rsid w:val="0081511C"/>
    <w:rsid w:val="00815163"/>
    <w:rsid w:val="008152CB"/>
    <w:rsid w:val="008153C8"/>
    <w:rsid w:val="00815FE1"/>
    <w:rsid w:val="008161E7"/>
    <w:rsid w:val="0081669A"/>
    <w:rsid w:val="0081698E"/>
    <w:rsid w:val="0081708B"/>
    <w:rsid w:val="008172EF"/>
    <w:rsid w:val="0081740F"/>
    <w:rsid w:val="00817935"/>
    <w:rsid w:val="00817A3E"/>
    <w:rsid w:val="00817AC6"/>
    <w:rsid w:val="00817CE2"/>
    <w:rsid w:val="00817D65"/>
    <w:rsid w:val="00817D92"/>
    <w:rsid w:val="00820055"/>
    <w:rsid w:val="00820225"/>
    <w:rsid w:val="008203BF"/>
    <w:rsid w:val="008205E6"/>
    <w:rsid w:val="008208F7"/>
    <w:rsid w:val="00820BE6"/>
    <w:rsid w:val="00820CE7"/>
    <w:rsid w:val="00820E39"/>
    <w:rsid w:val="00820F9C"/>
    <w:rsid w:val="0082108B"/>
    <w:rsid w:val="00821369"/>
    <w:rsid w:val="00821471"/>
    <w:rsid w:val="008218E5"/>
    <w:rsid w:val="00821AA0"/>
    <w:rsid w:val="00821B15"/>
    <w:rsid w:val="00821CBB"/>
    <w:rsid w:val="00821D17"/>
    <w:rsid w:val="0082212F"/>
    <w:rsid w:val="008225A2"/>
    <w:rsid w:val="008225CC"/>
    <w:rsid w:val="00822C23"/>
    <w:rsid w:val="00822D7D"/>
    <w:rsid w:val="008231D7"/>
    <w:rsid w:val="008234FA"/>
    <w:rsid w:val="008235CC"/>
    <w:rsid w:val="00823831"/>
    <w:rsid w:val="00823AAF"/>
    <w:rsid w:val="00823D5E"/>
    <w:rsid w:val="008240A3"/>
    <w:rsid w:val="00824311"/>
    <w:rsid w:val="0082438D"/>
    <w:rsid w:val="00824494"/>
    <w:rsid w:val="008245B9"/>
    <w:rsid w:val="00824C1B"/>
    <w:rsid w:val="008253C9"/>
    <w:rsid w:val="008253D6"/>
    <w:rsid w:val="0082546E"/>
    <w:rsid w:val="0082554D"/>
    <w:rsid w:val="00825798"/>
    <w:rsid w:val="008259BB"/>
    <w:rsid w:val="00825CB7"/>
    <w:rsid w:val="00825DC0"/>
    <w:rsid w:val="00826314"/>
    <w:rsid w:val="008263FC"/>
    <w:rsid w:val="00826646"/>
    <w:rsid w:val="008266E0"/>
    <w:rsid w:val="00826750"/>
    <w:rsid w:val="008267F2"/>
    <w:rsid w:val="0082680B"/>
    <w:rsid w:val="0082687D"/>
    <w:rsid w:val="00826952"/>
    <w:rsid w:val="00826A04"/>
    <w:rsid w:val="0082706A"/>
    <w:rsid w:val="00827412"/>
    <w:rsid w:val="00827505"/>
    <w:rsid w:val="00827AF5"/>
    <w:rsid w:val="00827DA3"/>
    <w:rsid w:val="00827E67"/>
    <w:rsid w:val="00827EAF"/>
    <w:rsid w:val="00827F05"/>
    <w:rsid w:val="00827FB9"/>
    <w:rsid w:val="00827FDC"/>
    <w:rsid w:val="008303B9"/>
    <w:rsid w:val="008304B4"/>
    <w:rsid w:val="0083050B"/>
    <w:rsid w:val="00830C6F"/>
    <w:rsid w:val="0083112B"/>
    <w:rsid w:val="0083117E"/>
    <w:rsid w:val="00831665"/>
    <w:rsid w:val="00831789"/>
    <w:rsid w:val="0083199E"/>
    <w:rsid w:val="00831BCB"/>
    <w:rsid w:val="00831BDB"/>
    <w:rsid w:val="00831F39"/>
    <w:rsid w:val="008322AA"/>
    <w:rsid w:val="0083236D"/>
    <w:rsid w:val="00832440"/>
    <w:rsid w:val="00833121"/>
    <w:rsid w:val="008334F9"/>
    <w:rsid w:val="00833651"/>
    <w:rsid w:val="008336D8"/>
    <w:rsid w:val="00833819"/>
    <w:rsid w:val="008339EA"/>
    <w:rsid w:val="00833DE2"/>
    <w:rsid w:val="00834033"/>
    <w:rsid w:val="00834352"/>
    <w:rsid w:val="008346A6"/>
    <w:rsid w:val="00834935"/>
    <w:rsid w:val="008349F7"/>
    <w:rsid w:val="008353F9"/>
    <w:rsid w:val="008354E3"/>
    <w:rsid w:val="008355F2"/>
    <w:rsid w:val="00835829"/>
    <w:rsid w:val="00835C45"/>
    <w:rsid w:val="00835CA0"/>
    <w:rsid w:val="00835D21"/>
    <w:rsid w:val="00835E56"/>
    <w:rsid w:val="00835FA8"/>
    <w:rsid w:val="0083613F"/>
    <w:rsid w:val="008362FA"/>
    <w:rsid w:val="0083653B"/>
    <w:rsid w:val="0083656B"/>
    <w:rsid w:val="008365A9"/>
    <w:rsid w:val="00836981"/>
    <w:rsid w:val="00836C29"/>
    <w:rsid w:val="00836C76"/>
    <w:rsid w:val="00837067"/>
    <w:rsid w:val="008370B4"/>
    <w:rsid w:val="0083733D"/>
    <w:rsid w:val="008374C4"/>
    <w:rsid w:val="0083786B"/>
    <w:rsid w:val="0084082E"/>
    <w:rsid w:val="00840932"/>
    <w:rsid w:val="00840C78"/>
    <w:rsid w:val="00841C86"/>
    <w:rsid w:val="00841DCE"/>
    <w:rsid w:val="00841E7E"/>
    <w:rsid w:val="008422EE"/>
    <w:rsid w:val="00842385"/>
    <w:rsid w:val="0084260C"/>
    <w:rsid w:val="008428A0"/>
    <w:rsid w:val="008428C9"/>
    <w:rsid w:val="00842BBE"/>
    <w:rsid w:val="00842F16"/>
    <w:rsid w:val="00842FFA"/>
    <w:rsid w:val="0084305C"/>
    <w:rsid w:val="0084329D"/>
    <w:rsid w:val="008434EE"/>
    <w:rsid w:val="0084380C"/>
    <w:rsid w:val="008438F1"/>
    <w:rsid w:val="00843DDB"/>
    <w:rsid w:val="00844719"/>
    <w:rsid w:val="0084471E"/>
    <w:rsid w:val="00844720"/>
    <w:rsid w:val="00844855"/>
    <w:rsid w:val="00844AA0"/>
    <w:rsid w:val="00844B39"/>
    <w:rsid w:val="00844BC5"/>
    <w:rsid w:val="00844CA1"/>
    <w:rsid w:val="00844F6A"/>
    <w:rsid w:val="008451AC"/>
    <w:rsid w:val="008455D6"/>
    <w:rsid w:val="00845D04"/>
    <w:rsid w:val="00846507"/>
    <w:rsid w:val="008468A3"/>
    <w:rsid w:val="00846920"/>
    <w:rsid w:val="00846C82"/>
    <w:rsid w:val="008471BD"/>
    <w:rsid w:val="00847924"/>
    <w:rsid w:val="0084797A"/>
    <w:rsid w:val="00847AA6"/>
    <w:rsid w:val="00847CC1"/>
    <w:rsid w:val="00847EB1"/>
    <w:rsid w:val="008509C6"/>
    <w:rsid w:val="00850B2B"/>
    <w:rsid w:val="00850DFB"/>
    <w:rsid w:val="00850F5A"/>
    <w:rsid w:val="008511B9"/>
    <w:rsid w:val="00851691"/>
    <w:rsid w:val="00851955"/>
    <w:rsid w:val="00851C8D"/>
    <w:rsid w:val="00851F64"/>
    <w:rsid w:val="00852010"/>
    <w:rsid w:val="008528DD"/>
    <w:rsid w:val="00852964"/>
    <w:rsid w:val="00852969"/>
    <w:rsid w:val="00852B00"/>
    <w:rsid w:val="00852C4A"/>
    <w:rsid w:val="008539A1"/>
    <w:rsid w:val="00853ED0"/>
    <w:rsid w:val="00854449"/>
    <w:rsid w:val="0085450C"/>
    <w:rsid w:val="0085486B"/>
    <w:rsid w:val="00854C49"/>
    <w:rsid w:val="00854F9B"/>
    <w:rsid w:val="008552BD"/>
    <w:rsid w:val="00855646"/>
    <w:rsid w:val="00855A84"/>
    <w:rsid w:val="00855AAD"/>
    <w:rsid w:val="0085626E"/>
    <w:rsid w:val="0085636C"/>
    <w:rsid w:val="00856884"/>
    <w:rsid w:val="00856936"/>
    <w:rsid w:val="00856A4B"/>
    <w:rsid w:val="00856BAD"/>
    <w:rsid w:val="00856F8A"/>
    <w:rsid w:val="008570C8"/>
    <w:rsid w:val="00857536"/>
    <w:rsid w:val="0085768C"/>
    <w:rsid w:val="00857694"/>
    <w:rsid w:val="008579CE"/>
    <w:rsid w:val="00857B1E"/>
    <w:rsid w:val="00857DB0"/>
    <w:rsid w:val="00857F2F"/>
    <w:rsid w:val="0086049B"/>
    <w:rsid w:val="00860B7E"/>
    <w:rsid w:val="00860F3B"/>
    <w:rsid w:val="00860FB5"/>
    <w:rsid w:val="00861290"/>
    <w:rsid w:val="0086159E"/>
    <w:rsid w:val="008617A8"/>
    <w:rsid w:val="00861940"/>
    <w:rsid w:val="00861B21"/>
    <w:rsid w:val="00861BA8"/>
    <w:rsid w:val="00861EDF"/>
    <w:rsid w:val="00861F59"/>
    <w:rsid w:val="00862083"/>
    <w:rsid w:val="0086268A"/>
    <w:rsid w:val="008626A5"/>
    <w:rsid w:val="00862AD3"/>
    <w:rsid w:val="00862BE8"/>
    <w:rsid w:val="00862DF9"/>
    <w:rsid w:val="00862E79"/>
    <w:rsid w:val="00862F54"/>
    <w:rsid w:val="00862F9C"/>
    <w:rsid w:val="00863238"/>
    <w:rsid w:val="00863561"/>
    <w:rsid w:val="008636C5"/>
    <w:rsid w:val="00863772"/>
    <w:rsid w:val="00863928"/>
    <w:rsid w:val="00863CD0"/>
    <w:rsid w:val="00863E94"/>
    <w:rsid w:val="00863FF9"/>
    <w:rsid w:val="00864170"/>
    <w:rsid w:val="008646B7"/>
    <w:rsid w:val="00864799"/>
    <w:rsid w:val="00864831"/>
    <w:rsid w:val="008648E1"/>
    <w:rsid w:val="0086499B"/>
    <w:rsid w:val="00864F12"/>
    <w:rsid w:val="008650F7"/>
    <w:rsid w:val="008652B3"/>
    <w:rsid w:val="00865352"/>
    <w:rsid w:val="008654A4"/>
    <w:rsid w:val="00865682"/>
    <w:rsid w:val="00865698"/>
    <w:rsid w:val="008656D5"/>
    <w:rsid w:val="00865B70"/>
    <w:rsid w:val="00865C5E"/>
    <w:rsid w:val="00865CC1"/>
    <w:rsid w:val="00865E63"/>
    <w:rsid w:val="008660EE"/>
    <w:rsid w:val="008661EC"/>
    <w:rsid w:val="00866332"/>
    <w:rsid w:val="00866494"/>
    <w:rsid w:val="00866D1D"/>
    <w:rsid w:val="00866EDF"/>
    <w:rsid w:val="0086700D"/>
    <w:rsid w:val="0086721E"/>
    <w:rsid w:val="008673FD"/>
    <w:rsid w:val="00867C8F"/>
    <w:rsid w:val="00867DD9"/>
    <w:rsid w:val="008700AA"/>
    <w:rsid w:val="008704B3"/>
    <w:rsid w:val="00870BE0"/>
    <w:rsid w:val="00870D84"/>
    <w:rsid w:val="00871346"/>
    <w:rsid w:val="0087134C"/>
    <w:rsid w:val="00871463"/>
    <w:rsid w:val="00871A0C"/>
    <w:rsid w:val="00871E4E"/>
    <w:rsid w:val="00872161"/>
    <w:rsid w:val="008721ED"/>
    <w:rsid w:val="0087226E"/>
    <w:rsid w:val="0087230E"/>
    <w:rsid w:val="0087242D"/>
    <w:rsid w:val="00872B5E"/>
    <w:rsid w:val="00872CB5"/>
    <w:rsid w:val="00872DB8"/>
    <w:rsid w:val="00872DE6"/>
    <w:rsid w:val="00872E5B"/>
    <w:rsid w:val="008732BA"/>
    <w:rsid w:val="0087350E"/>
    <w:rsid w:val="00874048"/>
    <w:rsid w:val="00874225"/>
    <w:rsid w:val="008743C3"/>
    <w:rsid w:val="00874A40"/>
    <w:rsid w:val="00874CA9"/>
    <w:rsid w:val="00874DCE"/>
    <w:rsid w:val="00874EDF"/>
    <w:rsid w:val="00874F17"/>
    <w:rsid w:val="00875114"/>
    <w:rsid w:val="0087515F"/>
    <w:rsid w:val="00875429"/>
    <w:rsid w:val="00875578"/>
    <w:rsid w:val="00875872"/>
    <w:rsid w:val="008758E9"/>
    <w:rsid w:val="008759B3"/>
    <w:rsid w:val="00875AF1"/>
    <w:rsid w:val="00875C79"/>
    <w:rsid w:val="00875E19"/>
    <w:rsid w:val="00875FC6"/>
    <w:rsid w:val="008760A6"/>
    <w:rsid w:val="0087666E"/>
    <w:rsid w:val="00876691"/>
    <w:rsid w:val="00876BF4"/>
    <w:rsid w:val="00876D21"/>
    <w:rsid w:val="00876DBB"/>
    <w:rsid w:val="00876EF1"/>
    <w:rsid w:val="00876FA1"/>
    <w:rsid w:val="00877321"/>
    <w:rsid w:val="0087745D"/>
    <w:rsid w:val="008774F3"/>
    <w:rsid w:val="00877A0D"/>
    <w:rsid w:val="008805FA"/>
    <w:rsid w:val="00880943"/>
    <w:rsid w:val="008819BC"/>
    <w:rsid w:val="008819E9"/>
    <w:rsid w:val="008823E6"/>
    <w:rsid w:val="0088243B"/>
    <w:rsid w:val="008825EF"/>
    <w:rsid w:val="00882AEB"/>
    <w:rsid w:val="0088306A"/>
    <w:rsid w:val="00883298"/>
    <w:rsid w:val="00883B2C"/>
    <w:rsid w:val="00883BC0"/>
    <w:rsid w:val="00883E36"/>
    <w:rsid w:val="00883F40"/>
    <w:rsid w:val="00883FF5"/>
    <w:rsid w:val="00884202"/>
    <w:rsid w:val="00884286"/>
    <w:rsid w:val="00884371"/>
    <w:rsid w:val="008847D5"/>
    <w:rsid w:val="008848FC"/>
    <w:rsid w:val="00884A98"/>
    <w:rsid w:val="00884B48"/>
    <w:rsid w:val="00884DD2"/>
    <w:rsid w:val="00884DEF"/>
    <w:rsid w:val="0088519E"/>
    <w:rsid w:val="008851DE"/>
    <w:rsid w:val="00885362"/>
    <w:rsid w:val="0088554E"/>
    <w:rsid w:val="0088555A"/>
    <w:rsid w:val="00885756"/>
    <w:rsid w:val="0088575A"/>
    <w:rsid w:val="00885BEA"/>
    <w:rsid w:val="00885D06"/>
    <w:rsid w:val="00885D26"/>
    <w:rsid w:val="00886427"/>
    <w:rsid w:val="008866C3"/>
    <w:rsid w:val="00886860"/>
    <w:rsid w:val="0088698D"/>
    <w:rsid w:val="00886B4F"/>
    <w:rsid w:val="00886FE2"/>
    <w:rsid w:val="00887CF3"/>
    <w:rsid w:val="00887D02"/>
    <w:rsid w:val="00887D08"/>
    <w:rsid w:val="00887DB1"/>
    <w:rsid w:val="00887E14"/>
    <w:rsid w:val="00887E24"/>
    <w:rsid w:val="00890510"/>
    <w:rsid w:val="0089055C"/>
    <w:rsid w:val="00890900"/>
    <w:rsid w:val="00890C24"/>
    <w:rsid w:val="00890D7A"/>
    <w:rsid w:val="008912F1"/>
    <w:rsid w:val="00891523"/>
    <w:rsid w:val="008915BF"/>
    <w:rsid w:val="00891835"/>
    <w:rsid w:val="00891A0B"/>
    <w:rsid w:val="00891A8E"/>
    <w:rsid w:val="00891E12"/>
    <w:rsid w:val="0089210C"/>
    <w:rsid w:val="008922A7"/>
    <w:rsid w:val="008929F1"/>
    <w:rsid w:val="00892A6C"/>
    <w:rsid w:val="00892B45"/>
    <w:rsid w:val="00892CE0"/>
    <w:rsid w:val="00892D72"/>
    <w:rsid w:val="00892F42"/>
    <w:rsid w:val="00893177"/>
    <w:rsid w:val="008932E3"/>
    <w:rsid w:val="0089342C"/>
    <w:rsid w:val="0089378B"/>
    <w:rsid w:val="0089395C"/>
    <w:rsid w:val="00893D79"/>
    <w:rsid w:val="00893DDC"/>
    <w:rsid w:val="00893E3E"/>
    <w:rsid w:val="00893E86"/>
    <w:rsid w:val="008943A6"/>
    <w:rsid w:val="008944C1"/>
    <w:rsid w:val="00894F83"/>
    <w:rsid w:val="00895281"/>
    <w:rsid w:val="00895775"/>
    <w:rsid w:val="008957B6"/>
    <w:rsid w:val="00895804"/>
    <w:rsid w:val="00895855"/>
    <w:rsid w:val="00895873"/>
    <w:rsid w:val="00895C8A"/>
    <w:rsid w:val="00895D69"/>
    <w:rsid w:val="00895F24"/>
    <w:rsid w:val="0089611D"/>
    <w:rsid w:val="00896863"/>
    <w:rsid w:val="00896A04"/>
    <w:rsid w:val="00896BA6"/>
    <w:rsid w:val="00896D7F"/>
    <w:rsid w:val="00896DB8"/>
    <w:rsid w:val="00896FF0"/>
    <w:rsid w:val="0089711F"/>
    <w:rsid w:val="0089774D"/>
    <w:rsid w:val="008978A7"/>
    <w:rsid w:val="00897A21"/>
    <w:rsid w:val="00897C64"/>
    <w:rsid w:val="00897DE1"/>
    <w:rsid w:val="00897E5C"/>
    <w:rsid w:val="00897EE4"/>
    <w:rsid w:val="008A04A6"/>
    <w:rsid w:val="008A0746"/>
    <w:rsid w:val="008A075E"/>
    <w:rsid w:val="008A07A2"/>
    <w:rsid w:val="008A0B2A"/>
    <w:rsid w:val="008A10FD"/>
    <w:rsid w:val="008A125B"/>
    <w:rsid w:val="008A1288"/>
    <w:rsid w:val="008A132E"/>
    <w:rsid w:val="008A17F1"/>
    <w:rsid w:val="008A1F30"/>
    <w:rsid w:val="008A22FA"/>
    <w:rsid w:val="008A23DF"/>
    <w:rsid w:val="008A2491"/>
    <w:rsid w:val="008A2748"/>
    <w:rsid w:val="008A2768"/>
    <w:rsid w:val="008A29A4"/>
    <w:rsid w:val="008A2C58"/>
    <w:rsid w:val="008A2DD7"/>
    <w:rsid w:val="008A3230"/>
    <w:rsid w:val="008A358D"/>
    <w:rsid w:val="008A3845"/>
    <w:rsid w:val="008A3A12"/>
    <w:rsid w:val="008A3B6C"/>
    <w:rsid w:val="008A3BE9"/>
    <w:rsid w:val="008A3EAD"/>
    <w:rsid w:val="008A3FF3"/>
    <w:rsid w:val="008A400D"/>
    <w:rsid w:val="008A41F6"/>
    <w:rsid w:val="008A434F"/>
    <w:rsid w:val="008A456F"/>
    <w:rsid w:val="008A4675"/>
    <w:rsid w:val="008A48CB"/>
    <w:rsid w:val="008A4F34"/>
    <w:rsid w:val="008A5013"/>
    <w:rsid w:val="008A52CF"/>
    <w:rsid w:val="008A5797"/>
    <w:rsid w:val="008A59C7"/>
    <w:rsid w:val="008A618C"/>
    <w:rsid w:val="008A64EB"/>
    <w:rsid w:val="008A6904"/>
    <w:rsid w:val="008A6A3F"/>
    <w:rsid w:val="008A6D04"/>
    <w:rsid w:val="008A7035"/>
    <w:rsid w:val="008A7412"/>
    <w:rsid w:val="008A7522"/>
    <w:rsid w:val="008A7907"/>
    <w:rsid w:val="008A7914"/>
    <w:rsid w:val="008A7CF7"/>
    <w:rsid w:val="008A7D65"/>
    <w:rsid w:val="008A7E85"/>
    <w:rsid w:val="008B072F"/>
    <w:rsid w:val="008B0902"/>
    <w:rsid w:val="008B09D5"/>
    <w:rsid w:val="008B0C85"/>
    <w:rsid w:val="008B0FA5"/>
    <w:rsid w:val="008B1313"/>
    <w:rsid w:val="008B138F"/>
    <w:rsid w:val="008B1538"/>
    <w:rsid w:val="008B16EE"/>
    <w:rsid w:val="008B2164"/>
    <w:rsid w:val="008B23F8"/>
    <w:rsid w:val="008B2557"/>
    <w:rsid w:val="008B2739"/>
    <w:rsid w:val="008B2773"/>
    <w:rsid w:val="008B281F"/>
    <w:rsid w:val="008B2987"/>
    <w:rsid w:val="008B2A72"/>
    <w:rsid w:val="008B2B2D"/>
    <w:rsid w:val="008B2BED"/>
    <w:rsid w:val="008B3032"/>
    <w:rsid w:val="008B38C2"/>
    <w:rsid w:val="008B3B86"/>
    <w:rsid w:val="008B3BF9"/>
    <w:rsid w:val="008B45E4"/>
    <w:rsid w:val="008B49EF"/>
    <w:rsid w:val="008B4DCB"/>
    <w:rsid w:val="008B518E"/>
    <w:rsid w:val="008B51E6"/>
    <w:rsid w:val="008B521E"/>
    <w:rsid w:val="008B5362"/>
    <w:rsid w:val="008B57BB"/>
    <w:rsid w:val="008B57C0"/>
    <w:rsid w:val="008B5C37"/>
    <w:rsid w:val="008B5CE7"/>
    <w:rsid w:val="008B5F38"/>
    <w:rsid w:val="008B667E"/>
    <w:rsid w:val="008B692C"/>
    <w:rsid w:val="008B6955"/>
    <w:rsid w:val="008B6C24"/>
    <w:rsid w:val="008B70D2"/>
    <w:rsid w:val="008B7196"/>
    <w:rsid w:val="008B736B"/>
    <w:rsid w:val="008B750A"/>
    <w:rsid w:val="008B76F1"/>
    <w:rsid w:val="008B7C8D"/>
    <w:rsid w:val="008C037C"/>
    <w:rsid w:val="008C046E"/>
    <w:rsid w:val="008C0763"/>
    <w:rsid w:val="008C08CE"/>
    <w:rsid w:val="008C0B21"/>
    <w:rsid w:val="008C1779"/>
    <w:rsid w:val="008C17A1"/>
    <w:rsid w:val="008C1A11"/>
    <w:rsid w:val="008C1AC2"/>
    <w:rsid w:val="008C1ADF"/>
    <w:rsid w:val="008C1B34"/>
    <w:rsid w:val="008C1C40"/>
    <w:rsid w:val="008C1F65"/>
    <w:rsid w:val="008C2254"/>
    <w:rsid w:val="008C2957"/>
    <w:rsid w:val="008C2CE0"/>
    <w:rsid w:val="008C2F6A"/>
    <w:rsid w:val="008C2F86"/>
    <w:rsid w:val="008C36B3"/>
    <w:rsid w:val="008C3724"/>
    <w:rsid w:val="008C3943"/>
    <w:rsid w:val="008C3A26"/>
    <w:rsid w:val="008C3C11"/>
    <w:rsid w:val="008C3D65"/>
    <w:rsid w:val="008C43B0"/>
    <w:rsid w:val="008C44EF"/>
    <w:rsid w:val="008C49F7"/>
    <w:rsid w:val="008C4B17"/>
    <w:rsid w:val="008C4C2A"/>
    <w:rsid w:val="008C4CAB"/>
    <w:rsid w:val="008C5019"/>
    <w:rsid w:val="008C51B3"/>
    <w:rsid w:val="008C57DB"/>
    <w:rsid w:val="008C58FD"/>
    <w:rsid w:val="008C5C71"/>
    <w:rsid w:val="008C5F8D"/>
    <w:rsid w:val="008C6099"/>
    <w:rsid w:val="008C629D"/>
    <w:rsid w:val="008C62C8"/>
    <w:rsid w:val="008C6508"/>
    <w:rsid w:val="008C6B87"/>
    <w:rsid w:val="008C6C6D"/>
    <w:rsid w:val="008C6F88"/>
    <w:rsid w:val="008C71B9"/>
    <w:rsid w:val="008C7612"/>
    <w:rsid w:val="008C7669"/>
    <w:rsid w:val="008C76D6"/>
    <w:rsid w:val="008C7728"/>
    <w:rsid w:val="008C79CF"/>
    <w:rsid w:val="008C7B0B"/>
    <w:rsid w:val="008C7BAA"/>
    <w:rsid w:val="008C7C04"/>
    <w:rsid w:val="008C7C8E"/>
    <w:rsid w:val="008D02F0"/>
    <w:rsid w:val="008D04AF"/>
    <w:rsid w:val="008D07B5"/>
    <w:rsid w:val="008D08CB"/>
    <w:rsid w:val="008D0ADC"/>
    <w:rsid w:val="008D0F1F"/>
    <w:rsid w:val="008D0F60"/>
    <w:rsid w:val="008D12D0"/>
    <w:rsid w:val="008D1450"/>
    <w:rsid w:val="008D16A3"/>
    <w:rsid w:val="008D2100"/>
    <w:rsid w:val="008D2286"/>
    <w:rsid w:val="008D28AF"/>
    <w:rsid w:val="008D2991"/>
    <w:rsid w:val="008D34D0"/>
    <w:rsid w:val="008D360F"/>
    <w:rsid w:val="008D363E"/>
    <w:rsid w:val="008D3667"/>
    <w:rsid w:val="008D380F"/>
    <w:rsid w:val="008D39A3"/>
    <w:rsid w:val="008D39FD"/>
    <w:rsid w:val="008D3BF7"/>
    <w:rsid w:val="008D3ECA"/>
    <w:rsid w:val="008D4181"/>
    <w:rsid w:val="008D439B"/>
    <w:rsid w:val="008D448D"/>
    <w:rsid w:val="008D489B"/>
    <w:rsid w:val="008D49CE"/>
    <w:rsid w:val="008D4B93"/>
    <w:rsid w:val="008D4CE2"/>
    <w:rsid w:val="008D4F99"/>
    <w:rsid w:val="008D5510"/>
    <w:rsid w:val="008D5BBF"/>
    <w:rsid w:val="008D5C1D"/>
    <w:rsid w:val="008D5D8C"/>
    <w:rsid w:val="008D5E48"/>
    <w:rsid w:val="008D61DA"/>
    <w:rsid w:val="008D62D5"/>
    <w:rsid w:val="008D644B"/>
    <w:rsid w:val="008D6692"/>
    <w:rsid w:val="008D6948"/>
    <w:rsid w:val="008D6B77"/>
    <w:rsid w:val="008D6BC9"/>
    <w:rsid w:val="008D6BDF"/>
    <w:rsid w:val="008D7107"/>
    <w:rsid w:val="008D754B"/>
    <w:rsid w:val="008D7623"/>
    <w:rsid w:val="008D79AB"/>
    <w:rsid w:val="008D7AC2"/>
    <w:rsid w:val="008D7BE3"/>
    <w:rsid w:val="008D7C1D"/>
    <w:rsid w:val="008D7C63"/>
    <w:rsid w:val="008D7D41"/>
    <w:rsid w:val="008E0A49"/>
    <w:rsid w:val="008E0ED7"/>
    <w:rsid w:val="008E10FE"/>
    <w:rsid w:val="008E1396"/>
    <w:rsid w:val="008E1E3E"/>
    <w:rsid w:val="008E2124"/>
    <w:rsid w:val="008E27E8"/>
    <w:rsid w:val="008E2835"/>
    <w:rsid w:val="008E28DB"/>
    <w:rsid w:val="008E2A20"/>
    <w:rsid w:val="008E2A65"/>
    <w:rsid w:val="008E2C1B"/>
    <w:rsid w:val="008E2EB6"/>
    <w:rsid w:val="008E2F38"/>
    <w:rsid w:val="008E2FF7"/>
    <w:rsid w:val="008E32DA"/>
    <w:rsid w:val="008E3382"/>
    <w:rsid w:val="008E36B9"/>
    <w:rsid w:val="008E36BC"/>
    <w:rsid w:val="008E380D"/>
    <w:rsid w:val="008E3929"/>
    <w:rsid w:val="008E425F"/>
    <w:rsid w:val="008E45E1"/>
    <w:rsid w:val="008E462B"/>
    <w:rsid w:val="008E4826"/>
    <w:rsid w:val="008E4A6F"/>
    <w:rsid w:val="008E4C1B"/>
    <w:rsid w:val="008E4D7F"/>
    <w:rsid w:val="008E4FC9"/>
    <w:rsid w:val="008E5398"/>
    <w:rsid w:val="008E562F"/>
    <w:rsid w:val="008E56DB"/>
    <w:rsid w:val="008E56E5"/>
    <w:rsid w:val="008E570F"/>
    <w:rsid w:val="008E6185"/>
    <w:rsid w:val="008E6223"/>
    <w:rsid w:val="008E6252"/>
    <w:rsid w:val="008E6396"/>
    <w:rsid w:val="008E6651"/>
    <w:rsid w:val="008E66CC"/>
    <w:rsid w:val="008E66D9"/>
    <w:rsid w:val="008E6AE0"/>
    <w:rsid w:val="008E6E51"/>
    <w:rsid w:val="008E6EC5"/>
    <w:rsid w:val="008E6FBE"/>
    <w:rsid w:val="008E70EA"/>
    <w:rsid w:val="008E751C"/>
    <w:rsid w:val="008E7632"/>
    <w:rsid w:val="008E780F"/>
    <w:rsid w:val="008E7A07"/>
    <w:rsid w:val="008E7C06"/>
    <w:rsid w:val="008E7D2B"/>
    <w:rsid w:val="008F00D4"/>
    <w:rsid w:val="008F0191"/>
    <w:rsid w:val="008F0201"/>
    <w:rsid w:val="008F0254"/>
    <w:rsid w:val="008F0789"/>
    <w:rsid w:val="008F10C5"/>
    <w:rsid w:val="008F1161"/>
    <w:rsid w:val="008F1218"/>
    <w:rsid w:val="008F137F"/>
    <w:rsid w:val="008F140B"/>
    <w:rsid w:val="008F1481"/>
    <w:rsid w:val="008F16E0"/>
    <w:rsid w:val="008F16E5"/>
    <w:rsid w:val="008F1868"/>
    <w:rsid w:val="008F1904"/>
    <w:rsid w:val="008F1EB2"/>
    <w:rsid w:val="008F2345"/>
    <w:rsid w:val="008F287A"/>
    <w:rsid w:val="008F2C6D"/>
    <w:rsid w:val="008F2FC4"/>
    <w:rsid w:val="008F31F3"/>
    <w:rsid w:val="008F3524"/>
    <w:rsid w:val="008F3632"/>
    <w:rsid w:val="008F381A"/>
    <w:rsid w:val="008F396B"/>
    <w:rsid w:val="008F397F"/>
    <w:rsid w:val="008F3A62"/>
    <w:rsid w:val="008F3E41"/>
    <w:rsid w:val="008F3E83"/>
    <w:rsid w:val="008F3FA4"/>
    <w:rsid w:val="008F4013"/>
    <w:rsid w:val="008F423E"/>
    <w:rsid w:val="008F427C"/>
    <w:rsid w:val="008F4560"/>
    <w:rsid w:val="008F4654"/>
    <w:rsid w:val="008F46C9"/>
    <w:rsid w:val="008F48FB"/>
    <w:rsid w:val="008F4D52"/>
    <w:rsid w:val="008F4D69"/>
    <w:rsid w:val="008F4DA2"/>
    <w:rsid w:val="008F502C"/>
    <w:rsid w:val="008F537E"/>
    <w:rsid w:val="008F5663"/>
    <w:rsid w:val="008F56F7"/>
    <w:rsid w:val="008F5772"/>
    <w:rsid w:val="008F590F"/>
    <w:rsid w:val="008F5E66"/>
    <w:rsid w:val="008F6399"/>
    <w:rsid w:val="008F65B0"/>
    <w:rsid w:val="008F683A"/>
    <w:rsid w:val="008F6B00"/>
    <w:rsid w:val="008F6CCA"/>
    <w:rsid w:val="008F6EB5"/>
    <w:rsid w:val="008F7121"/>
    <w:rsid w:val="008F76E8"/>
    <w:rsid w:val="008F7730"/>
    <w:rsid w:val="008F789C"/>
    <w:rsid w:val="008F7F46"/>
    <w:rsid w:val="0090041E"/>
    <w:rsid w:val="0090065D"/>
    <w:rsid w:val="0090068E"/>
    <w:rsid w:val="00900AE6"/>
    <w:rsid w:val="00900B54"/>
    <w:rsid w:val="00900E46"/>
    <w:rsid w:val="00900FA6"/>
    <w:rsid w:val="00901ABF"/>
    <w:rsid w:val="00901CA1"/>
    <w:rsid w:val="00901CBB"/>
    <w:rsid w:val="00901E50"/>
    <w:rsid w:val="00901EE3"/>
    <w:rsid w:val="00901F0C"/>
    <w:rsid w:val="00901F55"/>
    <w:rsid w:val="00902113"/>
    <w:rsid w:val="00902476"/>
    <w:rsid w:val="009024EB"/>
    <w:rsid w:val="00903011"/>
    <w:rsid w:val="00903051"/>
    <w:rsid w:val="00903076"/>
    <w:rsid w:val="00903214"/>
    <w:rsid w:val="00903241"/>
    <w:rsid w:val="009033CE"/>
    <w:rsid w:val="0090372E"/>
    <w:rsid w:val="0090375B"/>
    <w:rsid w:val="00903F45"/>
    <w:rsid w:val="0090401E"/>
    <w:rsid w:val="009041A3"/>
    <w:rsid w:val="009041B9"/>
    <w:rsid w:val="00904823"/>
    <w:rsid w:val="00904A78"/>
    <w:rsid w:val="00904AA7"/>
    <w:rsid w:val="00904B7C"/>
    <w:rsid w:val="009050C6"/>
    <w:rsid w:val="00905491"/>
    <w:rsid w:val="00905721"/>
    <w:rsid w:val="00905769"/>
    <w:rsid w:val="009058A4"/>
    <w:rsid w:val="00905903"/>
    <w:rsid w:val="00905A6E"/>
    <w:rsid w:val="00905B34"/>
    <w:rsid w:val="00905D9E"/>
    <w:rsid w:val="00905E77"/>
    <w:rsid w:val="009060C1"/>
    <w:rsid w:val="009061D1"/>
    <w:rsid w:val="0090637C"/>
    <w:rsid w:val="00906863"/>
    <w:rsid w:val="00906927"/>
    <w:rsid w:val="00906A11"/>
    <w:rsid w:val="00906A74"/>
    <w:rsid w:val="00906E9B"/>
    <w:rsid w:val="00906F95"/>
    <w:rsid w:val="009072C9"/>
    <w:rsid w:val="00907A32"/>
    <w:rsid w:val="00907C94"/>
    <w:rsid w:val="00910477"/>
    <w:rsid w:val="009105E2"/>
    <w:rsid w:val="00910789"/>
    <w:rsid w:val="00910B5B"/>
    <w:rsid w:val="00910FB9"/>
    <w:rsid w:val="00910FF0"/>
    <w:rsid w:val="0091117E"/>
    <w:rsid w:val="00911546"/>
    <w:rsid w:val="009118C5"/>
    <w:rsid w:val="00911F0C"/>
    <w:rsid w:val="00912203"/>
    <w:rsid w:val="00912761"/>
    <w:rsid w:val="00912A3F"/>
    <w:rsid w:val="00912B06"/>
    <w:rsid w:val="00912B67"/>
    <w:rsid w:val="00912DE8"/>
    <w:rsid w:val="00913122"/>
    <w:rsid w:val="00913137"/>
    <w:rsid w:val="00913462"/>
    <w:rsid w:val="009137B7"/>
    <w:rsid w:val="00913832"/>
    <w:rsid w:val="009139E8"/>
    <w:rsid w:val="00913A14"/>
    <w:rsid w:val="00913B3E"/>
    <w:rsid w:val="00913BE9"/>
    <w:rsid w:val="00913C7A"/>
    <w:rsid w:val="00913DBF"/>
    <w:rsid w:val="009145FC"/>
    <w:rsid w:val="0091476B"/>
    <w:rsid w:val="00914B4A"/>
    <w:rsid w:val="00914BFA"/>
    <w:rsid w:val="00914C2B"/>
    <w:rsid w:val="00915288"/>
    <w:rsid w:val="00915406"/>
    <w:rsid w:val="009154CA"/>
    <w:rsid w:val="0091571F"/>
    <w:rsid w:val="00915ACE"/>
    <w:rsid w:val="00915B62"/>
    <w:rsid w:val="00915BAE"/>
    <w:rsid w:val="0091618E"/>
    <w:rsid w:val="009163EC"/>
    <w:rsid w:val="00916B9C"/>
    <w:rsid w:val="00917031"/>
    <w:rsid w:val="0091723B"/>
    <w:rsid w:val="009172CC"/>
    <w:rsid w:val="0091745C"/>
    <w:rsid w:val="0091749D"/>
    <w:rsid w:val="009177B9"/>
    <w:rsid w:val="009200A1"/>
    <w:rsid w:val="0092034C"/>
    <w:rsid w:val="00920439"/>
    <w:rsid w:val="00920991"/>
    <w:rsid w:val="00920A63"/>
    <w:rsid w:val="00920EE3"/>
    <w:rsid w:val="00920FE4"/>
    <w:rsid w:val="00921191"/>
    <w:rsid w:val="00921534"/>
    <w:rsid w:val="00921820"/>
    <w:rsid w:val="00921A58"/>
    <w:rsid w:val="00921C58"/>
    <w:rsid w:val="00921CA2"/>
    <w:rsid w:val="00921D21"/>
    <w:rsid w:val="00922378"/>
    <w:rsid w:val="0092251E"/>
    <w:rsid w:val="009225B4"/>
    <w:rsid w:val="00922600"/>
    <w:rsid w:val="0092268C"/>
    <w:rsid w:val="00922879"/>
    <w:rsid w:val="009229C8"/>
    <w:rsid w:val="00922E33"/>
    <w:rsid w:val="00922F1A"/>
    <w:rsid w:val="009231F8"/>
    <w:rsid w:val="0092375F"/>
    <w:rsid w:val="00923780"/>
    <w:rsid w:val="00923CB0"/>
    <w:rsid w:val="00923CD8"/>
    <w:rsid w:val="0092418F"/>
    <w:rsid w:val="00924422"/>
    <w:rsid w:val="00924426"/>
    <w:rsid w:val="00924C17"/>
    <w:rsid w:val="00924DC0"/>
    <w:rsid w:val="00924E55"/>
    <w:rsid w:val="00924EC7"/>
    <w:rsid w:val="00925068"/>
    <w:rsid w:val="00925633"/>
    <w:rsid w:val="0092571F"/>
    <w:rsid w:val="009257E5"/>
    <w:rsid w:val="009258BD"/>
    <w:rsid w:val="009259C5"/>
    <w:rsid w:val="009262AD"/>
    <w:rsid w:val="009262ED"/>
    <w:rsid w:val="009264CF"/>
    <w:rsid w:val="00926661"/>
    <w:rsid w:val="00926678"/>
    <w:rsid w:val="00926811"/>
    <w:rsid w:val="00926ABF"/>
    <w:rsid w:val="00926C5E"/>
    <w:rsid w:val="00926D95"/>
    <w:rsid w:val="00926ED8"/>
    <w:rsid w:val="00927487"/>
    <w:rsid w:val="009274EC"/>
    <w:rsid w:val="009300DE"/>
    <w:rsid w:val="009302AF"/>
    <w:rsid w:val="0093055E"/>
    <w:rsid w:val="00930CF0"/>
    <w:rsid w:val="00930DD4"/>
    <w:rsid w:val="00930FC7"/>
    <w:rsid w:val="009311FF"/>
    <w:rsid w:val="00931CC0"/>
    <w:rsid w:val="009323D7"/>
    <w:rsid w:val="009326B1"/>
    <w:rsid w:val="009328C8"/>
    <w:rsid w:val="00932998"/>
    <w:rsid w:val="00932B44"/>
    <w:rsid w:val="00932E86"/>
    <w:rsid w:val="0093300A"/>
    <w:rsid w:val="00933553"/>
    <w:rsid w:val="00933933"/>
    <w:rsid w:val="00933C25"/>
    <w:rsid w:val="009341EE"/>
    <w:rsid w:val="0093479A"/>
    <w:rsid w:val="0093497E"/>
    <w:rsid w:val="009349C6"/>
    <w:rsid w:val="009349EF"/>
    <w:rsid w:val="00934BBD"/>
    <w:rsid w:val="00934D31"/>
    <w:rsid w:val="00934F50"/>
    <w:rsid w:val="00935041"/>
    <w:rsid w:val="0093506F"/>
    <w:rsid w:val="009350F3"/>
    <w:rsid w:val="009353C5"/>
    <w:rsid w:val="009354F2"/>
    <w:rsid w:val="009355CA"/>
    <w:rsid w:val="009355E6"/>
    <w:rsid w:val="00935C6C"/>
    <w:rsid w:val="00935D1B"/>
    <w:rsid w:val="00935E5E"/>
    <w:rsid w:val="00935FAF"/>
    <w:rsid w:val="00936629"/>
    <w:rsid w:val="00936741"/>
    <w:rsid w:val="00936F06"/>
    <w:rsid w:val="00936F4D"/>
    <w:rsid w:val="00936F6C"/>
    <w:rsid w:val="0093757B"/>
    <w:rsid w:val="009378B2"/>
    <w:rsid w:val="00937ED1"/>
    <w:rsid w:val="00940A30"/>
    <w:rsid w:val="00940CC1"/>
    <w:rsid w:val="00940ECB"/>
    <w:rsid w:val="00940F02"/>
    <w:rsid w:val="009412CB"/>
    <w:rsid w:val="00941320"/>
    <w:rsid w:val="00941578"/>
    <w:rsid w:val="00941A00"/>
    <w:rsid w:val="00941C6C"/>
    <w:rsid w:val="00941EA7"/>
    <w:rsid w:val="00942158"/>
    <w:rsid w:val="00942247"/>
    <w:rsid w:val="00942468"/>
    <w:rsid w:val="00942A95"/>
    <w:rsid w:val="00943188"/>
    <w:rsid w:val="009431D8"/>
    <w:rsid w:val="009436D5"/>
    <w:rsid w:val="00943A80"/>
    <w:rsid w:val="00943B81"/>
    <w:rsid w:val="00943F38"/>
    <w:rsid w:val="0094412F"/>
    <w:rsid w:val="0094422B"/>
    <w:rsid w:val="009443C6"/>
    <w:rsid w:val="00944E60"/>
    <w:rsid w:val="009451BD"/>
    <w:rsid w:val="00945275"/>
    <w:rsid w:val="0094540F"/>
    <w:rsid w:val="00945692"/>
    <w:rsid w:val="009456DA"/>
    <w:rsid w:val="00945781"/>
    <w:rsid w:val="0094582C"/>
    <w:rsid w:val="00945B64"/>
    <w:rsid w:val="00945CC7"/>
    <w:rsid w:val="00945E39"/>
    <w:rsid w:val="009468D6"/>
    <w:rsid w:val="00946AAC"/>
    <w:rsid w:val="00946ADC"/>
    <w:rsid w:val="00946CB0"/>
    <w:rsid w:val="00946F36"/>
    <w:rsid w:val="009475BA"/>
    <w:rsid w:val="009476DE"/>
    <w:rsid w:val="00947751"/>
    <w:rsid w:val="0094796E"/>
    <w:rsid w:val="00947CFE"/>
    <w:rsid w:val="00947E2E"/>
    <w:rsid w:val="00947ECA"/>
    <w:rsid w:val="0095022C"/>
    <w:rsid w:val="009503BE"/>
    <w:rsid w:val="0095070A"/>
    <w:rsid w:val="009507D9"/>
    <w:rsid w:val="0095080E"/>
    <w:rsid w:val="00950858"/>
    <w:rsid w:val="00950BC4"/>
    <w:rsid w:val="00950DF1"/>
    <w:rsid w:val="00950E0A"/>
    <w:rsid w:val="00950F83"/>
    <w:rsid w:val="00951245"/>
    <w:rsid w:val="0095153D"/>
    <w:rsid w:val="00951704"/>
    <w:rsid w:val="00951710"/>
    <w:rsid w:val="009519EB"/>
    <w:rsid w:val="00951A1F"/>
    <w:rsid w:val="00951A27"/>
    <w:rsid w:val="00952019"/>
    <w:rsid w:val="00952103"/>
    <w:rsid w:val="009521D4"/>
    <w:rsid w:val="00952283"/>
    <w:rsid w:val="00952297"/>
    <w:rsid w:val="00952531"/>
    <w:rsid w:val="009525EF"/>
    <w:rsid w:val="00952615"/>
    <w:rsid w:val="00952B04"/>
    <w:rsid w:val="00952D41"/>
    <w:rsid w:val="00953176"/>
    <w:rsid w:val="009533E3"/>
    <w:rsid w:val="00953E48"/>
    <w:rsid w:val="00954123"/>
    <w:rsid w:val="009541F6"/>
    <w:rsid w:val="00954210"/>
    <w:rsid w:val="009544C8"/>
    <w:rsid w:val="0095482D"/>
    <w:rsid w:val="00954834"/>
    <w:rsid w:val="0095499F"/>
    <w:rsid w:val="00954B40"/>
    <w:rsid w:val="00954D9E"/>
    <w:rsid w:val="009553EA"/>
    <w:rsid w:val="00955519"/>
    <w:rsid w:val="009557AE"/>
    <w:rsid w:val="00955B62"/>
    <w:rsid w:val="009561A8"/>
    <w:rsid w:val="00956643"/>
    <w:rsid w:val="00956668"/>
    <w:rsid w:val="0095667D"/>
    <w:rsid w:val="009566F9"/>
    <w:rsid w:val="00956722"/>
    <w:rsid w:val="00956BE2"/>
    <w:rsid w:val="00956DA2"/>
    <w:rsid w:val="00957234"/>
    <w:rsid w:val="00957483"/>
    <w:rsid w:val="00957553"/>
    <w:rsid w:val="00957A47"/>
    <w:rsid w:val="00957F30"/>
    <w:rsid w:val="00960182"/>
    <w:rsid w:val="00960183"/>
    <w:rsid w:val="009601D7"/>
    <w:rsid w:val="00960888"/>
    <w:rsid w:val="009608B3"/>
    <w:rsid w:val="00960A70"/>
    <w:rsid w:val="00960C46"/>
    <w:rsid w:val="00960F33"/>
    <w:rsid w:val="0096185D"/>
    <w:rsid w:val="00961B42"/>
    <w:rsid w:val="00961DBF"/>
    <w:rsid w:val="00961E27"/>
    <w:rsid w:val="00962045"/>
    <w:rsid w:val="0096210C"/>
    <w:rsid w:val="009624F8"/>
    <w:rsid w:val="00963217"/>
    <w:rsid w:val="0096322F"/>
    <w:rsid w:val="0096344F"/>
    <w:rsid w:val="00963A93"/>
    <w:rsid w:val="00963D7D"/>
    <w:rsid w:val="0096437C"/>
    <w:rsid w:val="00964503"/>
    <w:rsid w:val="0096451E"/>
    <w:rsid w:val="00964690"/>
    <w:rsid w:val="00964D4A"/>
    <w:rsid w:val="0096524A"/>
    <w:rsid w:val="0096560B"/>
    <w:rsid w:val="009658A9"/>
    <w:rsid w:val="0096598C"/>
    <w:rsid w:val="00965B98"/>
    <w:rsid w:val="00965BEC"/>
    <w:rsid w:val="00966017"/>
    <w:rsid w:val="0096609C"/>
    <w:rsid w:val="009661B9"/>
    <w:rsid w:val="00966562"/>
    <w:rsid w:val="00966639"/>
    <w:rsid w:val="00966C9F"/>
    <w:rsid w:val="00966CE4"/>
    <w:rsid w:val="00966D13"/>
    <w:rsid w:val="00966D86"/>
    <w:rsid w:val="0096724C"/>
    <w:rsid w:val="009674EB"/>
    <w:rsid w:val="00967516"/>
    <w:rsid w:val="009675E9"/>
    <w:rsid w:val="009676DC"/>
    <w:rsid w:val="00967A62"/>
    <w:rsid w:val="00967B9A"/>
    <w:rsid w:val="009701C0"/>
    <w:rsid w:val="00970278"/>
    <w:rsid w:val="00970364"/>
    <w:rsid w:val="0097058A"/>
    <w:rsid w:val="009709CC"/>
    <w:rsid w:val="00970CE3"/>
    <w:rsid w:val="00970F3D"/>
    <w:rsid w:val="00971391"/>
    <w:rsid w:val="0097155C"/>
    <w:rsid w:val="009718C7"/>
    <w:rsid w:val="009719B8"/>
    <w:rsid w:val="009719D8"/>
    <w:rsid w:val="00971D2E"/>
    <w:rsid w:val="00972008"/>
    <w:rsid w:val="009723BC"/>
    <w:rsid w:val="00972651"/>
    <w:rsid w:val="00972E47"/>
    <w:rsid w:val="00973595"/>
    <w:rsid w:val="00973602"/>
    <w:rsid w:val="0097375D"/>
    <w:rsid w:val="00973A43"/>
    <w:rsid w:val="00973A53"/>
    <w:rsid w:val="00973C6D"/>
    <w:rsid w:val="00973DE9"/>
    <w:rsid w:val="00973FB8"/>
    <w:rsid w:val="00974065"/>
    <w:rsid w:val="0097410E"/>
    <w:rsid w:val="009741AD"/>
    <w:rsid w:val="0097455B"/>
    <w:rsid w:val="009747BE"/>
    <w:rsid w:val="0097486F"/>
    <w:rsid w:val="00974A4C"/>
    <w:rsid w:val="00974CA2"/>
    <w:rsid w:val="00974E73"/>
    <w:rsid w:val="009752AE"/>
    <w:rsid w:val="00975CC4"/>
    <w:rsid w:val="00975DF4"/>
    <w:rsid w:val="00975E64"/>
    <w:rsid w:val="00975FE4"/>
    <w:rsid w:val="00976637"/>
    <w:rsid w:val="00976C05"/>
    <w:rsid w:val="00976DDA"/>
    <w:rsid w:val="00976E36"/>
    <w:rsid w:val="00976E4F"/>
    <w:rsid w:val="0097733E"/>
    <w:rsid w:val="00977352"/>
    <w:rsid w:val="00977381"/>
    <w:rsid w:val="009776A3"/>
    <w:rsid w:val="009779F6"/>
    <w:rsid w:val="00977DD7"/>
    <w:rsid w:val="00977EBF"/>
    <w:rsid w:val="00977F26"/>
    <w:rsid w:val="0098021B"/>
    <w:rsid w:val="00980326"/>
    <w:rsid w:val="009803A2"/>
    <w:rsid w:val="0098042A"/>
    <w:rsid w:val="00980A90"/>
    <w:rsid w:val="00980CB8"/>
    <w:rsid w:val="00980CE4"/>
    <w:rsid w:val="00980D8B"/>
    <w:rsid w:val="009810C1"/>
    <w:rsid w:val="009810C8"/>
    <w:rsid w:val="00981B7C"/>
    <w:rsid w:val="00981D77"/>
    <w:rsid w:val="009823C9"/>
    <w:rsid w:val="00982746"/>
    <w:rsid w:val="009827DC"/>
    <w:rsid w:val="00982892"/>
    <w:rsid w:val="009828EF"/>
    <w:rsid w:val="00982A11"/>
    <w:rsid w:val="00982B7E"/>
    <w:rsid w:val="00982BE1"/>
    <w:rsid w:val="00982E3C"/>
    <w:rsid w:val="00983036"/>
    <w:rsid w:val="00983093"/>
    <w:rsid w:val="00983203"/>
    <w:rsid w:val="009832E9"/>
    <w:rsid w:val="00983C92"/>
    <w:rsid w:val="00983D2A"/>
    <w:rsid w:val="00983DA4"/>
    <w:rsid w:val="00983F98"/>
    <w:rsid w:val="00984135"/>
    <w:rsid w:val="009841E8"/>
    <w:rsid w:val="009842BA"/>
    <w:rsid w:val="009846EA"/>
    <w:rsid w:val="009846ED"/>
    <w:rsid w:val="009847A4"/>
    <w:rsid w:val="00984927"/>
    <w:rsid w:val="00984C79"/>
    <w:rsid w:val="009853A2"/>
    <w:rsid w:val="009854F5"/>
    <w:rsid w:val="009856E8"/>
    <w:rsid w:val="009858FF"/>
    <w:rsid w:val="00985B51"/>
    <w:rsid w:val="00985CFB"/>
    <w:rsid w:val="00985E8C"/>
    <w:rsid w:val="00985EB1"/>
    <w:rsid w:val="00985F91"/>
    <w:rsid w:val="00986508"/>
    <w:rsid w:val="00986709"/>
    <w:rsid w:val="00986B57"/>
    <w:rsid w:val="00986E0C"/>
    <w:rsid w:val="00986F65"/>
    <w:rsid w:val="009870FF"/>
    <w:rsid w:val="0098710C"/>
    <w:rsid w:val="00987127"/>
    <w:rsid w:val="00987134"/>
    <w:rsid w:val="009872C3"/>
    <w:rsid w:val="00987657"/>
    <w:rsid w:val="009877E0"/>
    <w:rsid w:val="00987843"/>
    <w:rsid w:val="00987A10"/>
    <w:rsid w:val="00987CD4"/>
    <w:rsid w:val="00987F3C"/>
    <w:rsid w:val="00990082"/>
    <w:rsid w:val="009900CB"/>
    <w:rsid w:val="009900ED"/>
    <w:rsid w:val="00990390"/>
    <w:rsid w:val="009906FA"/>
    <w:rsid w:val="009907D9"/>
    <w:rsid w:val="00990890"/>
    <w:rsid w:val="0099098E"/>
    <w:rsid w:val="00990E92"/>
    <w:rsid w:val="00990FCE"/>
    <w:rsid w:val="00991116"/>
    <w:rsid w:val="00991163"/>
    <w:rsid w:val="00991523"/>
    <w:rsid w:val="009916C5"/>
    <w:rsid w:val="009917D4"/>
    <w:rsid w:val="00991D14"/>
    <w:rsid w:val="009923A3"/>
    <w:rsid w:val="009923FC"/>
    <w:rsid w:val="00992670"/>
    <w:rsid w:val="00992767"/>
    <w:rsid w:val="0099287A"/>
    <w:rsid w:val="00992D9F"/>
    <w:rsid w:val="0099330C"/>
    <w:rsid w:val="009939CE"/>
    <w:rsid w:val="009939FD"/>
    <w:rsid w:val="00993A04"/>
    <w:rsid w:val="00993A93"/>
    <w:rsid w:val="00993AB1"/>
    <w:rsid w:val="00993BF5"/>
    <w:rsid w:val="00993DAE"/>
    <w:rsid w:val="00993E23"/>
    <w:rsid w:val="0099421C"/>
    <w:rsid w:val="009942C1"/>
    <w:rsid w:val="0099438D"/>
    <w:rsid w:val="009947E2"/>
    <w:rsid w:val="00994984"/>
    <w:rsid w:val="009949DA"/>
    <w:rsid w:val="009949EB"/>
    <w:rsid w:val="00994D8C"/>
    <w:rsid w:val="0099503C"/>
    <w:rsid w:val="00995128"/>
    <w:rsid w:val="00995236"/>
    <w:rsid w:val="0099524A"/>
    <w:rsid w:val="00995400"/>
    <w:rsid w:val="00995A0C"/>
    <w:rsid w:val="00995AA7"/>
    <w:rsid w:val="00995B28"/>
    <w:rsid w:val="00996275"/>
    <w:rsid w:val="00996278"/>
    <w:rsid w:val="00996693"/>
    <w:rsid w:val="0099697C"/>
    <w:rsid w:val="00996A55"/>
    <w:rsid w:val="00996E56"/>
    <w:rsid w:val="009972F8"/>
    <w:rsid w:val="00997C59"/>
    <w:rsid w:val="00997C8B"/>
    <w:rsid w:val="00997E27"/>
    <w:rsid w:val="009A00B1"/>
    <w:rsid w:val="009A047C"/>
    <w:rsid w:val="009A0614"/>
    <w:rsid w:val="009A0917"/>
    <w:rsid w:val="009A0DD3"/>
    <w:rsid w:val="009A11C5"/>
    <w:rsid w:val="009A19F7"/>
    <w:rsid w:val="009A1BD6"/>
    <w:rsid w:val="009A1CE7"/>
    <w:rsid w:val="009A1EFE"/>
    <w:rsid w:val="009A1F1E"/>
    <w:rsid w:val="009A200E"/>
    <w:rsid w:val="009A20D6"/>
    <w:rsid w:val="009A2149"/>
    <w:rsid w:val="009A22B0"/>
    <w:rsid w:val="009A2302"/>
    <w:rsid w:val="009A2469"/>
    <w:rsid w:val="009A247C"/>
    <w:rsid w:val="009A26D5"/>
    <w:rsid w:val="009A2785"/>
    <w:rsid w:val="009A2890"/>
    <w:rsid w:val="009A31F2"/>
    <w:rsid w:val="009A39D5"/>
    <w:rsid w:val="009A3C7B"/>
    <w:rsid w:val="009A3E17"/>
    <w:rsid w:val="009A3F9F"/>
    <w:rsid w:val="009A3FFE"/>
    <w:rsid w:val="009A4231"/>
    <w:rsid w:val="009A4481"/>
    <w:rsid w:val="009A45A7"/>
    <w:rsid w:val="009A46C6"/>
    <w:rsid w:val="009A4A93"/>
    <w:rsid w:val="009A4AD7"/>
    <w:rsid w:val="009A4C30"/>
    <w:rsid w:val="009A4D15"/>
    <w:rsid w:val="009A4DD1"/>
    <w:rsid w:val="009A52E4"/>
    <w:rsid w:val="009A5997"/>
    <w:rsid w:val="009A5B6B"/>
    <w:rsid w:val="009A5C26"/>
    <w:rsid w:val="009A5F5B"/>
    <w:rsid w:val="009A6232"/>
    <w:rsid w:val="009A629B"/>
    <w:rsid w:val="009A660A"/>
    <w:rsid w:val="009A67D2"/>
    <w:rsid w:val="009A6880"/>
    <w:rsid w:val="009A68CC"/>
    <w:rsid w:val="009A69B2"/>
    <w:rsid w:val="009A6D0E"/>
    <w:rsid w:val="009A6DAD"/>
    <w:rsid w:val="009A7145"/>
    <w:rsid w:val="009A7427"/>
    <w:rsid w:val="009A748E"/>
    <w:rsid w:val="009A752F"/>
    <w:rsid w:val="009A768A"/>
    <w:rsid w:val="009A76F1"/>
    <w:rsid w:val="009A79BC"/>
    <w:rsid w:val="009A7D52"/>
    <w:rsid w:val="009A7E02"/>
    <w:rsid w:val="009B076A"/>
    <w:rsid w:val="009B09F9"/>
    <w:rsid w:val="009B0A31"/>
    <w:rsid w:val="009B0CAE"/>
    <w:rsid w:val="009B0CBC"/>
    <w:rsid w:val="009B0D82"/>
    <w:rsid w:val="009B1AA7"/>
    <w:rsid w:val="009B1B37"/>
    <w:rsid w:val="009B1B8B"/>
    <w:rsid w:val="009B1F78"/>
    <w:rsid w:val="009B2070"/>
    <w:rsid w:val="009B214C"/>
    <w:rsid w:val="009B23BE"/>
    <w:rsid w:val="009B23CB"/>
    <w:rsid w:val="009B255A"/>
    <w:rsid w:val="009B2631"/>
    <w:rsid w:val="009B2AD9"/>
    <w:rsid w:val="009B2E37"/>
    <w:rsid w:val="009B2F3F"/>
    <w:rsid w:val="009B31C2"/>
    <w:rsid w:val="009B33D1"/>
    <w:rsid w:val="009B345E"/>
    <w:rsid w:val="009B37D9"/>
    <w:rsid w:val="009B3B86"/>
    <w:rsid w:val="009B3C6F"/>
    <w:rsid w:val="009B3CE9"/>
    <w:rsid w:val="009B3D0A"/>
    <w:rsid w:val="009B3F57"/>
    <w:rsid w:val="009B3FDE"/>
    <w:rsid w:val="009B4653"/>
    <w:rsid w:val="009B4876"/>
    <w:rsid w:val="009B494F"/>
    <w:rsid w:val="009B4DE4"/>
    <w:rsid w:val="009B51DC"/>
    <w:rsid w:val="009B533C"/>
    <w:rsid w:val="009B5394"/>
    <w:rsid w:val="009B556D"/>
    <w:rsid w:val="009B55D8"/>
    <w:rsid w:val="009B5643"/>
    <w:rsid w:val="009B56EB"/>
    <w:rsid w:val="009B571E"/>
    <w:rsid w:val="009B5A4F"/>
    <w:rsid w:val="009B6436"/>
    <w:rsid w:val="009B667C"/>
    <w:rsid w:val="009B6959"/>
    <w:rsid w:val="009B6A02"/>
    <w:rsid w:val="009B6A3E"/>
    <w:rsid w:val="009B6E7B"/>
    <w:rsid w:val="009B6EA6"/>
    <w:rsid w:val="009B6F71"/>
    <w:rsid w:val="009B7172"/>
    <w:rsid w:val="009B7492"/>
    <w:rsid w:val="009B7AF9"/>
    <w:rsid w:val="009B7EC4"/>
    <w:rsid w:val="009C00DA"/>
    <w:rsid w:val="009C0358"/>
    <w:rsid w:val="009C048A"/>
    <w:rsid w:val="009C0823"/>
    <w:rsid w:val="009C0F1F"/>
    <w:rsid w:val="009C0F83"/>
    <w:rsid w:val="009C0FF7"/>
    <w:rsid w:val="009C1064"/>
    <w:rsid w:val="009C159D"/>
    <w:rsid w:val="009C16F1"/>
    <w:rsid w:val="009C17EB"/>
    <w:rsid w:val="009C18D6"/>
    <w:rsid w:val="009C1B6D"/>
    <w:rsid w:val="009C1DD3"/>
    <w:rsid w:val="009C2051"/>
    <w:rsid w:val="009C2082"/>
    <w:rsid w:val="009C332A"/>
    <w:rsid w:val="009C33D4"/>
    <w:rsid w:val="009C3949"/>
    <w:rsid w:val="009C3A14"/>
    <w:rsid w:val="009C3BFC"/>
    <w:rsid w:val="009C3CF3"/>
    <w:rsid w:val="009C3D18"/>
    <w:rsid w:val="009C42D8"/>
    <w:rsid w:val="009C43A2"/>
    <w:rsid w:val="009C4658"/>
    <w:rsid w:val="009C47B8"/>
    <w:rsid w:val="009C492D"/>
    <w:rsid w:val="009C4B43"/>
    <w:rsid w:val="009C4B81"/>
    <w:rsid w:val="009C4DBC"/>
    <w:rsid w:val="009C5140"/>
    <w:rsid w:val="009C5355"/>
    <w:rsid w:val="009C53F7"/>
    <w:rsid w:val="009C541D"/>
    <w:rsid w:val="009C5AD5"/>
    <w:rsid w:val="009C5AE2"/>
    <w:rsid w:val="009C5B31"/>
    <w:rsid w:val="009C5B53"/>
    <w:rsid w:val="009C5E48"/>
    <w:rsid w:val="009C6028"/>
    <w:rsid w:val="009C611E"/>
    <w:rsid w:val="009C6123"/>
    <w:rsid w:val="009C61B2"/>
    <w:rsid w:val="009C61BC"/>
    <w:rsid w:val="009C6647"/>
    <w:rsid w:val="009C6B57"/>
    <w:rsid w:val="009C6C5E"/>
    <w:rsid w:val="009C6CBB"/>
    <w:rsid w:val="009C6DB3"/>
    <w:rsid w:val="009C6FE0"/>
    <w:rsid w:val="009C709E"/>
    <w:rsid w:val="009C7116"/>
    <w:rsid w:val="009C71BD"/>
    <w:rsid w:val="009C72D0"/>
    <w:rsid w:val="009C779C"/>
    <w:rsid w:val="009C79F5"/>
    <w:rsid w:val="009C7BB4"/>
    <w:rsid w:val="009C7CA5"/>
    <w:rsid w:val="009C7DF7"/>
    <w:rsid w:val="009D028D"/>
    <w:rsid w:val="009D047C"/>
    <w:rsid w:val="009D08F4"/>
    <w:rsid w:val="009D1025"/>
    <w:rsid w:val="009D12B7"/>
    <w:rsid w:val="009D1B1D"/>
    <w:rsid w:val="009D21DB"/>
    <w:rsid w:val="009D23B2"/>
    <w:rsid w:val="009D28FE"/>
    <w:rsid w:val="009D2A09"/>
    <w:rsid w:val="009D2A8B"/>
    <w:rsid w:val="009D3207"/>
    <w:rsid w:val="009D3438"/>
    <w:rsid w:val="009D3558"/>
    <w:rsid w:val="009D395E"/>
    <w:rsid w:val="009D3B9C"/>
    <w:rsid w:val="009D3C2C"/>
    <w:rsid w:val="009D3F9D"/>
    <w:rsid w:val="009D41D7"/>
    <w:rsid w:val="009D4476"/>
    <w:rsid w:val="009D4661"/>
    <w:rsid w:val="009D4801"/>
    <w:rsid w:val="009D4827"/>
    <w:rsid w:val="009D483E"/>
    <w:rsid w:val="009D4D8C"/>
    <w:rsid w:val="009D5329"/>
    <w:rsid w:val="009D5965"/>
    <w:rsid w:val="009D5B4C"/>
    <w:rsid w:val="009D5F32"/>
    <w:rsid w:val="009D5FC6"/>
    <w:rsid w:val="009D65BE"/>
    <w:rsid w:val="009D6662"/>
    <w:rsid w:val="009D67C4"/>
    <w:rsid w:val="009D6B8B"/>
    <w:rsid w:val="009D6C38"/>
    <w:rsid w:val="009D6FCC"/>
    <w:rsid w:val="009D72A3"/>
    <w:rsid w:val="009D7381"/>
    <w:rsid w:val="009D790C"/>
    <w:rsid w:val="009D79D6"/>
    <w:rsid w:val="009D7EC8"/>
    <w:rsid w:val="009E02CB"/>
    <w:rsid w:val="009E06CA"/>
    <w:rsid w:val="009E073F"/>
    <w:rsid w:val="009E076B"/>
    <w:rsid w:val="009E0A1A"/>
    <w:rsid w:val="009E0E51"/>
    <w:rsid w:val="009E0E85"/>
    <w:rsid w:val="009E11FC"/>
    <w:rsid w:val="009E12BF"/>
    <w:rsid w:val="009E1A53"/>
    <w:rsid w:val="009E1F7F"/>
    <w:rsid w:val="009E1FFA"/>
    <w:rsid w:val="009E20A6"/>
    <w:rsid w:val="009E223C"/>
    <w:rsid w:val="009E2536"/>
    <w:rsid w:val="009E2540"/>
    <w:rsid w:val="009E25CF"/>
    <w:rsid w:val="009E262F"/>
    <w:rsid w:val="009E295C"/>
    <w:rsid w:val="009E2DCA"/>
    <w:rsid w:val="009E33BC"/>
    <w:rsid w:val="009E3B79"/>
    <w:rsid w:val="009E4237"/>
    <w:rsid w:val="009E47C4"/>
    <w:rsid w:val="009E4A5F"/>
    <w:rsid w:val="009E4D50"/>
    <w:rsid w:val="009E4F36"/>
    <w:rsid w:val="009E5232"/>
    <w:rsid w:val="009E5643"/>
    <w:rsid w:val="009E568D"/>
    <w:rsid w:val="009E5ABC"/>
    <w:rsid w:val="009E5C16"/>
    <w:rsid w:val="009E5E16"/>
    <w:rsid w:val="009E5E5D"/>
    <w:rsid w:val="009E631F"/>
    <w:rsid w:val="009E6903"/>
    <w:rsid w:val="009E6A94"/>
    <w:rsid w:val="009E6AD5"/>
    <w:rsid w:val="009E71C6"/>
    <w:rsid w:val="009E722C"/>
    <w:rsid w:val="009E7564"/>
    <w:rsid w:val="009E78CC"/>
    <w:rsid w:val="009E7988"/>
    <w:rsid w:val="009E7EB9"/>
    <w:rsid w:val="009E7F43"/>
    <w:rsid w:val="009F003D"/>
    <w:rsid w:val="009F020A"/>
    <w:rsid w:val="009F0448"/>
    <w:rsid w:val="009F087A"/>
    <w:rsid w:val="009F0938"/>
    <w:rsid w:val="009F09B8"/>
    <w:rsid w:val="009F0A4B"/>
    <w:rsid w:val="009F0A61"/>
    <w:rsid w:val="009F0B88"/>
    <w:rsid w:val="009F0BDE"/>
    <w:rsid w:val="009F0D53"/>
    <w:rsid w:val="009F0FA9"/>
    <w:rsid w:val="009F101F"/>
    <w:rsid w:val="009F117B"/>
    <w:rsid w:val="009F11A6"/>
    <w:rsid w:val="009F120B"/>
    <w:rsid w:val="009F1236"/>
    <w:rsid w:val="009F1640"/>
    <w:rsid w:val="009F17C2"/>
    <w:rsid w:val="009F1C9B"/>
    <w:rsid w:val="009F1CE8"/>
    <w:rsid w:val="009F2089"/>
    <w:rsid w:val="009F229F"/>
    <w:rsid w:val="009F2309"/>
    <w:rsid w:val="009F2B4D"/>
    <w:rsid w:val="009F2CC1"/>
    <w:rsid w:val="009F2DAD"/>
    <w:rsid w:val="009F2F4C"/>
    <w:rsid w:val="009F348F"/>
    <w:rsid w:val="009F34D7"/>
    <w:rsid w:val="009F3A10"/>
    <w:rsid w:val="009F3DA4"/>
    <w:rsid w:val="009F3DD7"/>
    <w:rsid w:val="009F3E7C"/>
    <w:rsid w:val="009F409D"/>
    <w:rsid w:val="009F42AA"/>
    <w:rsid w:val="009F46E7"/>
    <w:rsid w:val="009F48DB"/>
    <w:rsid w:val="009F4A41"/>
    <w:rsid w:val="009F4D20"/>
    <w:rsid w:val="009F4F78"/>
    <w:rsid w:val="009F50F1"/>
    <w:rsid w:val="009F50F8"/>
    <w:rsid w:val="009F5509"/>
    <w:rsid w:val="009F55EB"/>
    <w:rsid w:val="009F5B65"/>
    <w:rsid w:val="009F5FA6"/>
    <w:rsid w:val="009F63A8"/>
    <w:rsid w:val="009F645B"/>
    <w:rsid w:val="009F6834"/>
    <w:rsid w:val="009F6CAB"/>
    <w:rsid w:val="009F71CB"/>
    <w:rsid w:val="009F72A4"/>
    <w:rsid w:val="009F747D"/>
    <w:rsid w:val="009F765B"/>
    <w:rsid w:val="009F76D3"/>
    <w:rsid w:val="009F76D8"/>
    <w:rsid w:val="009F7812"/>
    <w:rsid w:val="009F7A0E"/>
    <w:rsid w:val="009F7B27"/>
    <w:rsid w:val="009F7D22"/>
    <w:rsid w:val="009F7FEF"/>
    <w:rsid w:val="00A00183"/>
    <w:rsid w:val="00A002F9"/>
    <w:rsid w:val="00A00655"/>
    <w:rsid w:val="00A00719"/>
    <w:rsid w:val="00A00B40"/>
    <w:rsid w:val="00A00E3C"/>
    <w:rsid w:val="00A01173"/>
    <w:rsid w:val="00A01618"/>
    <w:rsid w:val="00A01ADA"/>
    <w:rsid w:val="00A01C41"/>
    <w:rsid w:val="00A01CE6"/>
    <w:rsid w:val="00A01FB7"/>
    <w:rsid w:val="00A02783"/>
    <w:rsid w:val="00A02C3B"/>
    <w:rsid w:val="00A02EFC"/>
    <w:rsid w:val="00A03113"/>
    <w:rsid w:val="00A036AE"/>
    <w:rsid w:val="00A037C9"/>
    <w:rsid w:val="00A03891"/>
    <w:rsid w:val="00A04427"/>
    <w:rsid w:val="00A044F9"/>
    <w:rsid w:val="00A04562"/>
    <w:rsid w:val="00A047FB"/>
    <w:rsid w:val="00A04832"/>
    <w:rsid w:val="00A04C82"/>
    <w:rsid w:val="00A04D32"/>
    <w:rsid w:val="00A04D5D"/>
    <w:rsid w:val="00A04F31"/>
    <w:rsid w:val="00A04FB8"/>
    <w:rsid w:val="00A052A4"/>
    <w:rsid w:val="00A054C4"/>
    <w:rsid w:val="00A054CC"/>
    <w:rsid w:val="00A056B2"/>
    <w:rsid w:val="00A056E2"/>
    <w:rsid w:val="00A05821"/>
    <w:rsid w:val="00A05888"/>
    <w:rsid w:val="00A05A88"/>
    <w:rsid w:val="00A05AF2"/>
    <w:rsid w:val="00A05C42"/>
    <w:rsid w:val="00A05F40"/>
    <w:rsid w:val="00A06557"/>
    <w:rsid w:val="00A069E2"/>
    <w:rsid w:val="00A06BFC"/>
    <w:rsid w:val="00A06C1F"/>
    <w:rsid w:val="00A06CB6"/>
    <w:rsid w:val="00A0717E"/>
    <w:rsid w:val="00A071E6"/>
    <w:rsid w:val="00A07218"/>
    <w:rsid w:val="00A0748B"/>
    <w:rsid w:val="00A07847"/>
    <w:rsid w:val="00A07AA7"/>
    <w:rsid w:val="00A07B9D"/>
    <w:rsid w:val="00A10002"/>
    <w:rsid w:val="00A100B9"/>
    <w:rsid w:val="00A1042A"/>
    <w:rsid w:val="00A105D9"/>
    <w:rsid w:val="00A10715"/>
    <w:rsid w:val="00A10984"/>
    <w:rsid w:val="00A10A26"/>
    <w:rsid w:val="00A10AE2"/>
    <w:rsid w:val="00A10BA9"/>
    <w:rsid w:val="00A10DFE"/>
    <w:rsid w:val="00A10E2D"/>
    <w:rsid w:val="00A1106C"/>
    <w:rsid w:val="00A114D1"/>
    <w:rsid w:val="00A11D54"/>
    <w:rsid w:val="00A11FBD"/>
    <w:rsid w:val="00A1229D"/>
    <w:rsid w:val="00A1252F"/>
    <w:rsid w:val="00A12570"/>
    <w:rsid w:val="00A1257C"/>
    <w:rsid w:val="00A126E7"/>
    <w:rsid w:val="00A128EF"/>
    <w:rsid w:val="00A12B60"/>
    <w:rsid w:val="00A12DBA"/>
    <w:rsid w:val="00A132D7"/>
    <w:rsid w:val="00A1330C"/>
    <w:rsid w:val="00A1351F"/>
    <w:rsid w:val="00A135D5"/>
    <w:rsid w:val="00A13AE8"/>
    <w:rsid w:val="00A13BB7"/>
    <w:rsid w:val="00A13C2A"/>
    <w:rsid w:val="00A13CF4"/>
    <w:rsid w:val="00A13DDD"/>
    <w:rsid w:val="00A13FAD"/>
    <w:rsid w:val="00A147F0"/>
    <w:rsid w:val="00A148F7"/>
    <w:rsid w:val="00A14CC0"/>
    <w:rsid w:val="00A14D96"/>
    <w:rsid w:val="00A15513"/>
    <w:rsid w:val="00A15E86"/>
    <w:rsid w:val="00A162CD"/>
    <w:rsid w:val="00A16308"/>
    <w:rsid w:val="00A164F0"/>
    <w:rsid w:val="00A167D6"/>
    <w:rsid w:val="00A168E4"/>
    <w:rsid w:val="00A1729A"/>
    <w:rsid w:val="00A17503"/>
    <w:rsid w:val="00A17593"/>
    <w:rsid w:val="00A1762E"/>
    <w:rsid w:val="00A17926"/>
    <w:rsid w:val="00A17D31"/>
    <w:rsid w:val="00A17FF0"/>
    <w:rsid w:val="00A2000C"/>
    <w:rsid w:val="00A201CA"/>
    <w:rsid w:val="00A204B8"/>
    <w:rsid w:val="00A2085B"/>
    <w:rsid w:val="00A20AAA"/>
    <w:rsid w:val="00A20D22"/>
    <w:rsid w:val="00A20EDA"/>
    <w:rsid w:val="00A21220"/>
    <w:rsid w:val="00A2172E"/>
    <w:rsid w:val="00A217F8"/>
    <w:rsid w:val="00A21922"/>
    <w:rsid w:val="00A219E2"/>
    <w:rsid w:val="00A21A9D"/>
    <w:rsid w:val="00A22138"/>
    <w:rsid w:val="00A22366"/>
    <w:rsid w:val="00A223E9"/>
    <w:rsid w:val="00A2277B"/>
    <w:rsid w:val="00A227A1"/>
    <w:rsid w:val="00A22BBA"/>
    <w:rsid w:val="00A22C9E"/>
    <w:rsid w:val="00A22CD4"/>
    <w:rsid w:val="00A22F9C"/>
    <w:rsid w:val="00A22FF5"/>
    <w:rsid w:val="00A23161"/>
    <w:rsid w:val="00A231DE"/>
    <w:rsid w:val="00A23461"/>
    <w:rsid w:val="00A2371D"/>
    <w:rsid w:val="00A23C00"/>
    <w:rsid w:val="00A23E64"/>
    <w:rsid w:val="00A23EBD"/>
    <w:rsid w:val="00A248E5"/>
    <w:rsid w:val="00A24967"/>
    <w:rsid w:val="00A24CCA"/>
    <w:rsid w:val="00A25652"/>
    <w:rsid w:val="00A25990"/>
    <w:rsid w:val="00A25A7D"/>
    <w:rsid w:val="00A25B4D"/>
    <w:rsid w:val="00A25CDE"/>
    <w:rsid w:val="00A25DB6"/>
    <w:rsid w:val="00A25FD9"/>
    <w:rsid w:val="00A2600F"/>
    <w:rsid w:val="00A26097"/>
    <w:rsid w:val="00A26C49"/>
    <w:rsid w:val="00A26E37"/>
    <w:rsid w:val="00A271BB"/>
    <w:rsid w:val="00A272F4"/>
    <w:rsid w:val="00A2740E"/>
    <w:rsid w:val="00A27AAE"/>
    <w:rsid w:val="00A3067B"/>
    <w:rsid w:val="00A3072D"/>
    <w:rsid w:val="00A30966"/>
    <w:rsid w:val="00A30ABE"/>
    <w:rsid w:val="00A30D9A"/>
    <w:rsid w:val="00A30EAB"/>
    <w:rsid w:val="00A310F2"/>
    <w:rsid w:val="00A31111"/>
    <w:rsid w:val="00A3149E"/>
    <w:rsid w:val="00A3188C"/>
    <w:rsid w:val="00A318B5"/>
    <w:rsid w:val="00A31E58"/>
    <w:rsid w:val="00A3257F"/>
    <w:rsid w:val="00A3265D"/>
    <w:rsid w:val="00A3277C"/>
    <w:rsid w:val="00A32CC5"/>
    <w:rsid w:val="00A32DC5"/>
    <w:rsid w:val="00A32DD8"/>
    <w:rsid w:val="00A3358A"/>
    <w:rsid w:val="00A33815"/>
    <w:rsid w:val="00A33DB7"/>
    <w:rsid w:val="00A3475A"/>
    <w:rsid w:val="00A34976"/>
    <w:rsid w:val="00A34AFB"/>
    <w:rsid w:val="00A34BEC"/>
    <w:rsid w:val="00A34D32"/>
    <w:rsid w:val="00A34E86"/>
    <w:rsid w:val="00A34ED3"/>
    <w:rsid w:val="00A35083"/>
    <w:rsid w:val="00A35205"/>
    <w:rsid w:val="00A35353"/>
    <w:rsid w:val="00A357D1"/>
    <w:rsid w:val="00A3597C"/>
    <w:rsid w:val="00A35A1C"/>
    <w:rsid w:val="00A360D3"/>
    <w:rsid w:val="00A36112"/>
    <w:rsid w:val="00A36419"/>
    <w:rsid w:val="00A365F9"/>
    <w:rsid w:val="00A36699"/>
    <w:rsid w:val="00A3689A"/>
    <w:rsid w:val="00A368F5"/>
    <w:rsid w:val="00A36940"/>
    <w:rsid w:val="00A36EDD"/>
    <w:rsid w:val="00A373C7"/>
    <w:rsid w:val="00A37514"/>
    <w:rsid w:val="00A37965"/>
    <w:rsid w:val="00A37A02"/>
    <w:rsid w:val="00A4024B"/>
    <w:rsid w:val="00A40295"/>
    <w:rsid w:val="00A407A8"/>
    <w:rsid w:val="00A40DCB"/>
    <w:rsid w:val="00A40EA8"/>
    <w:rsid w:val="00A40EED"/>
    <w:rsid w:val="00A40F26"/>
    <w:rsid w:val="00A41044"/>
    <w:rsid w:val="00A41274"/>
    <w:rsid w:val="00A4172D"/>
    <w:rsid w:val="00A41865"/>
    <w:rsid w:val="00A41A75"/>
    <w:rsid w:val="00A41A7D"/>
    <w:rsid w:val="00A41AAA"/>
    <w:rsid w:val="00A41ACD"/>
    <w:rsid w:val="00A41AEC"/>
    <w:rsid w:val="00A41EAA"/>
    <w:rsid w:val="00A42102"/>
    <w:rsid w:val="00A426D2"/>
    <w:rsid w:val="00A42C9C"/>
    <w:rsid w:val="00A4327A"/>
    <w:rsid w:val="00A43523"/>
    <w:rsid w:val="00A4359B"/>
    <w:rsid w:val="00A437B0"/>
    <w:rsid w:val="00A438DA"/>
    <w:rsid w:val="00A43E1F"/>
    <w:rsid w:val="00A4420F"/>
    <w:rsid w:val="00A44273"/>
    <w:rsid w:val="00A4438A"/>
    <w:rsid w:val="00A4482E"/>
    <w:rsid w:val="00A44C6D"/>
    <w:rsid w:val="00A44F9C"/>
    <w:rsid w:val="00A4519B"/>
    <w:rsid w:val="00A4555F"/>
    <w:rsid w:val="00A4567E"/>
    <w:rsid w:val="00A459AD"/>
    <w:rsid w:val="00A45BFE"/>
    <w:rsid w:val="00A45CD4"/>
    <w:rsid w:val="00A46422"/>
    <w:rsid w:val="00A464CC"/>
    <w:rsid w:val="00A4682A"/>
    <w:rsid w:val="00A468AE"/>
    <w:rsid w:val="00A4693E"/>
    <w:rsid w:val="00A46B8E"/>
    <w:rsid w:val="00A46F0B"/>
    <w:rsid w:val="00A47273"/>
    <w:rsid w:val="00A47686"/>
    <w:rsid w:val="00A47786"/>
    <w:rsid w:val="00A47934"/>
    <w:rsid w:val="00A47A4C"/>
    <w:rsid w:val="00A47D80"/>
    <w:rsid w:val="00A47FC0"/>
    <w:rsid w:val="00A5006B"/>
    <w:rsid w:val="00A50095"/>
    <w:rsid w:val="00A50279"/>
    <w:rsid w:val="00A50533"/>
    <w:rsid w:val="00A50861"/>
    <w:rsid w:val="00A50979"/>
    <w:rsid w:val="00A50B6F"/>
    <w:rsid w:val="00A50B96"/>
    <w:rsid w:val="00A50C5F"/>
    <w:rsid w:val="00A50E56"/>
    <w:rsid w:val="00A512CB"/>
    <w:rsid w:val="00A51630"/>
    <w:rsid w:val="00A51B7B"/>
    <w:rsid w:val="00A51FA1"/>
    <w:rsid w:val="00A523F2"/>
    <w:rsid w:val="00A524CE"/>
    <w:rsid w:val="00A52525"/>
    <w:rsid w:val="00A528A5"/>
    <w:rsid w:val="00A52BFD"/>
    <w:rsid w:val="00A52C6B"/>
    <w:rsid w:val="00A530D0"/>
    <w:rsid w:val="00A53507"/>
    <w:rsid w:val="00A5399F"/>
    <w:rsid w:val="00A539EC"/>
    <w:rsid w:val="00A53C2E"/>
    <w:rsid w:val="00A53D40"/>
    <w:rsid w:val="00A54232"/>
    <w:rsid w:val="00A54356"/>
    <w:rsid w:val="00A543D6"/>
    <w:rsid w:val="00A546E8"/>
    <w:rsid w:val="00A54891"/>
    <w:rsid w:val="00A54E92"/>
    <w:rsid w:val="00A55041"/>
    <w:rsid w:val="00A55282"/>
    <w:rsid w:val="00A554F8"/>
    <w:rsid w:val="00A55627"/>
    <w:rsid w:val="00A55C17"/>
    <w:rsid w:val="00A55CC9"/>
    <w:rsid w:val="00A55EA7"/>
    <w:rsid w:val="00A560E5"/>
    <w:rsid w:val="00A561C8"/>
    <w:rsid w:val="00A56252"/>
    <w:rsid w:val="00A5631D"/>
    <w:rsid w:val="00A563CC"/>
    <w:rsid w:val="00A564FC"/>
    <w:rsid w:val="00A56B35"/>
    <w:rsid w:val="00A56E80"/>
    <w:rsid w:val="00A5724C"/>
    <w:rsid w:val="00A57493"/>
    <w:rsid w:val="00A57499"/>
    <w:rsid w:val="00A57677"/>
    <w:rsid w:val="00A605C5"/>
    <w:rsid w:val="00A605E4"/>
    <w:rsid w:val="00A60723"/>
    <w:rsid w:val="00A60C2C"/>
    <w:rsid w:val="00A613FC"/>
    <w:rsid w:val="00A614BC"/>
    <w:rsid w:val="00A6163F"/>
    <w:rsid w:val="00A616B4"/>
    <w:rsid w:val="00A6180B"/>
    <w:rsid w:val="00A6185C"/>
    <w:rsid w:val="00A618B4"/>
    <w:rsid w:val="00A61B95"/>
    <w:rsid w:val="00A61BE9"/>
    <w:rsid w:val="00A62913"/>
    <w:rsid w:val="00A629FB"/>
    <w:rsid w:val="00A62A10"/>
    <w:rsid w:val="00A62DB6"/>
    <w:rsid w:val="00A6312F"/>
    <w:rsid w:val="00A633F2"/>
    <w:rsid w:val="00A63FCB"/>
    <w:rsid w:val="00A6422A"/>
    <w:rsid w:val="00A64278"/>
    <w:rsid w:val="00A64674"/>
    <w:rsid w:val="00A64806"/>
    <w:rsid w:val="00A648A0"/>
    <w:rsid w:val="00A64BAA"/>
    <w:rsid w:val="00A64EEA"/>
    <w:rsid w:val="00A64FA6"/>
    <w:rsid w:val="00A65316"/>
    <w:rsid w:val="00A65B8A"/>
    <w:rsid w:val="00A65C9E"/>
    <w:rsid w:val="00A6603D"/>
    <w:rsid w:val="00A660BD"/>
    <w:rsid w:val="00A66207"/>
    <w:rsid w:val="00A66225"/>
    <w:rsid w:val="00A66728"/>
    <w:rsid w:val="00A66A48"/>
    <w:rsid w:val="00A66C44"/>
    <w:rsid w:val="00A66C89"/>
    <w:rsid w:val="00A66D14"/>
    <w:rsid w:val="00A67413"/>
    <w:rsid w:val="00A6748B"/>
    <w:rsid w:val="00A678D4"/>
    <w:rsid w:val="00A67A9B"/>
    <w:rsid w:val="00A67E7A"/>
    <w:rsid w:val="00A7060D"/>
    <w:rsid w:val="00A7068A"/>
    <w:rsid w:val="00A70951"/>
    <w:rsid w:val="00A70D7A"/>
    <w:rsid w:val="00A71127"/>
    <w:rsid w:val="00A71493"/>
    <w:rsid w:val="00A7165F"/>
    <w:rsid w:val="00A716D6"/>
    <w:rsid w:val="00A71B53"/>
    <w:rsid w:val="00A71D64"/>
    <w:rsid w:val="00A71E7C"/>
    <w:rsid w:val="00A71FAA"/>
    <w:rsid w:val="00A72110"/>
    <w:rsid w:val="00A72991"/>
    <w:rsid w:val="00A72F15"/>
    <w:rsid w:val="00A73089"/>
    <w:rsid w:val="00A730B2"/>
    <w:rsid w:val="00A733C4"/>
    <w:rsid w:val="00A73BDD"/>
    <w:rsid w:val="00A74613"/>
    <w:rsid w:val="00A746ED"/>
    <w:rsid w:val="00A747F6"/>
    <w:rsid w:val="00A74C34"/>
    <w:rsid w:val="00A753B7"/>
    <w:rsid w:val="00A755EA"/>
    <w:rsid w:val="00A756A7"/>
    <w:rsid w:val="00A75AB0"/>
    <w:rsid w:val="00A75D09"/>
    <w:rsid w:val="00A76194"/>
    <w:rsid w:val="00A76444"/>
    <w:rsid w:val="00A766C7"/>
    <w:rsid w:val="00A76B23"/>
    <w:rsid w:val="00A76B3B"/>
    <w:rsid w:val="00A76B9E"/>
    <w:rsid w:val="00A76BD0"/>
    <w:rsid w:val="00A76D49"/>
    <w:rsid w:val="00A76D88"/>
    <w:rsid w:val="00A76FD5"/>
    <w:rsid w:val="00A77299"/>
    <w:rsid w:val="00A779BA"/>
    <w:rsid w:val="00A77AC5"/>
    <w:rsid w:val="00A800BD"/>
    <w:rsid w:val="00A803EA"/>
    <w:rsid w:val="00A804B3"/>
    <w:rsid w:val="00A8053B"/>
    <w:rsid w:val="00A80662"/>
    <w:rsid w:val="00A807B9"/>
    <w:rsid w:val="00A8087E"/>
    <w:rsid w:val="00A80D00"/>
    <w:rsid w:val="00A80D5F"/>
    <w:rsid w:val="00A80DF8"/>
    <w:rsid w:val="00A81546"/>
    <w:rsid w:val="00A815EE"/>
    <w:rsid w:val="00A82002"/>
    <w:rsid w:val="00A8230A"/>
    <w:rsid w:val="00A8244E"/>
    <w:rsid w:val="00A82C88"/>
    <w:rsid w:val="00A82E4D"/>
    <w:rsid w:val="00A82E5E"/>
    <w:rsid w:val="00A832DC"/>
    <w:rsid w:val="00A834BA"/>
    <w:rsid w:val="00A835B8"/>
    <w:rsid w:val="00A836D7"/>
    <w:rsid w:val="00A837D0"/>
    <w:rsid w:val="00A83D40"/>
    <w:rsid w:val="00A840F0"/>
    <w:rsid w:val="00A84180"/>
    <w:rsid w:val="00A847FC"/>
    <w:rsid w:val="00A8487A"/>
    <w:rsid w:val="00A84D50"/>
    <w:rsid w:val="00A85295"/>
    <w:rsid w:val="00A8532F"/>
    <w:rsid w:val="00A8533A"/>
    <w:rsid w:val="00A8536D"/>
    <w:rsid w:val="00A85435"/>
    <w:rsid w:val="00A85439"/>
    <w:rsid w:val="00A858B4"/>
    <w:rsid w:val="00A85A01"/>
    <w:rsid w:val="00A85D53"/>
    <w:rsid w:val="00A85EFA"/>
    <w:rsid w:val="00A861E8"/>
    <w:rsid w:val="00A86243"/>
    <w:rsid w:val="00A86280"/>
    <w:rsid w:val="00A86793"/>
    <w:rsid w:val="00A867BF"/>
    <w:rsid w:val="00A86B2A"/>
    <w:rsid w:val="00A86B95"/>
    <w:rsid w:val="00A86CF2"/>
    <w:rsid w:val="00A86FC0"/>
    <w:rsid w:val="00A87048"/>
    <w:rsid w:val="00A87195"/>
    <w:rsid w:val="00A87224"/>
    <w:rsid w:val="00A87313"/>
    <w:rsid w:val="00A8736E"/>
    <w:rsid w:val="00A877F7"/>
    <w:rsid w:val="00A8799A"/>
    <w:rsid w:val="00A87AAE"/>
    <w:rsid w:val="00A87D5F"/>
    <w:rsid w:val="00A87E23"/>
    <w:rsid w:val="00A90594"/>
    <w:rsid w:val="00A908BD"/>
    <w:rsid w:val="00A90B02"/>
    <w:rsid w:val="00A90D07"/>
    <w:rsid w:val="00A90E87"/>
    <w:rsid w:val="00A90F3A"/>
    <w:rsid w:val="00A9114F"/>
    <w:rsid w:val="00A91151"/>
    <w:rsid w:val="00A9199A"/>
    <w:rsid w:val="00A91A11"/>
    <w:rsid w:val="00A91DD8"/>
    <w:rsid w:val="00A91E4E"/>
    <w:rsid w:val="00A91E57"/>
    <w:rsid w:val="00A92319"/>
    <w:rsid w:val="00A925BD"/>
    <w:rsid w:val="00A926D5"/>
    <w:rsid w:val="00A92758"/>
    <w:rsid w:val="00A927ED"/>
    <w:rsid w:val="00A92953"/>
    <w:rsid w:val="00A92A7D"/>
    <w:rsid w:val="00A92D41"/>
    <w:rsid w:val="00A92F6D"/>
    <w:rsid w:val="00A93314"/>
    <w:rsid w:val="00A93720"/>
    <w:rsid w:val="00A93808"/>
    <w:rsid w:val="00A93B04"/>
    <w:rsid w:val="00A93D1C"/>
    <w:rsid w:val="00A94164"/>
    <w:rsid w:val="00A9428A"/>
    <w:rsid w:val="00A942DB"/>
    <w:rsid w:val="00A944CA"/>
    <w:rsid w:val="00A94500"/>
    <w:rsid w:val="00A94665"/>
    <w:rsid w:val="00A946EF"/>
    <w:rsid w:val="00A94713"/>
    <w:rsid w:val="00A94B2C"/>
    <w:rsid w:val="00A94BFB"/>
    <w:rsid w:val="00A94DD2"/>
    <w:rsid w:val="00A94F1A"/>
    <w:rsid w:val="00A9525D"/>
    <w:rsid w:val="00A9555A"/>
    <w:rsid w:val="00A9569E"/>
    <w:rsid w:val="00A956FB"/>
    <w:rsid w:val="00A9591E"/>
    <w:rsid w:val="00A959F6"/>
    <w:rsid w:val="00A95BF1"/>
    <w:rsid w:val="00A95D97"/>
    <w:rsid w:val="00A9630F"/>
    <w:rsid w:val="00A96875"/>
    <w:rsid w:val="00A96CFF"/>
    <w:rsid w:val="00A96EE9"/>
    <w:rsid w:val="00A97142"/>
    <w:rsid w:val="00A975C4"/>
    <w:rsid w:val="00A975F4"/>
    <w:rsid w:val="00A9761B"/>
    <w:rsid w:val="00A979F8"/>
    <w:rsid w:val="00A97F8D"/>
    <w:rsid w:val="00A97FE7"/>
    <w:rsid w:val="00AA0118"/>
    <w:rsid w:val="00AA0803"/>
    <w:rsid w:val="00AA0819"/>
    <w:rsid w:val="00AA0865"/>
    <w:rsid w:val="00AA10D1"/>
    <w:rsid w:val="00AA157D"/>
    <w:rsid w:val="00AA1813"/>
    <w:rsid w:val="00AA1C4C"/>
    <w:rsid w:val="00AA1D29"/>
    <w:rsid w:val="00AA1D42"/>
    <w:rsid w:val="00AA20C9"/>
    <w:rsid w:val="00AA212F"/>
    <w:rsid w:val="00AA215C"/>
    <w:rsid w:val="00AA277D"/>
    <w:rsid w:val="00AA296F"/>
    <w:rsid w:val="00AA2CCB"/>
    <w:rsid w:val="00AA2EE7"/>
    <w:rsid w:val="00AA3318"/>
    <w:rsid w:val="00AA33C4"/>
    <w:rsid w:val="00AA3CF1"/>
    <w:rsid w:val="00AA3D8E"/>
    <w:rsid w:val="00AA3DD6"/>
    <w:rsid w:val="00AA3F33"/>
    <w:rsid w:val="00AA44A5"/>
    <w:rsid w:val="00AA45E0"/>
    <w:rsid w:val="00AA4691"/>
    <w:rsid w:val="00AA46C1"/>
    <w:rsid w:val="00AA47C2"/>
    <w:rsid w:val="00AA49D8"/>
    <w:rsid w:val="00AA4B32"/>
    <w:rsid w:val="00AA4C38"/>
    <w:rsid w:val="00AA4D2B"/>
    <w:rsid w:val="00AA50BD"/>
    <w:rsid w:val="00AA56B4"/>
    <w:rsid w:val="00AA5F4C"/>
    <w:rsid w:val="00AA610B"/>
    <w:rsid w:val="00AA6273"/>
    <w:rsid w:val="00AA62A3"/>
    <w:rsid w:val="00AA68B1"/>
    <w:rsid w:val="00AA6920"/>
    <w:rsid w:val="00AA699B"/>
    <w:rsid w:val="00AA6B85"/>
    <w:rsid w:val="00AA6BA8"/>
    <w:rsid w:val="00AA6DDC"/>
    <w:rsid w:val="00AA70F2"/>
    <w:rsid w:val="00AA7387"/>
    <w:rsid w:val="00AA7AEB"/>
    <w:rsid w:val="00AA7DF3"/>
    <w:rsid w:val="00AB00E4"/>
    <w:rsid w:val="00AB013F"/>
    <w:rsid w:val="00AB08D3"/>
    <w:rsid w:val="00AB0A54"/>
    <w:rsid w:val="00AB11A5"/>
    <w:rsid w:val="00AB11C0"/>
    <w:rsid w:val="00AB170B"/>
    <w:rsid w:val="00AB196C"/>
    <w:rsid w:val="00AB19CF"/>
    <w:rsid w:val="00AB1B1E"/>
    <w:rsid w:val="00AB1EA6"/>
    <w:rsid w:val="00AB1F97"/>
    <w:rsid w:val="00AB2252"/>
    <w:rsid w:val="00AB27A7"/>
    <w:rsid w:val="00AB2A62"/>
    <w:rsid w:val="00AB2D0D"/>
    <w:rsid w:val="00AB31CB"/>
    <w:rsid w:val="00AB322B"/>
    <w:rsid w:val="00AB327E"/>
    <w:rsid w:val="00AB32DE"/>
    <w:rsid w:val="00AB3754"/>
    <w:rsid w:val="00AB3865"/>
    <w:rsid w:val="00AB3C39"/>
    <w:rsid w:val="00AB429E"/>
    <w:rsid w:val="00AB43A6"/>
    <w:rsid w:val="00AB44F7"/>
    <w:rsid w:val="00AB4797"/>
    <w:rsid w:val="00AB4895"/>
    <w:rsid w:val="00AB4AC2"/>
    <w:rsid w:val="00AB4D12"/>
    <w:rsid w:val="00AB4ED1"/>
    <w:rsid w:val="00AB4EDF"/>
    <w:rsid w:val="00AB54F6"/>
    <w:rsid w:val="00AB5C37"/>
    <w:rsid w:val="00AB5FE3"/>
    <w:rsid w:val="00AB6039"/>
    <w:rsid w:val="00AB6328"/>
    <w:rsid w:val="00AB6A6D"/>
    <w:rsid w:val="00AB6B1A"/>
    <w:rsid w:val="00AB6C9D"/>
    <w:rsid w:val="00AB6D4B"/>
    <w:rsid w:val="00AB6EEC"/>
    <w:rsid w:val="00AB7672"/>
    <w:rsid w:val="00AB76D5"/>
    <w:rsid w:val="00AB7877"/>
    <w:rsid w:val="00AB7909"/>
    <w:rsid w:val="00AB79F4"/>
    <w:rsid w:val="00AC09A6"/>
    <w:rsid w:val="00AC0D7A"/>
    <w:rsid w:val="00AC0F69"/>
    <w:rsid w:val="00AC0F9A"/>
    <w:rsid w:val="00AC1289"/>
    <w:rsid w:val="00AC148B"/>
    <w:rsid w:val="00AC1583"/>
    <w:rsid w:val="00AC1A4E"/>
    <w:rsid w:val="00AC1C56"/>
    <w:rsid w:val="00AC1CC2"/>
    <w:rsid w:val="00AC1F0B"/>
    <w:rsid w:val="00AC21FE"/>
    <w:rsid w:val="00AC2810"/>
    <w:rsid w:val="00AC32B2"/>
    <w:rsid w:val="00AC38CE"/>
    <w:rsid w:val="00AC410E"/>
    <w:rsid w:val="00AC41DC"/>
    <w:rsid w:val="00AC431D"/>
    <w:rsid w:val="00AC49CA"/>
    <w:rsid w:val="00AC4AFC"/>
    <w:rsid w:val="00AC4BB3"/>
    <w:rsid w:val="00AC4C39"/>
    <w:rsid w:val="00AC4E20"/>
    <w:rsid w:val="00AC5270"/>
    <w:rsid w:val="00AC582F"/>
    <w:rsid w:val="00AC5E16"/>
    <w:rsid w:val="00AC5E82"/>
    <w:rsid w:val="00AC620B"/>
    <w:rsid w:val="00AC62E6"/>
    <w:rsid w:val="00AC633A"/>
    <w:rsid w:val="00AC63B5"/>
    <w:rsid w:val="00AC63B6"/>
    <w:rsid w:val="00AC654C"/>
    <w:rsid w:val="00AC6990"/>
    <w:rsid w:val="00AC6B31"/>
    <w:rsid w:val="00AC6E2A"/>
    <w:rsid w:val="00AC6E61"/>
    <w:rsid w:val="00AC6E88"/>
    <w:rsid w:val="00AC6EB3"/>
    <w:rsid w:val="00AC6F84"/>
    <w:rsid w:val="00AC6FFD"/>
    <w:rsid w:val="00AC76B8"/>
    <w:rsid w:val="00AC7A77"/>
    <w:rsid w:val="00AC7AEE"/>
    <w:rsid w:val="00AC7B7D"/>
    <w:rsid w:val="00AC7CDA"/>
    <w:rsid w:val="00AC7DE8"/>
    <w:rsid w:val="00AC7ED7"/>
    <w:rsid w:val="00AD057A"/>
    <w:rsid w:val="00AD073D"/>
    <w:rsid w:val="00AD12F1"/>
    <w:rsid w:val="00AD1340"/>
    <w:rsid w:val="00AD1951"/>
    <w:rsid w:val="00AD1C87"/>
    <w:rsid w:val="00AD1D54"/>
    <w:rsid w:val="00AD1D5F"/>
    <w:rsid w:val="00AD208D"/>
    <w:rsid w:val="00AD2299"/>
    <w:rsid w:val="00AD24DC"/>
    <w:rsid w:val="00AD24E1"/>
    <w:rsid w:val="00AD25F3"/>
    <w:rsid w:val="00AD2618"/>
    <w:rsid w:val="00AD263B"/>
    <w:rsid w:val="00AD2787"/>
    <w:rsid w:val="00AD284E"/>
    <w:rsid w:val="00AD2997"/>
    <w:rsid w:val="00AD2B2E"/>
    <w:rsid w:val="00AD2D2B"/>
    <w:rsid w:val="00AD2D3B"/>
    <w:rsid w:val="00AD2E4D"/>
    <w:rsid w:val="00AD3712"/>
    <w:rsid w:val="00AD3CD3"/>
    <w:rsid w:val="00AD3F4A"/>
    <w:rsid w:val="00AD406D"/>
    <w:rsid w:val="00AD42BB"/>
    <w:rsid w:val="00AD42C9"/>
    <w:rsid w:val="00AD43D2"/>
    <w:rsid w:val="00AD4532"/>
    <w:rsid w:val="00AD4672"/>
    <w:rsid w:val="00AD474F"/>
    <w:rsid w:val="00AD4C7E"/>
    <w:rsid w:val="00AD5211"/>
    <w:rsid w:val="00AD52D5"/>
    <w:rsid w:val="00AD55B2"/>
    <w:rsid w:val="00AD5815"/>
    <w:rsid w:val="00AD5D0C"/>
    <w:rsid w:val="00AD5DCC"/>
    <w:rsid w:val="00AD608A"/>
    <w:rsid w:val="00AD6107"/>
    <w:rsid w:val="00AD6167"/>
    <w:rsid w:val="00AD63D2"/>
    <w:rsid w:val="00AD65B9"/>
    <w:rsid w:val="00AD7235"/>
    <w:rsid w:val="00AD7318"/>
    <w:rsid w:val="00AD775E"/>
    <w:rsid w:val="00AD7D49"/>
    <w:rsid w:val="00AD7F8B"/>
    <w:rsid w:val="00AE0077"/>
    <w:rsid w:val="00AE037E"/>
    <w:rsid w:val="00AE0507"/>
    <w:rsid w:val="00AE0627"/>
    <w:rsid w:val="00AE08B7"/>
    <w:rsid w:val="00AE0953"/>
    <w:rsid w:val="00AE0956"/>
    <w:rsid w:val="00AE0C6E"/>
    <w:rsid w:val="00AE0DE1"/>
    <w:rsid w:val="00AE122B"/>
    <w:rsid w:val="00AE126D"/>
    <w:rsid w:val="00AE1354"/>
    <w:rsid w:val="00AE13C7"/>
    <w:rsid w:val="00AE1BD4"/>
    <w:rsid w:val="00AE1C69"/>
    <w:rsid w:val="00AE21C2"/>
    <w:rsid w:val="00AE21FD"/>
    <w:rsid w:val="00AE22A8"/>
    <w:rsid w:val="00AE235B"/>
    <w:rsid w:val="00AE2E5C"/>
    <w:rsid w:val="00AE2EFD"/>
    <w:rsid w:val="00AE2F5F"/>
    <w:rsid w:val="00AE31DF"/>
    <w:rsid w:val="00AE335F"/>
    <w:rsid w:val="00AE3566"/>
    <w:rsid w:val="00AE365E"/>
    <w:rsid w:val="00AE36D7"/>
    <w:rsid w:val="00AE3DC9"/>
    <w:rsid w:val="00AE3F5E"/>
    <w:rsid w:val="00AE4309"/>
    <w:rsid w:val="00AE4314"/>
    <w:rsid w:val="00AE43DA"/>
    <w:rsid w:val="00AE466B"/>
    <w:rsid w:val="00AE4A8E"/>
    <w:rsid w:val="00AE4AFB"/>
    <w:rsid w:val="00AE4F92"/>
    <w:rsid w:val="00AE50F8"/>
    <w:rsid w:val="00AE5212"/>
    <w:rsid w:val="00AE5522"/>
    <w:rsid w:val="00AE5707"/>
    <w:rsid w:val="00AE58B8"/>
    <w:rsid w:val="00AE5E56"/>
    <w:rsid w:val="00AE60CC"/>
    <w:rsid w:val="00AE6157"/>
    <w:rsid w:val="00AE6410"/>
    <w:rsid w:val="00AE69BB"/>
    <w:rsid w:val="00AE6D08"/>
    <w:rsid w:val="00AE6E1F"/>
    <w:rsid w:val="00AE70B9"/>
    <w:rsid w:val="00AE7186"/>
    <w:rsid w:val="00AE722E"/>
    <w:rsid w:val="00AE725D"/>
    <w:rsid w:val="00AE7305"/>
    <w:rsid w:val="00AE7618"/>
    <w:rsid w:val="00AE77CA"/>
    <w:rsid w:val="00AE7E8C"/>
    <w:rsid w:val="00AE7F73"/>
    <w:rsid w:val="00AF0131"/>
    <w:rsid w:val="00AF0180"/>
    <w:rsid w:val="00AF019A"/>
    <w:rsid w:val="00AF0343"/>
    <w:rsid w:val="00AF03FE"/>
    <w:rsid w:val="00AF0474"/>
    <w:rsid w:val="00AF04A6"/>
    <w:rsid w:val="00AF0503"/>
    <w:rsid w:val="00AF082D"/>
    <w:rsid w:val="00AF09DA"/>
    <w:rsid w:val="00AF09F8"/>
    <w:rsid w:val="00AF0E03"/>
    <w:rsid w:val="00AF1458"/>
    <w:rsid w:val="00AF1576"/>
    <w:rsid w:val="00AF1866"/>
    <w:rsid w:val="00AF1B40"/>
    <w:rsid w:val="00AF1CCE"/>
    <w:rsid w:val="00AF1E2C"/>
    <w:rsid w:val="00AF229F"/>
    <w:rsid w:val="00AF235B"/>
    <w:rsid w:val="00AF2C99"/>
    <w:rsid w:val="00AF309D"/>
    <w:rsid w:val="00AF37A3"/>
    <w:rsid w:val="00AF3960"/>
    <w:rsid w:val="00AF43D8"/>
    <w:rsid w:val="00AF47DE"/>
    <w:rsid w:val="00AF48A0"/>
    <w:rsid w:val="00AF4A17"/>
    <w:rsid w:val="00AF5338"/>
    <w:rsid w:val="00AF561E"/>
    <w:rsid w:val="00AF5649"/>
    <w:rsid w:val="00AF59A1"/>
    <w:rsid w:val="00AF5C26"/>
    <w:rsid w:val="00AF5E68"/>
    <w:rsid w:val="00AF5FCB"/>
    <w:rsid w:val="00AF60B1"/>
    <w:rsid w:val="00AF6246"/>
    <w:rsid w:val="00AF6406"/>
    <w:rsid w:val="00AF6661"/>
    <w:rsid w:val="00AF670A"/>
    <w:rsid w:val="00AF6923"/>
    <w:rsid w:val="00AF6931"/>
    <w:rsid w:val="00AF71BE"/>
    <w:rsid w:val="00AF7241"/>
    <w:rsid w:val="00AF731F"/>
    <w:rsid w:val="00AF7525"/>
    <w:rsid w:val="00AF7914"/>
    <w:rsid w:val="00AF79AF"/>
    <w:rsid w:val="00AF7AE9"/>
    <w:rsid w:val="00AF7EA0"/>
    <w:rsid w:val="00AF7ED2"/>
    <w:rsid w:val="00AF7EE8"/>
    <w:rsid w:val="00B00014"/>
    <w:rsid w:val="00B00360"/>
    <w:rsid w:val="00B00674"/>
    <w:rsid w:val="00B00B84"/>
    <w:rsid w:val="00B00F69"/>
    <w:rsid w:val="00B0133E"/>
    <w:rsid w:val="00B0141A"/>
    <w:rsid w:val="00B016DC"/>
    <w:rsid w:val="00B0170C"/>
    <w:rsid w:val="00B02165"/>
    <w:rsid w:val="00B02203"/>
    <w:rsid w:val="00B023D0"/>
    <w:rsid w:val="00B02519"/>
    <w:rsid w:val="00B0289D"/>
    <w:rsid w:val="00B028B0"/>
    <w:rsid w:val="00B02D4A"/>
    <w:rsid w:val="00B02F21"/>
    <w:rsid w:val="00B03065"/>
    <w:rsid w:val="00B0323C"/>
    <w:rsid w:val="00B0378F"/>
    <w:rsid w:val="00B0383E"/>
    <w:rsid w:val="00B0398E"/>
    <w:rsid w:val="00B0419A"/>
    <w:rsid w:val="00B044FC"/>
    <w:rsid w:val="00B046BB"/>
    <w:rsid w:val="00B053BC"/>
    <w:rsid w:val="00B05424"/>
    <w:rsid w:val="00B0548B"/>
    <w:rsid w:val="00B055CE"/>
    <w:rsid w:val="00B05660"/>
    <w:rsid w:val="00B05698"/>
    <w:rsid w:val="00B057DE"/>
    <w:rsid w:val="00B059A3"/>
    <w:rsid w:val="00B05A2B"/>
    <w:rsid w:val="00B05B51"/>
    <w:rsid w:val="00B05D51"/>
    <w:rsid w:val="00B05FAC"/>
    <w:rsid w:val="00B06054"/>
    <w:rsid w:val="00B0677A"/>
    <w:rsid w:val="00B067BC"/>
    <w:rsid w:val="00B06CE3"/>
    <w:rsid w:val="00B06E4F"/>
    <w:rsid w:val="00B07038"/>
    <w:rsid w:val="00B07224"/>
    <w:rsid w:val="00B07252"/>
    <w:rsid w:val="00B073C6"/>
    <w:rsid w:val="00B07449"/>
    <w:rsid w:val="00B0792E"/>
    <w:rsid w:val="00B079FA"/>
    <w:rsid w:val="00B07DCB"/>
    <w:rsid w:val="00B07EEE"/>
    <w:rsid w:val="00B07FB1"/>
    <w:rsid w:val="00B101B9"/>
    <w:rsid w:val="00B10244"/>
    <w:rsid w:val="00B1036F"/>
    <w:rsid w:val="00B103DB"/>
    <w:rsid w:val="00B1041A"/>
    <w:rsid w:val="00B1042F"/>
    <w:rsid w:val="00B105B8"/>
    <w:rsid w:val="00B105ED"/>
    <w:rsid w:val="00B10624"/>
    <w:rsid w:val="00B10793"/>
    <w:rsid w:val="00B108F8"/>
    <w:rsid w:val="00B1094D"/>
    <w:rsid w:val="00B10D36"/>
    <w:rsid w:val="00B110AA"/>
    <w:rsid w:val="00B110D5"/>
    <w:rsid w:val="00B113AF"/>
    <w:rsid w:val="00B11C53"/>
    <w:rsid w:val="00B11DEF"/>
    <w:rsid w:val="00B11F52"/>
    <w:rsid w:val="00B12329"/>
    <w:rsid w:val="00B124FE"/>
    <w:rsid w:val="00B125FD"/>
    <w:rsid w:val="00B127CD"/>
    <w:rsid w:val="00B12AAA"/>
    <w:rsid w:val="00B12B0C"/>
    <w:rsid w:val="00B12B97"/>
    <w:rsid w:val="00B12FD6"/>
    <w:rsid w:val="00B1307E"/>
    <w:rsid w:val="00B13224"/>
    <w:rsid w:val="00B13500"/>
    <w:rsid w:val="00B13897"/>
    <w:rsid w:val="00B138D9"/>
    <w:rsid w:val="00B139C0"/>
    <w:rsid w:val="00B13C02"/>
    <w:rsid w:val="00B1407D"/>
    <w:rsid w:val="00B142AF"/>
    <w:rsid w:val="00B142B9"/>
    <w:rsid w:val="00B1433F"/>
    <w:rsid w:val="00B14366"/>
    <w:rsid w:val="00B14645"/>
    <w:rsid w:val="00B148C5"/>
    <w:rsid w:val="00B148FA"/>
    <w:rsid w:val="00B149DB"/>
    <w:rsid w:val="00B14CB9"/>
    <w:rsid w:val="00B14D2C"/>
    <w:rsid w:val="00B1517A"/>
    <w:rsid w:val="00B151AC"/>
    <w:rsid w:val="00B15441"/>
    <w:rsid w:val="00B15487"/>
    <w:rsid w:val="00B15627"/>
    <w:rsid w:val="00B157E5"/>
    <w:rsid w:val="00B15E01"/>
    <w:rsid w:val="00B15E4F"/>
    <w:rsid w:val="00B15E9E"/>
    <w:rsid w:val="00B16378"/>
    <w:rsid w:val="00B164C8"/>
    <w:rsid w:val="00B167CE"/>
    <w:rsid w:val="00B16FD9"/>
    <w:rsid w:val="00B17324"/>
    <w:rsid w:val="00B1753A"/>
    <w:rsid w:val="00B1774B"/>
    <w:rsid w:val="00B1774D"/>
    <w:rsid w:val="00B17AB0"/>
    <w:rsid w:val="00B17C90"/>
    <w:rsid w:val="00B17E24"/>
    <w:rsid w:val="00B17ED2"/>
    <w:rsid w:val="00B20CEF"/>
    <w:rsid w:val="00B20F5F"/>
    <w:rsid w:val="00B20FBC"/>
    <w:rsid w:val="00B21465"/>
    <w:rsid w:val="00B216D2"/>
    <w:rsid w:val="00B21C4A"/>
    <w:rsid w:val="00B21C8C"/>
    <w:rsid w:val="00B21DB3"/>
    <w:rsid w:val="00B22133"/>
    <w:rsid w:val="00B223BE"/>
    <w:rsid w:val="00B22D5F"/>
    <w:rsid w:val="00B2317E"/>
    <w:rsid w:val="00B23556"/>
    <w:rsid w:val="00B2384B"/>
    <w:rsid w:val="00B238A7"/>
    <w:rsid w:val="00B23A42"/>
    <w:rsid w:val="00B23A49"/>
    <w:rsid w:val="00B23B4E"/>
    <w:rsid w:val="00B23E3B"/>
    <w:rsid w:val="00B2403C"/>
    <w:rsid w:val="00B242B2"/>
    <w:rsid w:val="00B242F9"/>
    <w:rsid w:val="00B24626"/>
    <w:rsid w:val="00B2487A"/>
    <w:rsid w:val="00B24D32"/>
    <w:rsid w:val="00B24DBB"/>
    <w:rsid w:val="00B24EAF"/>
    <w:rsid w:val="00B24EF8"/>
    <w:rsid w:val="00B25058"/>
    <w:rsid w:val="00B2506E"/>
    <w:rsid w:val="00B2544E"/>
    <w:rsid w:val="00B255A5"/>
    <w:rsid w:val="00B25D28"/>
    <w:rsid w:val="00B25D3A"/>
    <w:rsid w:val="00B26187"/>
    <w:rsid w:val="00B261BB"/>
    <w:rsid w:val="00B26472"/>
    <w:rsid w:val="00B26A87"/>
    <w:rsid w:val="00B26B1D"/>
    <w:rsid w:val="00B26C66"/>
    <w:rsid w:val="00B26D36"/>
    <w:rsid w:val="00B26FA3"/>
    <w:rsid w:val="00B26FBC"/>
    <w:rsid w:val="00B26FF8"/>
    <w:rsid w:val="00B271A3"/>
    <w:rsid w:val="00B271F2"/>
    <w:rsid w:val="00B274D2"/>
    <w:rsid w:val="00B27759"/>
    <w:rsid w:val="00B277BA"/>
    <w:rsid w:val="00B27956"/>
    <w:rsid w:val="00B27977"/>
    <w:rsid w:val="00B279D3"/>
    <w:rsid w:val="00B27DD0"/>
    <w:rsid w:val="00B300C5"/>
    <w:rsid w:val="00B3040D"/>
    <w:rsid w:val="00B30922"/>
    <w:rsid w:val="00B30AC6"/>
    <w:rsid w:val="00B31292"/>
    <w:rsid w:val="00B3129D"/>
    <w:rsid w:val="00B31365"/>
    <w:rsid w:val="00B319D6"/>
    <w:rsid w:val="00B31B9A"/>
    <w:rsid w:val="00B31F84"/>
    <w:rsid w:val="00B3217B"/>
    <w:rsid w:val="00B3281F"/>
    <w:rsid w:val="00B32AA7"/>
    <w:rsid w:val="00B3372E"/>
    <w:rsid w:val="00B339C9"/>
    <w:rsid w:val="00B33DCA"/>
    <w:rsid w:val="00B33F58"/>
    <w:rsid w:val="00B34186"/>
    <w:rsid w:val="00B341CA"/>
    <w:rsid w:val="00B34355"/>
    <w:rsid w:val="00B344E7"/>
    <w:rsid w:val="00B347F9"/>
    <w:rsid w:val="00B348AE"/>
    <w:rsid w:val="00B34ACF"/>
    <w:rsid w:val="00B35659"/>
    <w:rsid w:val="00B35CFD"/>
    <w:rsid w:val="00B35E8C"/>
    <w:rsid w:val="00B36031"/>
    <w:rsid w:val="00B36811"/>
    <w:rsid w:val="00B3697C"/>
    <w:rsid w:val="00B369C3"/>
    <w:rsid w:val="00B36BE1"/>
    <w:rsid w:val="00B36BE8"/>
    <w:rsid w:val="00B36D2C"/>
    <w:rsid w:val="00B36EBA"/>
    <w:rsid w:val="00B37000"/>
    <w:rsid w:val="00B37105"/>
    <w:rsid w:val="00B3715D"/>
    <w:rsid w:val="00B3735F"/>
    <w:rsid w:val="00B3757B"/>
    <w:rsid w:val="00B3789C"/>
    <w:rsid w:val="00B379DE"/>
    <w:rsid w:val="00B37B09"/>
    <w:rsid w:val="00B37F2E"/>
    <w:rsid w:val="00B37F81"/>
    <w:rsid w:val="00B402B4"/>
    <w:rsid w:val="00B40591"/>
    <w:rsid w:val="00B40627"/>
    <w:rsid w:val="00B409C9"/>
    <w:rsid w:val="00B40CEA"/>
    <w:rsid w:val="00B40D1C"/>
    <w:rsid w:val="00B40F59"/>
    <w:rsid w:val="00B412D9"/>
    <w:rsid w:val="00B413D7"/>
    <w:rsid w:val="00B416F4"/>
    <w:rsid w:val="00B41BC0"/>
    <w:rsid w:val="00B422D2"/>
    <w:rsid w:val="00B423AD"/>
    <w:rsid w:val="00B424C0"/>
    <w:rsid w:val="00B42976"/>
    <w:rsid w:val="00B4297F"/>
    <w:rsid w:val="00B4298F"/>
    <w:rsid w:val="00B42A4F"/>
    <w:rsid w:val="00B42D39"/>
    <w:rsid w:val="00B42EB7"/>
    <w:rsid w:val="00B42EFE"/>
    <w:rsid w:val="00B438BC"/>
    <w:rsid w:val="00B43BFC"/>
    <w:rsid w:val="00B43C29"/>
    <w:rsid w:val="00B43D5B"/>
    <w:rsid w:val="00B43DB9"/>
    <w:rsid w:val="00B440AC"/>
    <w:rsid w:val="00B4452B"/>
    <w:rsid w:val="00B445D6"/>
    <w:rsid w:val="00B4479B"/>
    <w:rsid w:val="00B448A7"/>
    <w:rsid w:val="00B44FF7"/>
    <w:rsid w:val="00B45348"/>
    <w:rsid w:val="00B45DF6"/>
    <w:rsid w:val="00B46173"/>
    <w:rsid w:val="00B462FA"/>
    <w:rsid w:val="00B463BC"/>
    <w:rsid w:val="00B4647B"/>
    <w:rsid w:val="00B46559"/>
    <w:rsid w:val="00B46A78"/>
    <w:rsid w:val="00B46EBC"/>
    <w:rsid w:val="00B471D6"/>
    <w:rsid w:val="00B474F9"/>
    <w:rsid w:val="00B4764E"/>
    <w:rsid w:val="00B47682"/>
    <w:rsid w:val="00B47FDB"/>
    <w:rsid w:val="00B50381"/>
    <w:rsid w:val="00B504FB"/>
    <w:rsid w:val="00B509C2"/>
    <w:rsid w:val="00B509D3"/>
    <w:rsid w:val="00B50A82"/>
    <w:rsid w:val="00B50B0A"/>
    <w:rsid w:val="00B50DB5"/>
    <w:rsid w:val="00B51572"/>
    <w:rsid w:val="00B515EA"/>
    <w:rsid w:val="00B51610"/>
    <w:rsid w:val="00B51BF6"/>
    <w:rsid w:val="00B51D02"/>
    <w:rsid w:val="00B51F28"/>
    <w:rsid w:val="00B52002"/>
    <w:rsid w:val="00B525AF"/>
    <w:rsid w:val="00B5276F"/>
    <w:rsid w:val="00B52EEE"/>
    <w:rsid w:val="00B5308A"/>
    <w:rsid w:val="00B535B9"/>
    <w:rsid w:val="00B53985"/>
    <w:rsid w:val="00B54328"/>
    <w:rsid w:val="00B5440B"/>
    <w:rsid w:val="00B5455F"/>
    <w:rsid w:val="00B54670"/>
    <w:rsid w:val="00B54EFD"/>
    <w:rsid w:val="00B550D4"/>
    <w:rsid w:val="00B55132"/>
    <w:rsid w:val="00B553B9"/>
    <w:rsid w:val="00B55F1D"/>
    <w:rsid w:val="00B55FEF"/>
    <w:rsid w:val="00B5617A"/>
    <w:rsid w:val="00B56293"/>
    <w:rsid w:val="00B57049"/>
    <w:rsid w:val="00B570BE"/>
    <w:rsid w:val="00B570F9"/>
    <w:rsid w:val="00B5768A"/>
    <w:rsid w:val="00B576AD"/>
    <w:rsid w:val="00B57B31"/>
    <w:rsid w:val="00B6002A"/>
    <w:rsid w:val="00B60259"/>
    <w:rsid w:val="00B605B2"/>
    <w:rsid w:val="00B6062D"/>
    <w:rsid w:val="00B60707"/>
    <w:rsid w:val="00B6087C"/>
    <w:rsid w:val="00B60E34"/>
    <w:rsid w:val="00B60F14"/>
    <w:rsid w:val="00B60F18"/>
    <w:rsid w:val="00B60F8D"/>
    <w:rsid w:val="00B6111A"/>
    <w:rsid w:val="00B614D3"/>
    <w:rsid w:val="00B616D4"/>
    <w:rsid w:val="00B618CC"/>
    <w:rsid w:val="00B61B2D"/>
    <w:rsid w:val="00B61C4D"/>
    <w:rsid w:val="00B61DD5"/>
    <w:rsid w:val="00B61EB5"/>
    <w:rsid w:val="00B61EC2"/>
    <w:rsid w:val="00B62321"/>
    <w:rsid w:val="00B6235B"/>
    <w:rsid w:val="00B6296B"/>
    <w:rsid w:val="00B62BB8"/>
    <w:rsid w:val="00B62D23"/>
    <w:rsid w:val="00B62E06"/>
    <w:rsid w:val="00B62EDC"/>
    <w:rsid w:val="00B62F31"/>
    <w:rsid w:val="00B63183"/>
    <w:rsid w:val="00B63270"/>
    <w:rsid w:val="00B63441"/>
    <w:rsid w:val="00B6385E"/>
    <w:rsid w:val="00B63B98"/>
    <w:rsid w:val="00B64232"/>
    <w:rsid w:val="00B644CF"/>
    <w:rsid w:val="00B648A2"/>
    <w:rsid w:val="00B64920"/>
    <w:rsid w:val="00B64D28"/>
    <w:rsid w:val="00B64E47"/>
    <w:rsid w:val="00B64F0C"/>
    <w:rsid w:val="00B64F83"/>
    <w:rsid w:val="00B651D1"/>
    <w:rsid w:val="00B65324"/>
    <w:rsid w:val="00B65511"/>
    <w:rsid w:val="00B655A2"/>
    <w:rsid w:val="00B65A57"/>
    <w:rsid w:val="00B6641A"/>
    <w:rsid w:val="00B6658A"/>
    <w:rsid w:val="00B66D3B"/>
    <w:rsid w:val="00B6732F"/>
    <w:rsid w:val="00B67841"/>
    <w:rsid w:val="00B67A3C"/>
    <w:rsid w:val="00B67B89"/>
    <w:rsid w:val="00B67BD8"/>
    <w:rsid w:val="00B700A4"/>
    <w:rsid w:val="00B7037F"/>
    <w:rsid w:val="00B703F8"/>
    <w:rsid w:val="00B7045E"/>
    <w:rsid w:val="00B7077E"/>
    <w:rsid w:val="00B708BD"/>
    <w:rsid w:val="00B7095A"/>
    <w:rsid w:val="00B70BA3"/>
    <w:rsid w:val="00B70D72"/>
    <w:rsid w:val="00B70DD0"/>
    <w:rsid w:val="00B71163"/>
    <w:rsid w:val="00B7119C"/>
    <w:rsid w:val="00B7139E"/>
    <w:rsid w:val="00B7170E"/>
    <w:rsid w:val="00B717D1"/>
    <w:rsid w:val="00B71851"/>
    <w:rsid w:val="00B718DD"/>
    <w:rsid w:val="00B71CB8"/>
    <w:rsid w:val="00B71DBE"/>
    <w:rsid w:val="00B72288"/>
    <w:rsid w:val="00B723B6"/>
    <w:rsid w:val="00B73029"/>
    <w:rsid w:val="00B730F5"/>
    <w:rsid w:val="00B735B7"/>
    <w:rsid w:val="00B737F5"/>
    <w:rsid w:val="00B73AC2"/>
    <w:rsid w:val="00B74341"/>
    <w:rsid w:val="00B74364"/>
    <w:rsid w:val="00B744B5"/>
    <w:rsid w:val="00B74610"/>
    <w:rsid w:val="00B74625"/>
    <w:rsid w:val="00B7482F"/>
    <w:rsid w:val="00B74E50"/>
    <w:rsid w:val="00B75005"/>
    <w:rsid w:val="00B75194"/>
    <w:rsid w:val="00B75223"/>
    <w:rsid w:val="00B7586C"/>
    <w:rsid w:val="00B75877"/>
    <w:rsid w:val="00B75DCE"/>
    <w:rsid w:val="00B75F87"/>
    <w:rsid w:val="00B75FB0"/>
    <w:rsid w:val="00B761EB"/>
    <w:rsid w:val="00B76263"/>
    <w:rsid w:val="00B7632D"/>
    <w:rsid w:val="00B763C3"/>
    <w:rsid w:val="00B76631"/>
    <w:rsid w:val="00B76827"/>
    <w:rsid w:val="00B76B52"/>
    <w:rsid w:val="00B76CDB"/>
    <w:rsid w:val="00B76E7E"/>
    <w:rsid w:val="00B76EC2"/>
    <w:rsid w:val="00B76EE7"/>
    <w:rsid w:val="00B772BF"/>
    <w:rsid w:val="00B77362"/>
    <w:rsid w:val="00B77584"/>
    <w:rsid w:val="00B775F7"/>
    <w:rsid w:val="00B777CE"/>
    <w:rsid w:val="00B77A08"/>
    <w:rsid w:val="00B77B68"/>
    <w:rsid w:val="00B80125"/>
    <w:rsid w:val="00B804AF"/>
    <w:rsid w:val="00B806FD"/>
    <w:rsid w:val="00B807E4"/>
    <w:rsid w:val="00B8099F"/>
    <w:rsid w:val="00B80DD5"/>
    <w:rsid w:val="00B80F92"/>
    <w:rsid w:val="00B8107B"/>
    <w:rsid w:val="00B8121B"/>
    <w:rsid w:val="00B81270"/>
    <w:rsid w:val="00B81512"/>
    <w:rsid w:val="00B81689"/>
    <w:rsid w:val="00B818D6"/>
    <w:rsid w:val="00B819FD"/>
    <w:rsid w:val="00B82159"/>
    <w:rsid w:val="00B828C2"/>
    <w:rsid w:val="00B82941"/>
    <w:rsid w:val="00B82A48"/>
    <w:rsid w:val="00B82DDD"/>
    <w:rsid w:val="00B82ED8"/>
    <w:rsid w:val="00B82F53"/>
    <w:rsid w:val="00B83223"/>
    <w:rsid w:val="00B832F8"/>
    <w:rsid w:val="00B8343A"/>
    <w:rsid w:val="00B83464"/>
    <w:rsid w:val="00B83645"/>
    <w:rsid w:val="00B837E9"/>
    <w:rsid w:val="00B8388C"/>
    <w:rsid w:val="00B83D21"/>
    <w:rsid w:val="00B840B4"/>
    <w:rsid w:val="00B84101"/>
    <w:rsid w:val="00B841C7"/>
    <w:rsid w:val="00B842AE"/>
    <w:rsid w:val="00B84CE1"/>
    <w:rsid w:val="00B84D81"/>
    <w:rsid w:val="00B84D9A"/>
    <w:rsid w:val="00B84DC2"/>
    <w:rsid w:val="00B850E8"/>
    <w:rsid w:val="00B85116"/>
    <w:rsid w:val="00B85243"/>
    <w:rsid w:val="00B8545B"/>
    <w:rsid w:val="00B854F8"/>
    <w:rsid w:val="00B856EA"/>
    <w:rsid w:val="00B858E6"/>
    <w:rsid w:val="00B8590A"/>
    <w:rsid w:val="00B86352"/>
    <w:rsid w:val="00B8661C"/>
    <w:rsid w:val="00B86675"/>
    <w:rsid w:val="00B8670C"/>
    <w:rsid w:val="00B86B16"/>
    <w:rsid w:val="00B86C65"/>
    <w:rsid w:val="00B86FCB"/>
    <w:rsid w:val="00B870DF"/>
    <w:rsid w:val="00B872CB"/>
    <w:rsid w:val="00B872CF"/>
    <w:rsid w:val="00B873A0"/>
    <w:rsid w:val="00B8763E"/>
    <w:rsid w:val="00B87A89"/>
    <w:rsid w:val="00B90698"/>
    <w:rsid w:val="00B9083B"/>
    <w:rsid w:val="00B90B29"/>
    <w:rsid w:val="00B910A5"/>
    <w:rsid w:val="00B91596"/>
    <w:rsid w:val="00B9164A"/>
    <w:rsid w:val="00B91738"/>
    <w:rsid w:val="00B91794"/>
    <w:rsid w:val="00B917FE"/>
    <w:rsid w:val="00B9183D"/>
    <w:rsid w:val="00B91C6E"/>
    <w:rsid w:val="00B91C83"/>
    <w:rsid w:val="00B91E44"/>
    <w:rsid w:val="00B91F1A"/>
    <w:rsid w:val="00B91F6F"/>
    <w:rsid w:val="00B92301"/>
    <w:rsid w:val="00B92585"/>
    <w:rsid w:val="00B92675"/>
    <w:rsid w:val="00B928D7"/>
    <w:rsid w:val="00B92B5E"/>
    <w:rsid w:val="00B92B9B"/>
    <w:rsid w:val="00B92D4B"/>
    <w:rsid w:val="00B92F22"/>
    <w:rsid w:val="00B93340"/>
    <w:rsid w:val="00B934F5"/>
    <w:rsid w:val="00B935EE"/>
    <w:rsid w:val="00B93685"/>
    <w:rsid w:val="00B937ED"/>
    <w:rsid w:val="00B9384E"/>
    <w:rsid w:val="00B93D11"/>
    <w:rsid w:val="00B9464A"/>
    <w:rsid w:val="00B94945"/>
    <w:rsid w:val="00B949D9"/>
    <w:rsid w:val="00B94DF7"/>
    <w:rsid w:val="00B950BE"/>
    <w:rsid w:val="00B95199"/>
    <w:rsid w:val="00B951E0"/>
    <w:rsid w:val="00B952FF"/>
    <w:rsid w:val="00B95500"/>
    <w:rsid w:val="00B957AD"/>
    <w:rsid w:val="00B958BA"/>
    <w:rsid w:val="00B9598F"/>
    <w:rsid w:val="00B97162"/>
    <w:rsid w:val="00B9753E"/>
    <w:rsid w:val="00B97662"/>
    <w:rsid w:val="00B979D7"/>
    <w:rsid w:val="00B97C24"/>
    <w:rsid w:val="00B97CFB"/>
    <w:rsid w:val="00B97EC4"/>
    <w:rsid w:val="00BA03D5"/>
    <w:rsid w:val="00BA060F"/>
    <w:rsid w:val="00BA07C8"/>
    <w:rsid w:val="00BA0BA9"/>
    <w:rsid w:val="00BA0DDE"/>
    <w:rsid w:val="00BA0DF2"/>
    <w:rsid w:val="00BA0F51"/>
    <w:rsid w:val="00BA0F7F"/>
    <w:rsid w:val="00BA10CC"/>
    <w:rsid w:val="00BA1265"/>
    <w:rsid w:val="00BA149B"/>
    <w:rsid w:val="00BA1551"/>
    <w:rsid w:val="00BA18AC"/>
    <w:rsid w:val="00BA1AF2"/>
    <w:rsid w:val="00BA1CBB"/>
    <w:rsid w:val="00BA20C8"/>
    <w:rsid w:val="00BA22BB"/>
    <w:rsid w:val="00BA269F"/>
    <w:rsid w:val="00BA292B"/>
    <w:rsid w:val="00BA2A36"/>
    <w:rsid w:val="00BA2C11"/>
    <w:rsid w:val="00BA2C5C"/>
    <w:rsid w:val="00BA2D5D"/>
    <w:rsid w:val="00BA2ED4"/>
    <w:rsid w:val="00BA2EF7"/>
    <w:rsid w:val="00BA2F06"/>
    <w:rsid w:val="00BA30F3"/>
    <w:rsid w:val="00BA31D7"/>
    <w:rsid w:val="00BA3241"/>
    <w:rsid w:val="00BA37BC"/>
    <w:rsid w:val="00BA3A6E"/>
    <w:rsid w:val="00BA3AB0"/>
    <w:rsid w:val="00BA3DB5"/>
    <w:rsid w:val="00BA4202"/>
    <w:rsid w:val="00BA453F"/>
    <w:rsid w:val="00BA456B"/>
    <w:rsid w:val="00BA46EF"/>
    <w:rsid w:val="00BA4997"/>
    <w:rsid w:val="00BA4ABA"/>
    <w:rsid w:val="00BA4B05"/>
    <w:rsid w:val="00BA4C83"/>
    <w:rsid w:val="00BA4F17"/>
    <w:rsid w:val="00BA4F30"/>
    <w:rsid w:val="00BA53E4"/>
    <w:rsid w:val="00BA572B"/>
    <w:rsid w:val="00BA5867"/>
    <w:rsid w:val="00BA589F"/>
    <w:rsid w:val="00BA5BC9"/>
    <w:rsid w:val="00BA5C79"/>
    <w:rsid w:val="00BA61C3"/>
    <w:rsid w:val="00BA6237"/>
    <w:rsid w:val="00BA65FD"/>
    <w:rsid w:val="00BA6FC2"/>
    <w:rsid w:val="00BA7623"/>
    <w:rsid w:val="00BA77EA"/>
    <w:rsid w:val="00BA7A8C"/>
    <w:rsid w:val="00BA7C0C"/>
    <w:rsid w:val="00BB03CE"/>
    <w:rsid w:val="00BB05E4"/>
    <w:rsid w:val="00BB0B10"/>
    <w:rsid w:val="00BB11B8"/>
    <w:rsid w:val="00BB143B"/>
    <w:rsid w:val="00BB19C6"/>
    <w:rsid w:val="00BB1B95"/>
    <w:rsid w:val="00BB1FDA"/>
    <w:rsid w:val="00BB20DF"/>
    <w:rsid w:val="00BB213E"/>
    <w:rsid w:val="00BB230F"/>
    <w:rsid w:val="00BB2832"/>
    <w:rsid w:val="00BB2CF2"/>
    <w:rsid w:val="00BB2E7F"/>
    <w:rsid w:val="00BB31E7"/>
    <w:rsid w:val="00BB336C"/>
    <w:rsid w:val="00BB33AA"/>
    <w:rsid w:val="00BB37C3"/>
    <w:rsid w:val="00BB3900"/>
    <w:rsid w:val="00BB3AB6"/>
    <w:rsid w:val="00BB3F35"/>
    <w:rsid w:val="00BB442A"/>
    <w:rsid w:val="00BB4A01"/>
    <w:rsid w:val="00BB51C1"/>
    <w:rsid w:val="00BB5381"/>
    <w:rsid w:val="00BB5391"/>
    <w:rsid w:val="00BB564C"/>
    <w:rsid w:val="00BB565D"/>
    <w:rsid w:val="00BB5CE2"/>
    <w:rsid w:val="00BB5DFB"/>
    <w:rsid w:val="00BB5F7B"/>
    <w:rsid w:val="00BB60AD"/>
    <w:rsid w:val="00BB61C5"/>
    <w:rsid w:val="00BB640D"/>
    <w:rsid w:val="00BB644A"/>
    <w:rsid w:val="00BB647A"/>
    <w:rsid w:val="00BB6A5D"/>
    <w:rsid w:val="00BB72AC"/>
    <w:rsid w:val="00BB734B"/>
    <w:rsid w:val="00BB73B8"/>
    <w:rsid w:val="00BB781B"/>
    <w:rsid w:val="00BB78B2"/>
    <w:rsid w:val="00BB7927"/>
    <w:rsid w:val="00BB7B13"/>
    <w:rsid w:val="00BB7DDF"/>
    <w:rsid w:val="00BC018B"/>
    <w:rsid w:val="00BC0332"/>
    <w:rsid w:val="00BC0365"/>
    <w:rsid w:val="00BC0707"/>
    <w:rsid w:val="00BC0CED"/>
    <w:rsid w:val="00BC0E59"/>
    <w:rsid w:val="00BC0EB0"/>
    <w:rsid w:val="00BC0FA8"/>
    <w:rsid w:val="00BC13F9"/>
    <w:rsid w:val="00BC143F"/>
    <w:rsid w:val="00BC1445"/>
    <w:rsid w:val="00BC168E"/>
    <w:rsid w:val="00BC18F0"/>
    <w:rsid w:val="00BC1C88"/>
    <w:rsid w:val="00BC2155"/>
    <w:rsid w:val="00BC22DB"/>
    <w:rsid w:val="00BC2458"/>
    <w:rsid w:val="00BC3006"/>
    <w:rsid w:val="00BC3015"/>
    <w:rsid w:val="00BC3379"/>
    <w:rsid w:val="00BC348E"/>
    <w:rsid w:val="00BC3640"/>
    <w:rsid w:val="00BC37A0"/>
    <w:rsid w:val="00BC37B3"/>
    <w:rsid w:val="00BC3D83"/>
    <w:rsid w:val="00BC3F1D"/>
    <w:rsid w:val="00BC3FEF"/>
    <w:rsid w:val="00BC496E"/>
    <w:rsid w:val="00BC4A4D"/>
    <w:rsid w:val="00BC4EA3"/>
    <w:rsid w:val="00BC4FCB"/>
    <w:rsid w:val="00BC54F2"/>
    <w:rsid w:val="00BC5541"/>
    <w:rsid w:val="00BC5D9D"/>
    <w:rsid w:val="00BC5EB3"/>
    <w:rsid w:val="00BC63DC"/>
    <w:rsid w:val="00BC6640"/>
    <w:rsid w:val="00BC66AD"/>
    <w:rsid w:val="00BC68AC"/>
    <w:rsid w:val="00BC68BA"/>
    <w:rsid w:val="00BC69CA"/>
    <w:rsid w:val="00BC6B18"/>
    <w:rsid w:val="00BC6C37"/>
    <w:rsid w:val="00BC6C53"/>
    <w:rsid w:val="00BC6D96"/>
    <w:rsid w:val="00BC72E1"/>
    <w:rsid w:val="00BC7495"/>
    <w:rsid w:val="00BC74E8"/>
    <w:rsid w:val="00BC79C9"/>
    <w:rsid w:val="00BD02F5"/>
    <w:rsid w:val="00BD040D"/>
    <w:rsid w:val="00BD04B4"/>
    <w:rsid w:val="00BD04C5"/>
    <w:rsid w:val="00BD07DA"/>
    <w:rsid w:val="00BD0E4F"/>
    <w:rsid w:val="00BD0EE5"/>
    <w:rsid w:val="00BD11C3"/>
    <w:rsid w:val="00BD13CC"/>
    <w:rsid w:val="00BD13F1"/>
    <w:rsid w:val="00BD14AF"/>
    <w:rsid w:val="00BD1510"/>
    <w:rsid w:val="00BD160A"/>
    <w:rsid w:val="00BD1856"/>
    <w:rsid w:val="00BD1B6A"/>
    <w:rsid w:val="00BD1F53"/>
    <w:rsid w:val="00BD2908"/>
    <w:rsid w:val="00BD2B3C"/>
    <w:rsid w:val="00BD2BA8"/>
    <w:rsid w:val="00BD2F7A"/>
    <w:rsid w:val="00BD3064"/>
    <w:rsid w:val="00BD30B4"/>
    <w:rsid w:val="00BD33EE"/>
    <w:rsid w:val="00BD36B2"/>
    <w:rsid w:val="00BD372B"/>
    <w:rsid w:val="00BD39E7"/>
    <w:rsid w:val="00BD3D05"/>
    <w:rsid w:val="00BD3D4F"/>
    <w:rsid w:val="00BD48BC"/>
    <w:rsid w:val="00BD4B57"/>
    <w:rsid w:val="00BD4CF7"/>
    <w:rsid w:val="00BD4DEC"/>
    <w:rsid w:val="00BD56BE"/>
    <w:rsid w:val="00BD5883"/>
    <w:rsid w:val="00BD595B"/>
    <w:rsid w:val="00BD5A68"/>
    <w:rsid w:val="00BD5AA4"/>
    <w:rsid w:val="00BD5EB2"/>
    <w:rsid w:val="00BD60C6"/>
    <w:rsid w:val="00BD6545"/>
    <w:rsid w:val="00BD65CE"/>
    <w:rsid w:val="00BD67C3"/>
    <w:rsid w:val="00BD692B"/>
    <w:rsid w:val="00BD6966"/>
    <w:rsid w:val="00BD6E2F"/>
    <w:rsid w:val="00BD6F00"/>
    <w:rsid w:val="00BD7135"/>
    <w:rsid w:val="00BD7165"/>
    <w:rsid w:val="00BD722D"/>
    <w:rsid w:val="00BD72CA"/>
    <w:rsid w:val="00BD7768"/>
    <w:rsid w:val="00BD7845"/>
    <w:rsid w:val="00BD7D5D"/>
    <w:rsid w:val="00BD7DB2"/>
    <w:rsid w:val="00BD7F62"/>
    <w:rsid w:val="00BE030F"/>
    <w:rsid w:val="00BE079D"/>
    <w:rsid w:val="00BE0D45"/>
    <w:rsid w:val="00BE0D92"/>
    <w:rsid w:val="00BE0E46"/>
    <w:rsid w:val="00BE12C7"/>
    <w:rsid w:val="00BE12CC"/>
    <w:rsid w:val="00BE142B"/>
    <w:rsid w:val="00BE1618"/>
    <w:rsid w:val="00BE195F"/>
    <w:rsid w:val="00BE1DD4"/>
    <w:rsid w:val="00BE1F72"/>
    <w:rsid w:val="00BE20F4"/>
    <w:rsid w:val="00BE21B0"/>
    <w:rsid w:val="00BE2797"/>
    <w:rsid w:val="00BE2C16"/>
    <w:rsid w:val="00BE2EBE"/>
    <w:rsid w:val="00BE3084"/>
    <w:rsid w:val="00BE33D7"/>
    <w:rsid w:val="00BE36D5"/>
    <w:rsid w:val="00BE3E81"/>
    <w:rsid w:val="00BE3EF1"/>
    <w:rsid w:val="00BE3F27"/>
    <w:rsid w:val="00BE4178"/>
    <w:rsid w:val="00BE4414"/>
    <w:rsid w:val="00BE4980"/>
    <w:rsid w:val="00BE5031"/>
    <w:rsid w:val="00BE5034"/>
    <w:rsid w:val="00BE538F"/>
    <w:rsid w:val="00BE53FF"/>
    <w:rsid w:val="00BE55DA"/>
    <w:rsid w:val="00BE59DA"/>
    <w:rsid w:val="00BE5B36"/>
    <w:rsid w:val="00BE5D60"/>
    <w:rsid w:val="00BE5FB6"/>
    <w:rsid w:val="00BE625D"/>
    <w:rsid w:val="00BE6C15"/>
    <w:rsid w:val="00BE7236"/>
    <w:rsid w:val="00BE747B"/>
    <w:rsid w:val="00BE7696"/>
    <w:rsid w:val="00BE76AC"/>
    <w:rsid w:val="00BE7A29"/>
    <w:rsid w:val="00BE7AEB"/>
    <w:rsid w:val="00BE7F7D"/>
    <w:rsid w:val="00BF06F6"/>
    <w:rsid w:val="00BF0EDC"/>
    <w:rsid w:val="00BF11C3"/>
    <w:rsid w:val="00BF1797"/>
    <w:rsid w:val="00BF1891"/>
    <w:rsid w:val="00BF1A87"/>
    <w:rsid w:val="00BF202F"/>
    <w:rsid w:val="00BF2240"/>
    <w:rsid w:val="00BF2402"/>
    <w:rsid w:val="00BF2A31"/>
    <w:rsid w:val="00BF2F0E"/>
    <w:rsid w:val="00BF305F"/>
    <w:rsid w:val="00BF346D"/>
    <w:rsid w:val="00BF373F"/>
    <w:rsid w:val="00BF3BAF"/>
    <w:rsid w:val="00BF3D52"/>
    <w:rsid w:val="00BF3DC0"/>
    <w:rsid w:val="00BF3FAF"/>
    <w:rsid w:val="00BF4153"/>
    <w:rsid w:val="00BF417D"/>
    <w:rsid w:val="00BF4778"/>
    <w:rsid w:val="00BF496D"/>
    <w:rsid w:val="00BF4C9A"/>
    <w:rsid w:val="00BF4DE5"/>
    <w:rsid w:val="00BF4F29"/>
    <w:rsid w:val="00BF4F34"/>
    <w:rsid w:val="00BF5174"/>
    <w:rsid w:val="00BF5425"/>
    <w:rsid w:val="00BF54B8"/>
    <w:rsid w:val="00BF5585"/>
    <w:rsid w:val="00BF56D2"/>
    <w:rsid w:val="00BF59B2"/>
    <w:rsid w:val="00BF5ACB"/>
    <w:rsid w:val="00BF5FB7"/>
    <w:rsid w:val="00BF60F1"/>
    <w:rsid w:val="00BF674D"/>
    <w:rsid w:val="00BF708D"/>
    <w:rsid w:val="00BF7306"/>
    <w:rsid w:val="00BF783A"/>
    <w:rsid w:val="00BF7884"/>
    <w:rsid w:val="00BF7A60"/>
    <w:rsid w:val="00C000D0"/>
    <w:rsid w:val="00C0016E"/>
    <w:rsid w:val="00C0022F"/>
    <w:rsid w:val="00C004D4"/>
    <w:rsid w:val="00C0075A"/>
    <w:rsid w:val="00C0094E"/>
    <w:rsid w:val="00C00D5A"/>
    <w:rsid w:val="00C0105A"/>
    <w:rsid w:val="00C0111D"/>
    <w:rsid w:val="00C01439"/>
    <w:rsid w:val="00C015D8"/>
    <w:rsid w:val="00C01899"/>
    <w:rsid w:val="00C01A25"/>
    <w:rsid w:val="00C01B02"/>
    <w:rsid w:val="00C01D30"/>
    <w:rsid w:val="00C02307"/>
    <w:rsid w:val="00C028A6"/>
    <w:rsid w:val="00C02985"/>
    <w:rsid w:val="00C030F1"/>
    <w:rsid w:val="00C0329E"/>
    <w:rsid w:val="00C03420"/>
    <w:rsid w:val="00C03676"/>
    <w:rsid w:val="00C03744"/>
    <w:rsid w:val="00C03A87"/>
    <w:rsid w:val="00C03C99"/>
    <w:rsid w:val="00C03E98"/>
    <w:rsid w:val="00C04224"/>
    <w:rsid w:val="00C04382"/>
    <w:rsid w:val="00C04438"/>
    <w:rsid w:val="00C0454E"/>
    <w:rsid w:val="00C0463A"/>
    <w:rsid w:val="00C04B2F"/>
    <w:rsid w:val="00C04BC6"/>
    <w:rsid w:val="00C04BF7"/>
    <w:rsid w:val="00C04C4F"/>
    <w:rsid w:val="00C04D11"/>
    <w:rsid w:val="00C04D86"/>
    <w:rsid w:val="00C04F59"/>
    <w:rsid w:val="00C04F67"/>
    <w:rsid w:val="00C0553B"/>
    <w:rsid w:val="00C056D0"/>
    <w:rsid w:val="00C05717"/>
    <w:rsid w:val="00C05745"/>
    <w:rsid w:val="00C05E9E"/>
    <w:rsid w:val="00C06466"/>
    <w:rsid w:val="00C064FB"/>
    <w:rsid w:val="00C06537"/>
    <w:rsid w:val="00C0659F"/>
    <w:rsid w:val="00C06811"/>
    <w:rsid w:val="00C068ED"/>
    <w:rsid w:val="00C06B80"/>
    <w:rsid w:val="00C06C1A"/>
    <w:rsid w:val="00C06E16"/>
    <w:rsid w:val="00C074AA"/>
    <w:rsid w:val="00C07549"/>
    <w:rsid w:val="00C0758E"/>
    <w:rsid w:val="00C078A3"/>
    <w:rsid w:val="00C07AC8"/>
    <w:rsid w:val="00C1005A"/>
    <w:rsid w:val="00C102DD"/>
    <w:rsid w:val="00C1030C"/>
    <w:rsid w:val="00C10463"/>
    <w:rsid w:val="00C10496"/>
    <w:rsid w:val="00C10B54"/>
    <w:rsid w:val="00C10D08"/>
    <w:rsid w:val="00C10E45"/>
    <w:rsid w:val="00C10E46"/>
    <w:rsid w:val="00C10EF8"/>
    <w:rsid w:val="00C11152"/>
    <w:rsid w:val="00C1119D"/>
    <w:rsid w:val="00C11600"/>
    <w:rsid w:val="00C1175F"/>
    <w:rsid w:val="00C11828"/>
    <w:rsid w:val="00C11985"/>
    <w:rsid w:val="00C11C38"/>
    <w:rsid w:val="00C11E71"/>
    <w:rsid w:val="00C12005"/>
    <w:rsid w:val="00C121CC"/>
    <w:rsid w:val="00C12244"/>
    <w:rsid w:val="00C1225E"/>
    <w:rsid w:val="00C12420"/>
    <w:rsid w:val="00C1249C"/>
    <w:rsid w:val="00C125D5"/>
    <w:rsid w:val="00C12629"/>
    <w:rsid w:val="00C12ADC"/>
    <w:rsid w:val="00C12C3E"/>
    <w:rsid w:val="00C12C7D"/>
    <w:rsid w:val="00C12D52"/>
    <w:rsid w:val="00C1308B"/>
    <w:rsid w:val="00C13383"/>
    <w:rsid w:val="00C134D9"/>
    <w:rsid w:val="00C1362E"/>
    <w:rsid w:val="00C1370C"/>
    <w:rsid w:val="00C13958"/>
    <w:rsid w:val="00C1396B"/>
    <w:rsid w:val="00C13AAA"/>
    <w:rsid w:val="00C13DF6"/>
    <w:rsid w:val="00C13FD7"/>
    <w:rsid w:val="00C1401C"/>
    <w:rsid w:val="00C144AF"/>
    <w:rsid w:val="00C14729"/>
    <w:rsid w:val="00C1490E"/>
    <w:rsid w:val="00C14B42"/>
    <w:rsid w:val="00C14E93"/>
    <w:rsid w:val="00C14EA7"/>
    <w:rsid w:val="00C15679"/>
    <w:rsid w:val="00C15687"/>
    <w:rsid w:val="00C15788"/>
    <w:rsid w:val="00C15866"/>
    <w:rsid w:val="00C15ABD"/>
    <w:rsid w:val="00C15D3A"/>
    <w:rsid w:val="00C165CB"/>
    <w:rsid w:val="00C16AF3"/>
    <w:rsid w:val="00C16C5F"/>
    <w:rsid w:val="00C17468"/>
    <w:rsid w:val="00C17611"/>
    <w:rsid w:val="00C177FD"/>
    <w:rsid w:val="00C1784B"/>
    <w:rsid w:val="00C17E04"/>
    <w:rsid w:val="00C17F0C"/>
    <w:rsid w:val="00C2004D"/>
    <w:rsid w:val="00C202C8"/>
    <w:rsid w:val="00C205B9"/>
    <w:rsid w:val="00C207F9"/>
    <w:rsid w:val="00C20953"/>
    <w:rsid w:val="00C20B7D"/>
    <w:rsid w:val="00C20C1E"/>
    <w:rsid w:val="00C210AC"/>
    <w:rsid w:val="00C21143"/>
    <w:rsid w:val="00C2130F"/>
    <w:rsid w:val="00C2156F"/>
    <w:rsid w:val="00C21671"/>
    <w:rsid w:val="00C218DD"/>
    <w:rsid w:val="00C21DCE"/>
    <w:rsid w:val="00C21F0C"/>
    <w:rsid w:val="00C221F8"/>
    <w:rsid w:val="00C221FD"/>
    <w:rsid w:val="00C2299E"/>
    <w:rsid w:val="00C22A62"/>
    <w:rsid w:val="00C22EEE"/>
    <w:rsid w:val="00C2322A"/>
    <w:rsid w:val="00C232F2"/>
    <w:rsid w:val="00C23618"/>
    <w:rsid w:val="00C23640"/>
    <w:rsid w:val="00C23AFB"/>
    <w:rsid w:val="00C23BCC"/>
    <w:rsid w:val="00C23C44"/>
    <w:rsid w:val="00C23CF1"/>
    <w:rsid w:val="00C23DA6"/>
    <w:rsid w:val="00C24164"/>
    <w:rsid w:val="00C243A4"/>
    <w:rsid w:val="00C24725"/>
    <w:rsid w:val="00C24866"/>
    <w:rsid w:val="00C248F7"/>
    <w:rsid w:val="00C24D91"/>
    <w:rsid w:val="00C24DB8"/>
    <w:rsid w:val="00C24ED5"/>
    <w:rsid w:val="00C24F27"/>
    <w:rsid w:val="00C2504B"/>
    <w:rsid w:val="00C252DD"/>
    <w:rsid w:val="00C25611"/>
    <w:rsid w:val="00C25A8F"/>
    <w:rsid w:val="00C25B6D"/>
    <w:rsid w:val="00C25B6F"/>
    <w:rsid w:val="00C25BEA"/>
    <w:rsid w:val="00C262CA"/>
    <w:rsid w:val="00C266C6"/>
    <w:rsid w:val="00C26BCD"/>
    <w:rsid w:val="00C26C42"/>
    <w:rsid w:val="00C26C47"/>
    <w:rsid w:val="00C2706B"/>
    <w:rsid w:val="00C2733A"/>
    <w:rsid w:val="00C300B7"/>
    <w:rsid w:val="00C30470"/>
    <w:rsid w:val="00C30930"/>
    <w:rsid w:val="00C30F1B"/>
    <w:rsid w:val="00C3141F"/>
    <w:rsid w:val="00C31ABC"/>
    <w:rsid w:val="00C31D1A"/>
    <w:rsid w:val="00C31D5D"/>
    <w:rsid w:val="00C31EE9"/>
    <w:rsid w:val="00C31FC8"/>
    <w:rsid w:val="00C3227B"/>
    <w:rsid w:val="00C327A0"/>
    <w:rsid w:val="00C32931"/>
    <w:rsid w:val="00C32981"/>
    <w:rsid w:val="00C32C60"/>
    <w:rsid w:val="00C32CEC"/>
    <w:rsid w:val="00C32E62"/>
    <w:rsid w:val="00C32FDB"/>
    <w:rsid w:val="00C3356C"/>
    <w:rsid w:val="00C33592"/>
    <w:rsid w:val="00C335CD"/>
    <w:rsid w:val="00C33765"/>
    <w:rsid w:val="00C3376A"/>
    <w:rsid w:val="00C33848"/>
    <w:rsid w:val="00C33C99"/>
    <w:rsid w:val="00C33D2C"/>
    <w:rsid w:val="00C33D7B"/>
    <w:rsid w:val="00C33FA9"/>
    <w:rsid w:val="00C3402D"/>
    <w:rsid w:val="00C34200"/>
    <w:rsid w:val="00C3480B"/>
    <w:rsid w:val="00C34962"/>
    <w:rsid w:val="00C34DD9"/>
    <w:rsid w:val="00C35116"/>
    <w:rsid w:val="00C35178"/>
    <w:rsid w:val="00C3532B"/>
    <w:rsid w:val="00C35395"/>
    <w:rsid w:val="00C355A9"/>
    <w:rsid w:val="00C3573F"/>
    <w:rsid w:val="00C35E71"/>
    <w:rsid w:val="00C35E84"/>
    <w:rsid w:val="00C35F45"/>
    <w:rsid w:val="00C35F5C"/>
    <w:rsid w:val="00C36465"/>
    <w:rsid w:val="00C36677"/>
    <w:rsid w:val="00C36697"/>
    <w:rsid w:val="00C3693E"/>
    <w:rsid w:val="00C36A6B"/>
    <w:rsid w:val="00C374FD"/>
    <w:rsid w:val="00C37A15"/>
    <w:rsid w:val="00C37CDF"/>
    <w:rsid w:val="00C37CE0"/>
    <w:rsid w:val="00C37E1B"/>
    <w:rsid w:val="00C404B8"/>
    <w:rsid w:val="00C40758"/>
    <w:rsid w:val="00C408B4"/>
    <w:rsid w:val="00C40926"/>
    <w:rsid w:val="00C40A3B"/>
    <w:rsid w:val="00C40BE8"/>
    <w:rsid w:val="00C40E93"/>
    <w:rsid w:val="00C4113D"/>
    <w:rsid w:val="00C4165A"/>
    <w:rsid w:val="00C41675"/>
    <w:rsid w:val="00C41808"/>
    <w:rsid w:val="00C41B9B"/>
    <w:rsid w:val="00C41CF9"/>
    <w:rsid w:val="00C4230E"/>
    <w:rsid w:val="00C42910"/>
    <w:rsid w:val="00C42A32"/>
    <w:rsid w:val="00C42C3F"/>
    <w:rsid w:val="00C42F3B"/>
    <w:rsid w:val="00C42FA5"/>
    <w:rsid w:val="00C43218"/>
    <w:rsid w:val="00C432A2"/>
    <w:rsid w:val="00C4330C"/>
    <w:rsid w:val="00C4339E"/>
    <w:rsid w:val="00C434C5"/>
    <w:rsid w:val="00C4381A"/>
    <w:rsid w:val="00C43A61"/>
    <w:rsid w:val="00C44233"/>
    <w:rsid w:val="00C44268"/>
    <w:rsid w:val="00C448EE"/>
    <w:rsid w:val="00C44C70"/>
    <w:rsid w:val="00C44E2F"/>
    <w:rsid w:val="00C44E77"/>
    <w:rsid w:val="00C44FC4"/>
    <w:rsid w:val="00C453AE"/>
    <w:rsid w:val="00C457C7"/>
    <w:rsid w:val="00C45CF7"/>
    <w:rsid w:val="00C45E53"/>
    <w:rsid w:val="00C46174"/>
    <w:rsid w:val="00C461A8"/>
    <w:rsid w:val="00C462C4"/>
    <w:rsid w:val="00C467A7"/>
    <w:rsid w:val="00C4694C"/>
    <w:rsid w:val="00C46A97"/>
    <w:rsid w:val="00C46DFA"/>
    <w:rsid w:val="00C46F84"/>
    <w:rsid w:val="00C47341"/>
    <w:rsid w:val="00C473E7"/>
    <w:rsid w:val="00C47A3C"/>
    <w:rsid w:val="00C47A96"/>
    <w:rsid w:val="00C47BFF"/>
    <w:rsid w:val="00C50523"/>
    <w:rsid w:val="00C50532"/>
    <w:rsid w:val="00C50B2B"/>
    <w:rsid w:val="00C50B2D"/>
    <w:rsid w:val="00C50CE3"/>
    <w:rsid w:val="00C50F97"/>
    <w:rsid w:val="00C5109A"/>
    <w:rsid w:val="00C513B5"/>
    <w:rsid w:val="00C514A9"/>
    <w:rsid w:val="00C51500"/>
    <w:rsid w:val="00C52129"/>
    <w:rsid w:val="00C52449"/>
    <w:rsid w:val="00C52603"/>
    <w:rsid w:val="00C52756"/>
    <w:rsid w:val="00C527D7"/>
    <w:rsid w:val="00C528FA"/>
    <w:rsid w:val="00C52B06"/>
    <w:rsid w:val="00C52D16"/>
    <w:rsid w:val="00C52E0C"/>
    <w:rsid w:val="00C52E65"/>
    <w:rsid w:val="00C53098"/>
    <w:rsid w:val="00C530D3"/>
    <w:rsid w:val="00C5371E"/>
    <w:rsid w:val="00C53771"/>
    <w:rsid w:val="00C53843"/>
    <w:rsid w:val="00C539D7"/>
    <w:rsid w:val="00C53C62"/>
    <w:rsid w:val="00C53E1C"/>
    <w:rsid w:val="00C5457E"/>
    <w:rsid w:val="00C5481D"/>
    <w:rsid w:val="00C54A2B"/>
    <w:rsid w:val="00C54B41"/>
    <w:rsid w:val="00C54B52"/>
    <w:rsid w:val="00C54EE2"/>
    <w:rsid w:val="00C54FF9"/>
    <w:rsid w:val="00C556BD"/>
    <w:rsid w:val="00C558A9"/>
    <w:rsid w:val="00C5590B"/>
    <w:rsid w:val="00C55B69"/>
    <w:rsid w:val="00C563B1"/>
    <w:rsid w:val="00C565FD"/>
    <w:rsid w:val="00C56B89"/>
    <w:rsid w:val="00C56E56"/>
    <w:rsid w:val="00C56EF4"/>
    <w:rsid w:val="00C572F8"/>
    <w:rsid w:val="00C573D6"/>
    <w:rsid w:val="00C57517"/>
    <w:rsid w:val="00C604D7"/>
    <w:rsid w:val="00C606C1"/>
    <w:rsid w:val="00C6079C"/>
    <w:rsid w:val="00C60AE1"/>
    <w:rsid w:val="00C60AE4"/>
    <w:rsid w:val="00C6154D"/>
    <w:rsid w:val="00C617ED"/>
    <w:rsid w:val="00C61902"/>
    <w:rsid w:val="00C61D3C"/>
    <w:rsid w:val="00C61DAE"/>
    <w:rsid w:val="00C623D4"/>
    <w:rsid w:val="00C628B9"/>
    <w:rsid w:val="00C62920"/>
    <w:rsid w:val="00C62B0C"/>
    <w:rsid w:val="00C62BB0"/>
    <w:rsid w:val="00C6330F"/>
    <w:rsid w:val="00C6346A"/>
    <w:rsid w:val="00C63644"/>
    <w:rsid w:val="00C63E37"/>
    <w:rsid w:val="00C63ED7"/>
    <w:rsid w:val="00C6429F"/>
    <w:rsid w:val="00C642F8"/>
    <w:rsid w:val="00C6435F"/>
    <w:rsid w:val="00C64644"/>
    <w:rsid w:val="00C64889"/>
    <w:rsid w:val="00C64A3A"/>
    <w:rsid w:val="00C6503A"/>
    <w:rsid w:val="00C65948"/>
    <w:rsid w:val="00C6597B"/>
    <w:rsid w:val="00C659BE"/>
    <w:rsid w:val="00C65D0D"/>
    <w:rsid w:val="00C65D53"/>
    <w:rsid w:val="00C65DBF"/>
    <w:rsid w:val="00C65EC5"/>
    <w:rsid w:val="00C65F70"/>
    <w:rsid w:val="00C65FFB"/>
    <w:rsid w:val="00C66588"/>
    <w:rsid w:val="00C667D3"/>
    <w:rsid w:val="00C66D35"/>
    <w:rsid w:val="00C66E90"/>
    <w:rsid w:val="00C66EA7"/>
    <w:rsid w:val="00C67118"/>
    <w:rsid w:val="00C671E2"/>
    <w:rsid w:val="00C676DB"/>
    <w:rsid w:val="00C67720"/>
    <w:rsid w:val="00C677B4"/>
    <w:rsid w:val="00C70098"/>
    <w:rsid w:val="00C7034D"/>
    <w:rsid w:val="00C708BE"/>
    <w:rsid w:val="00C709F4"/>
    <w:rsid w:val="00C70A00"/>
    <w:rsid w:val="00C70D6E"/>
    <w:rsid w:val="00C710B7"/>
    <w:rsid w:val="00C7126C"/>
    <w:rsid w:val="00C7171B"/>
    <w:rsid w:val="00C7183F"/>
    <w:rsid w:val="00C71939"/>
    <w:rsid w:val="00C71B87"/>
    <w:rsid w:val="00C71BD0"/>
    <w:rsid w:val="00C71DC7"/>
    <w:rsid w:val="00C71FC1"/>
    <w:rsid w:val="00C7223A"/>
    <w:rsid w:val="00C72388"/>
    <w:rsid w:val="00C72F40"/>
    <w:rsid w:val="00C731D6"/>
    <w:rsid w:val="00C732E1"/>
    <w:rsid w:val="00C7379C"/>
    <w:rsid w:val="00C737BB"/>
    <w:rsid w:val="00C73C1B"/>
    <w:rsid w:val="00C73ED2"/>
    <w:rsid w:val="00C73F65"/>
    <w:rsid w:val="00C74205"/>
    <w:rsid w:val="00C74588"/>
    <w:rsid w:val="00C7470F"/>
    <w:rsid w:val="00C7473C"/>
    <w:rsid w:val="00C7487F"/>
    <w:rsid w:val="00C74B69"/>
    <w:rsid w:val="00C74C6A"/>
    <w:rsid w:val="00C750A7"/>
    <w:rsid w:val="00C750E7"/>
    <w:rsid w:val="00C7511A"/>
    <w:rsid w:val="00C753C9"/>
    <w:rsid w:val="00C755C3"/>
    <w:rsid w:val="00C758BB"/>
    <w:rsid w:val="00C759B4"/>
    <w:rsid w:val="00C7663B"/>
    <w:rsid w:val="00C767F5"/>
    <w:rsid w:val="00C768A8"/>
    <w:rsid w:val="00C76C2E"/>
    <w:rsid w:val="00C76E3D"/>
    <w:rsid w:val="00C7780E"/>
    <w:rsid w:val="00C77D9B"/>
    <w:rsid w:val="00C77E7E"/>
    <w:rsid w:val="00C80001"/>
    <w:rsid w:val="00C80877"/>
    <w:rsid w:val="00C809ED"/>
    <w:rsid w:val="00C80BB2"/>
    <w:rsid w:val="00C80D69"/>
    <w:rsid w:val="00C811F7"/>
    <w:rsid w:val="00C81637"/>
    <w:rsid w:val="00C81696"/>
    <w:rsid w:val="00C81CF0"/>
    <w:rsid w:val="00C81F01"/>
    <w:rsid w:val="00C8292C"/>
    <w:rsid w:val="00C82942"/>
    <w:rsid w:val="00C82A04"/>
    <w:rsid w:val="00C82D08"/>
    <w:rsid w:val="00C82E40"/>
    <w:rsid w:val="00C83386"/>
    <w:rsid w:val="00C8342A"/>
    <w:rsid w:val="00C83DAE"/>
    <w:rsid w:val="00C83FAA"/>
    <w:rsid w:val="00C8442A"/>
    <w:rsid w:val="00C848E0"/>
    <w:rsid w:val="00C84C0D"/>
    <w:rsid w:val="00C84C5F"/>
    <w:rsid w:val="00C85135"/>
    <w:rsid w:val="00C8518B"/>
    <w:rsid w:val="00C852A0"/>
    <w:rsid w:val="00C85491"/>
    <w:rsid w:val="00C85838"/>
    <w:rsid w:val="00C8588A"/>
    <w:rsid w:val="00C85B55"/>
    <w:rsid w:val="00C85BA1"/>
    <w:rsid w:val="00C85ECA"/>
    <w:rsid w:val="00C860BB"/>
    <w:rsid w:val="00C86206"/>
    <w:rsid w:val="00C8668F"/>
    <w:rsid w:val="00C86726"/>
    <w:rsid w:val="00C86CA6"/>
    <w:rsid w:val="00C86D8D"/>
    <w:rsid w:val="00C86FBE"/>
    <w:rsid w:val="00C8745D"/>
    <w:rsid w:val="00C87492"/>
    <w:rsid w:val="00C87C17"/>
    <w:rsid w:val="00C903E3"/>
    <w:rsid w:val="00C9044E"/>
    <w:rsid w:val="00C905B4"/>
    <w:rsid w:val="00C905DD"/>
    <w:rsid w:val="00C907BF"/>
    <w:rsid w:val="00C90AA8"/>
    <w:rsid w:val="00C90AEC"/>
    <w:rsid w:val="00C90BFF"/>
    <w:rsid w:val="00C90C01"/>
    <w:rsid w:val="00C90C26"/>
    <w:rsid w:val="00C91028"/>
    <w:rsid w:val="00C9133D"/>
    <w:rsid w:val="00C914BF"/>
    <w:rsid w:val="00C918FC"/>
    <w:rsid w:val="00C91AF9"/>
    <w:rsid w:val="00C91D42"/>
    <w:rsid w:val="00C91ECB"/>
    <w:rsid w:val="00C91F37"/>
    <w:rsid w:val="00C921EE"/>
    <w:rsid w:val="00C923F2"/>
    <w:rsid w:val="00C9240D"/>
    <w:rsid w:val="00C925FB"/>
    <w:rsid w:val="00C92638"/>
    <w:rsid w:val="00C928FB"/>
    <w:rsid w:val="00C92B02"/>
    <w:rsid w:val="00C9330B"/>
    <w:rsid w:val="00C935D0"/>
    <w:rsid w:val="00C936A6"/>
    <w:rsid w:val="00C9378C"/>
    <w:rsid w:val="00C93932"/>
    <w:rsid w:val="00C9396D"/>
    <w:rsid w:val="00C93D1C"/>
    <w:rsid w:val="00C93D48"/>
    <w:rsid w:val="00C93D5F"/>
    <w:rsid w:val="00C9450F"/>
    <w:rsid w:val="00C94BC7"/>
    <w:rsid w:val="00C94E62"/>
    <w:rsid w:val="00C94F74"/>
    <w:rsid w:val="00C95225"/>
    <w:rsid w:val="00C952D9"/>
    <w:rsid w:val="00C95333"/>
    <w:rsid w:val="00C953B9"/>
    <w:rsid w:val="00C9544D"/>
    <w:rsid w:val="00C955A4"/>
    <w:rsid w:val="00C9560C"/>
    <w:rsid w:val="00C95659"/>
    <w:rsid w:val="00C956E3"/>
    <w:rsid w:val="00C958B4"/>
    <w:rsid w:val="00C95E45"/>
    <w:rsid w:val="00C9609E"/>
    <w:rsid w:val="00C960EC"/>
    <w:rsid w:val="00C9611C"/>
    <w:rsid w:val="00C961C6"/>
    <w:rsid w:val="00C964F4"/>
    <w:rsid w:val="00C96729"/>
    <w:rsid w:val="00C96747"/>
    <w:rsid w:val="00C96941"/>
    <w:rsid w:val="00C96EAF"/>
    <w:rsid w:val="00C96F44"/>
    <w:rsid w:val="00C978AF"/>
    <w:rsid w:val="00C97CC0"/>
    <w:rsid w:val="00C97E10"/>
    <w:rsid w:val="00CA02AF"/>
    <w:rsid w:val="00CA05DA"/>
    <w:rsid w:val="00CA0636"/>
    <w:rsid w:val="00CA0BBC"/>
    <w:rsid w:val="00CA0DEE"/>
    <w:rsid w:val="00CA14AB"/>
    <w:rsid w:val="00CA17E0"/>
    <w:rsid w:val="00CA17F0"/>
    <w:rsid w:val="00CA1AE4"/>
    <w:rsid w:val="00CA1B81"/>
    <w:rsid w:val="00CA1DE8"/>
    <w:rsid w:val="00CA1E49"/>
    <w:rsid w:val="00CA26F1"/>
    <w:rsid w:val="00CA2CE4"/>
    <w:rsid w:val="00CA3216"/>
    <w:rsid w:val="00CA32DE"/>
    <w:rsid w:val="00CA333E"/>
    <w:rsid w:val="00CA3466"/>
    <w:rsid w:val="00CA3486"/>
    <w:rsid w:val="00CA36E5"/>
    <w:rsid w:val="00CA3B95"/>
    <w:rsid w:val="00CA3BE7"/>
    <w:rsid w:val="00CA3D6D"/>
    <w:rsid w:val="00CA41C7"/>
    <w:rsid w:val="00CA48EE"/>
    <w:rsid w:val="00CA4B55"/>
    <w:rsid w:val="00CA4B85"/>
    <w:rsid w:val="00CA505A"/>
    <w:rsid w:val="00CA521F"/>
    <w:rsid w:val="00CA57D2"/>
    <w:rsid w:val="00CA592A"/>
    <w:rsid w:val="00CA5A3D"/>
    <w:rsid w:val="00CA5C65"/>
    <w:rsid w:val="00CA5D0A"/>
    <w:rsid w:val="00CA6083"/>
    <w:rsid w:val="00CA6349"/>
    <w:rsid w:val="00CA64FC"/>
    <w:rsid w:val="00CA68F9"/>
    <w:rsid w:val="00CA6A6E"/>
    <w:rsid w:val="00CA6A96"/>
    <w:rsid w:val="00CA6DE1"/>
    <w:rsid w:val="00CA6E11"/>
    <w:rsid w:val="00CA6FE4"/>
    <w:rsid w:val="00CA7388"/>
    <w:rsid w:val="00CA74BE"/>
    <w:rsid w:val="00CA74D9"/>
    <w:rsid w:val="00CA753A"/>
    <w:rsid w:val="00CA7584"/>
    <w:rsid w:val="00CA7D4D"/>
    <w:rsid w:val="00CB00A0"/>
    <w:rsid w:val="00CB0393"/>
    <w:rsid w:val="00CB089C"/>
    <w:rsid w:val="00CB09AA"/>
    <w:rsid w:val="00CB0AA8"/>
    <w:rsid w:val="00CB0CC5"/>
    <w:rsid w:val="00CB0CF3"/>
    <w:rsid w:val="00CB0D4C"/>
    <w:rsid w:val="00CB0F03"/>
    <w:rsid w:val="00CB14FA"/>
    <w:rsid w:val="00CB1549"/>
    <w:rsid w:val="00CB1822"/>
    <w:rsid w:val="00CB1C27"/>
    <w:rsid w:val="00CB1DE0"/>
    <w:rsid w:val="00CB20F9"/>
    <w:rsid w:val="00CB22FF"/>
    <w:rsid w:val="00CB2594"/>
    <w:rsid w:val="00CB2C15"/>
    <w:rsid w:val="00CB2F07"/>
    <w:rsid w:val="00CB31FC"/>
    <w:rsid w:val="00CB339C"/>
    <w:rsid w:val="00CB3968"/>
    <w:rsid w:val="00CB3CCD"/>
    <w:rsid w:val="00CB3F03"/>
    <w:rsid w:val="00CB474E"/>
    <w:rsid w:val="00CB4855"/>
    <w:rsid w:val="00CB4B8F"/>
    <w:rsid w:val="00CB4C73"/>
    <w:rsid w:val="00CB51E2"/>
    <w:rsid w:val="00CB5221"/>
    <w:rsid w:val="00CB53A6"/>
    <w:rsid w:val="00CB557B"/>
    <w:rsid w:val="00CB56DF"/>
    <w:rsid w:val="00CB57B8"/>
    <w:rsid w:val="00CB5937"/>
    <w:rsid w:val="00CB5AC2"/>
    <w:rsid w:val="00CB5B6D"/>
    <w:rsid w:val="00CB668F"/>
    <w:rsid w:val="00CB66F7"/>
    <w:rsid w:val="00CB6859"/>
    <w:rsid w:val="00CB6BBA"/>
    <w:rsid w:val="00CB6F06"/>
    <w:rsid w:val="00CB763B"/>
    <w:rsid w:val="00CB7716"/>
    <w:rsid w:val="00CB7B38"/>
    <w:rsid w:val="00CB7B48"/>
    <w:rsid w:val="00CB7CA5"/>
    <w:rsid w:val="00CC003F"/>
    <w:rsid w:val="00CC00C1"/>
    <w:rsid w:val="00CC02F3"/>
    <w:rsid w:val="00CC06D8"/>
    <w:rsid w:val="00CC077C"/>
    <w:rsid w:val="00CC098C"/>
    <w:rsid w:val="00CC0BFD"/>
    <w:rsid w:val="00CC0C1F"/>
    <w:rsid w:val="00CC0E71"/>
    <w:rsid w:val="00CC0E77"/>
    <w:rsid w:val="00CC123E"/>
    <w:rsid w:val="00CC171D"/>
    <w:rsid w:val="00CC178D"/>
    <w:rsid w:val="00CC1891"/>
    <w:rsid w:val="00CC19B9"/>
    <w:rsid w:val="00CC1A8B"/>
    <w:rsid w:val="00CC1E84"/>
    <w:rsid w:val="00CC2105"/>
    <w:rsid w:val="00CC21A7"/>
    <w:rsid w:val="00CC21AB"/>
    <w:rsid w:val="00CC2397"/>
    <w:rsid w:val="00CC2737"/>
    <w:rsid w:val="00CC2A9F"/>
    <w:rsid w:val="00CC2DC4"/>
    <w:rsid w:val="00CC2EE5"/>
    <w:rsid w:val="00CC2FEA"/>
    <w:rsid w:val="00CC32E2"/>
    <w:rsid w:val="00CC35D7"/>
    <w:rsid w:val="00CC39F6"/>
    <w:rsid w:val="00CC3B77"/>
    <w:rsid w:val="00CC3EAB"/>
    <w:rsid w:val="00CC3FC3"/>
    <w:rsid w:val="00CC4237"/>
    <w:rsid w:val="00CC45BA"/>
    <w:rsid w:val="00CC4B8E"/>
    <w:rsid w:val="00CC4BEC"/>
    <w:rsid w:val="00CC4C2B"/>
    <w:rsid w:val="00CC4DC6"/>
    <w:rsid w:val="00CC4DCF"/>
    <w:rsid w:val="00CC52BE"/>
    <w:rsid w:val="00CC5863"/>
    <w:rsid w:val="00CC59C1"/>
    <w:rsid w:val="00CC5A10"/>
    <w:rsid w:val="00CC5D0A"/>
    <w:rsid w:val="00CC5EB6"/>
    <w:rsid w:val="00CC605D"/>
    <w:rsid w:val="00CC66F7"/>
    <w:rsid w:val="00CC67F7"/>
    <w:rsid w:val="00CC68F2"/>
    <w:rsid w:val="00CC6B0D"/>
    <w:rsid w:val="00CC6B4E"/>
    <w:rsid w:val="00CC71B1"/>
    <w:rsid w:val="00CC786B"/>
    <w:rsid w:val="00CC78AC"/>
    <w:rsid w:val="00CC7CEE"/>
    <w:rsid w:val="00CC7FDD"/>
    <w:rsid w:val="00CD00A1"/>
    <w:rsid w:val="00CD05EE"/>
    <w:rsid w:val="00CD08B4"/>
    <w:rsid w:val="00CD0964"/>
    <w:rsid w:val="00CD0B10"/>
    <w:rsid w:val="00CD0BF6"/>
    <w:rsid w:val="00CD0C56"/>
    <w:rsid w:val="00CD0F34"/>
    <w:rsid w:val="00CD1B23"/>
    <w:rsid w:val="00CD1B79"/>
    <w:rsid w:val="00CD21F9"/>
    <w:rsid w:val="00CD23D0"/>
    <w:rsid w:val="00CD244E"/>
    <w:rsid w:val="00CD25E2"/>
    <w:rsid w:val="00CD26C3"/>
    <w:rsid w:val="00CD2838"/>
    <w:rsid w:val="00CD2AC1"/>
    <w:rsid w:val="00CD347E"/>
    <w:rsid w:val="00CD3480"/>
    <w:rsid w:val="00CD34A0"/>
    <w:rsid w:val="00CD3556"/>
    <w:rsid w:val="00CD3597"/>
    <w:rsid w:val="00CD39F2"/>
    <w:rsid w:val="00CD3A5A"/>
    <w:rsid w:val="00CD3C71"/>
    <w:rsid w:val="00CD3FBF"/>
    <w:rsid w:val="00CD4385"/>
    <w:rsid w:val="00CD4527"/>
    <w:rsid w:val="00CD4801"/>
    <w:rsid w:val="00CD4B7A"/>
    <w:rsid w:val="00CD4BE2"/>
    <w:rsid w:val="00CD4DCD"/>
    <w:rsid w:val="00CD4F5D"/>
    <w:rsid w:val="00CD50A0"/>
    <w:rsid w:val="00CD543C"/>
    <w:rsid w:val="00CD556E"/>
    <w:rsid w:val="00CD59AD"/>
    <w:rsid w:val="00CD5A26"/>
    <w:rsid w:val="00CD5E06"/>
    <w:rsid w:val="00CD61D4"/>
    <w:rsid w:val="00CD6264"/>
    <w:rsid w:val="00CD63F1"/>
    <w:rsid w:val="00CD67E1"/>
    <w:rsid w:val="00CD67FC"/>
    <w:rsid w:val="00CD68D7"/>
    <w:rsid w:val="00CD6CDC"/>
    <w:rsid w:val="00CD6D97"/>
    <w:rsid w:val="00CD6F32"/>
    <w:rsid w:val="00CD6FC5"/>
    <w:rsid w:val="00CD7283"/>
    <w:rsid w:val="00CD7534"/>
    <w:rsid w:val="00CD7926"/>
    <w:rsid w:val="00CD7A10"/>
    <w:rsid w:val="00CD7E50"/>
    <w:rsid w:val="00CD7F8F"/>
    <w:rsid w:val="00CE0423"/>
    <w:rsid w:val="00CE0A23"/>
    <w:rsid w:val="00CE0A9A"/>
    <w:rsid w:val="00CE0C5F"/>
    <w:rsid w:val="00CE0C8B"/>
    <w:rsid w:val="00CE0F50"/>
    <w:rsid w:val="00CE1009"/>
    <w:rsid w:val="00CE13C7"/>
    <w:rsid w:val="00CE1499"/>
    <w:rsid w:val="00CE180D"/>
    <w:rsid w:val="00CE1916"/>
    <w:rsid w:val="00CE1A42"/>
    <w:rsid w:val="00CE1A8D"/>
    <w:rsid w:val="00CE1C07"/>
    <w:rsid w:val="00CE1E93"/>
    <w:rsid w:val="00CE2020"/>
    <w:rsid w:val="00CE258E"/>
    <w:rsid w:val="00CE2794"/>
    <w:rsid w:val="00CE2798"/>
    <w:rsid w:val="00CE27A4"/>
    <w:rsid w:val="00CE27D6"/>
    <w:rsid w:val="00CE27F1"/>
    <w:rsid w:val="00CE2901"/>
    <w:rsid w:val="00CE2A29"/>
    <w:rsid w:val="00CE2E96"/>
    <w:rsid w:val="00CE2F53"/>
    <w:rsid w:val="00CE3178"/>
    <w:rsid w:val="00CE37E0"/>
    <w:rsid w:val="00CE3866"/>
    <w:rsid w:val="00CE39B3"/>
    <w:rsid w:val="00CE41BF"/>
    <w:rsid w:val="00CE4DB0"/>
    <w:rsid w:val="00CE51FE"/>
    <w:rsid w:val="00CE5CA4"/>
    <w:rsid w:val="00CE6091"/>
    <w:rsid w:val="00CE64A7"/>
    <w:rsid w:val="00CE651E"/>
    <w:rsid w:val="00CE65D5"/>
    <w:rsid w:val="00CE67B3"/>
    <w:rsid w:val="00CE67C4"/>
    <w:rsid w:val="00CE699F"/>
    <w:rsid w:val="00CE7031"/>
    <w:rsid w:val="00CE761D"/>
    <w:rsid w:val="00CE778A"/>
    <w:rsid w:val="00CE779A"/>
    <w:rsid w:val="00CE7A63"/>
    <w:rsid w:val="00CE7F55"/>
    <w:rsid w:val="00CE7FAB"/>
    <w:rsid w:val="00CF006A"/>
    <w:rsid w:val="00CF04DC"/>
    <w:rsid w:val="00CF0F77"/>
    <w:rsid w:val="00CF10A5"/>
    <w:rsid w:val="00CF10D9"/>
    <w:rsid w:val="00CF1218"/>
    <w:rsid w:val="00CF12C4"/>
    <w:rsid w:val="00CF132E"/>
    <w:rsid w:val="00CF13C2"/>
    <w:rsid w:val="00CF15C6"/>
    <w:rsid w:val="00CF1744"/>
    <w:rsid w:val="00CF18B0"/>
    <w:rsid w:val="00CF18CE"/>
    <w:rsid w:val="00CF1B7E"/>
    <w:rsid w:val="00CF1CB0"/>
    <w:rsid w:val="00CF1E31"/>
    <w:rsid w:val="00CF1F0D"/>
    <w:rsid w:val="00CF25B6"/>
    <w:rsid w:val="00CF27F7"/>
    <w:rsid w:val="00CF2BD3"/>
    <w:rsid w:val="00CF2F3E"/>
    <w:rsid w:val="00CF304E"/>
    <w:rsid w:val="00CF3139"/>
    <w:rsid w:val="00CF3174"/>
    <w:rsid w:val="00CF31A4"/>
    <w:rsid w:val="00CF32C0"/>
    <w:rsid w:val="00CF330D"/>
    <w:rsid w:val="00CF363B"/>
    <w:rsid w:val="00CF36C3"/>
    <w:rsid w:val="00CF372C"/>
    <w:rsid w:val="00CF3779"/>
    <w:rsid w:val="00CF3868"/>
    <w:rsid w:val="00CF3BEA"/>
    <w:rsid w:val="00CF3DB7"/>
    <w:rsid w:val="00CF3FC8"/>
    <w:rsid w:val="00CF4218"/>
    <w:rsid w:val="00CF4B75"/>
    <w:rsid w:val="00CF4FEF"/>
    <w:rsid w:val="00CF5101"/>
    <w:rsid w:val="00CF561E"/>
    <w:rsid w:val="00CF572F"/>
    <w:rsid w:val="00CF591E"/>
    <w:rsid w:val="00CF59ED"/>
    <w:rsid w:val="00CF5B29"/>
    <w:rsid w:val="00CF5D31"/>
    <w:rsid w:val="00CF5E86"/>
    <w:rsid w:val="00CF62BA"/>
    <w:rsid w:val="00CF6521"/>
    <w:rsid w:val="00CF652A"/>
    <w:rsid w:val="00CF65CA"/>
    <w:rsid w:val="00CF67CD"/>
    <w:rsid w:val="00CF6A98"/>
    <w:rsid w:val="00CF6D16"/>
    <w:rsid w:val="00CF7272"/>
    <w:rsid w:val="00CF7296"/>
    <w:rsid w:val="00CF72C9"/>
    <w:rsid w:val="00CF7543"/>
    <w:rsid w:val="00CF78F6"/>
    <w:rsid w:val="00CF7B68"/>
    <w:rsid w:val="00CF7CFE"/>
    <w:rsid w:val="00CF7F84"/>
    <w:rsid w:val="00D001D5"/>
    <w:rsid w:val="00D0028C"/>
    <w:rsid w:val="00D0093E"/>
    <w:rsid w:val="00D00B5D"/>
    <w:rsid w:val="00D00D1E"/>
    <w:rsid w:val="00D0133C"/>
    <w:rsid w:val="00D01581"/>
    <w:rsid w:val="00D0193A"/>
    <w:rsid w:val="00D01B8F"/>
    <w:rsid w:val="00D01F26"/>
    <w:rsid w:val="00D02224"/>
    <w:rsid w:val="00D0236B"/>
    <w:rsid w:val="00D02717"/>
    <w:rsid w:val="00D029C2"/>
    <w:rsid w:val="00D02BF3"/>
    <w:rsid w:val="00D03079"/>
    <w:rsid w:val="00D03365"/>
    <w:rsid w:val="00D03A39"/>
    <w:rsid w:val="00D03B53"/>
    <w:rsid w:val="00D03C3B"/>
    <w:rsid w:val="00D03DF7"/>
    <w:rsid w:val="00D0425F"/>
    <w:rsid w:val="00D0426F"/>
    <w:rsid w:val="00D0445A"/>
    <w:rsid w:val="00D04680"/>
    <w:rsid w:val="00D04796"/>
    <w:rsid w:val="00D04843"/>
    <w:rsid w:val="00D04887"/>
    <w:rsid w:val="00D04B09"/>
    <w:rsid w:val="00D04C52"/>
    <w:rsid w:val="00D04D6D"/>
    <w:rsid w:val="00D04EF9"/>
    <w:rsid w:val="00D05295"/>
    <w:rsid w:val="00D0549D"/>
    <w:rsid w:val="00D05608"/>
    <w:rsid w:val="00D05710"/>
    <w:rsid w:val="00D05759"/>
    <w:rsid w:val="00D057F2"/>
    <w:rsid w:val="00D05ED9"/>
    <w:rsid w:val="00D05EF1"/>
    <w:rsid w:val="00D05F62"/>
    <w:rsid w:val="00D0659D"/>
    <w:rsid w:val="00D06F86"/>
    <w:rsid w:val="00D072F8"/>
    <w:rsid w:val="00D0760F"/>
    <w:rsid w:val="00D0769D"/>
    <w:rsid w:val="00D076DE"/>
    <w:rsid w:val="00D078AB"/>
    <w:rsid w:val="00D07F21"/>
    <w:rsid w:val="00D1032E"/>
    <w:rsid w:val="00D10911"/>
    <w:rsid w:val="00D109D7"/>
    <w:rsid w:val="00D10B0C"/>
    <w:rsid w:val="00D10C92"/>
    <w:rsid w:val="00D10D72"/>
    <w:rsid w:val="00D11A49"/>
    <w:rsid w:val="00D11B1B"/>
    <w:rsid w:val="00D12011"/>
    <w:rsid w:val="00D120DA"/>
    <w:rsid w:val="00D122B7"/>
    <w:rsid w:val="00D12576"/>
    <w:rsid w:val="00D1277C"/>
    <w:rsid w:val="00D128BC"/>
    <w:rsid w:val="00D12970"/>
    <w:rsid w:val="00D12B0D"/>
    <w:rsid w:val="00D12BA9"/>
    <w:rsid w:val="00D12C65"/>
    <w:rsid w:val="00D12D78"/>
    <w:rsid w:val="00D12D95"/>
    <w:rsid w:val="00D136B5"/>
    <w:rsid w:val="00D1374E"/>
    <w:rsid w:val="00D139C7"/>
    <w:rsid w:val="00D13DA0"/>
    <w:rsid w:val="00D13E49"/>
    <w:rsid w:val="00D13F91"/>
    <w:rsid w:val="00D142D4"/>
    <w:rsid w:val="00D144FE"/>
    <w:rsid w:val="00D14638"/>
    <w:rsid w:val="00D14938"/>
    <w:rsid w:val="00D14B0A"/>
    <w:rsid w:val="00D14C2E"/>
    <w:rsid w:val="00D15288"/>
    <w:rsid w:val="00D155E4"/>
    <w:rsid w:val="00D157AE"/>
    <w:rsid w:val="00D15C71"/>
    <w:rsid w:val="00D15C8A"/>
    <w:rsid w:val="00D15D77"/>
    <w:rsid w:val="00D16062"/>
    <w:rsid w:val="00D162D3"/>
    <w:rsid w:val="00D16B4C"/>
    <w:rsid w:val="00D16DFD"/>
    <w:rsid w:val="00D1723E"/>
    <w:rsid w:val="00D17435"/>
    <w:rsid w:val="00D178F3"/>
    <w:rsid w:val="00D17941"/>
    <w:rsid w:val="00D17A2B"/>
    <w:rsid w:val="00D17C4C"/>
    <w:rsid w:val="00D20084"/>
    <w:rsid w:val="00D202B2"/>
    <w:rsid w:val="00D204D5"/>
    <w:rsid w:val="00D205B4"/>
    <w:rsid w:val="00D2067A"/>
    <w:rsid w:val="00D20B8C"/>
    <w:rsid w:val="00D20C1E"/>
    <w:rsid w:val="00D20CB8"/>
    <w:rsid w:val="00D21386"/>
    <w:rsid w:val="00D2155C"/>
    <w:rsid w:val="00D21B8C"/>
    <w:rsid w:val="00D220A9"/>
    <w:rsid w:val="00D2276B"/>
    <w:rsid w:val="00D22987"/>
    <w:rsid w:val="00D22997"/>
    <w:rsid w:val="00D22C80"/>
    <w:rsid w:val="00D22C82"/>
    <w:rsid w:val="00D22CAE"/>
    <w:rsid w:val="00D22D96"/>
    <w:rsid w:val="00D2319F"/>
    <w:rsid w:val="00D23B66"/>
    <w:rsid w:val="00D23D59"/>
    <w:rsid w:val="00D2403F"/>
    <w:rsid w:val="00D242C3"/>
    <w:rsid w:val="00D247AB"/>
    <w:rsid w:val="00D25156"/>
    <w:rsid w:val="00D2545E"/>
    <w:rsid w:val="00D25CC9"/>
    <w:rsid w:val="00D26373"/>
    <w:rsid w:val="00D2645A"/>
    <w:rsid w:val="00D26963"/>
    <w:rsid w:val="00D26BF8"/>
    <w:rsid w:val="00D26C0B"/>
    <w:rsid w:val="00D26D4D"/>
    <w:rsid w:val="00D27217"/>
    <w:rsid w:val="00D27D80"/>
    <w:rsid w:val="00D3013B"/>
    <w:rsid w:val="00D302E5"/>
    <w:rsid w:val="00D3061E"/>
    <w:rsid w:val="00D310C6"/>
    <w:rsid w:val="00D31279"/>
    <w:rsid w:val="00D31555"/>
    <w:rsid w:val="00D31566"/>
    <w:rsid w:val="00D31A78"/>
    <w:rsid w:val="00D31B21"/>
    <w:rsid w:val="00D31B3E"/>
    <w:rsid w:val="00D31C4C"/>
    <w:rsid w:val="00D31D06"/>
    <w:rsid w:val="00D31EE1"/>
    <w:rsid w:val="00D31F3C"/>
    <w:rsid w:val="00D32264"/>
    <w:rsid w:val="00D32627"/>
    <w:rsid w:val="00D32778"/>
    <w:rsid w:val="00D32B4F"/>
    <w:rsid w:val="00D33092"/>
    <w:rsid w:val="00D33430"/>
    <w:rsid w:val="00D33657"/>
    <w:rsid w:val="00D33736"/>
    <w:rsid w:val="00D339E0"/>
    <w:rsid w:val="00D33AAD"/>
    <w:rsid w:val="00D33E04"/>
    <w:rsid w:val="00D34134"/>
    <w:rsid w:val="00D34229"/>
    <w:rsid w:val="00D3429B"/>
    <w:rsid w:val="00D34350"/>
    <w:rsid w:val="00D34354"/>
    <w:rsid w:val="00D3436A"/>
    <w:rsid w:val="00D346DC"/>
    <w:rsid w:val="00D34D35"/>
    <w:rsid w:val="00D34EDF"/>
    <w:rsid w:val="00D35916"/>
    <w:rsid w:val="00D35BE8"/>
    <w:rsid w:val="00D36083"/>
    <w:rsid w:val="00D3670C"/>
    <w:rsid w:val="00D36819"/>
    <w:rsid w:val="00D3696D"/>
    <w:rsid w:val="00D36C82"/>
    <w:rsid w:val="00D36F70"/>
    <w:rsid w:val="00D3738E"/>
    <w:rsid w:val="00D37C02"/>
    <w:rsid w:val="00D37F15"/>
    <w:rsid w:val="00D402D7"/>
    <w:rsid w:val="00D40446"/>
    <w:rsid w:val="00D40857"/>
    <w:rsid w:val="00D409BE"/>
    <w:rsid w:val="00D4113B"/>
    <w:rsid w:val="00D41872"/>
    <w:rsid w:val="00D41AE9"/>
    <w:rsid w:val="00D41BB1"/>
    <w:rsid w:val="00D41F0C"/>
    <w:rsid w:val="00D41F32"/>
    <w:rsid w:val="00D424F5"/>
    <w:rsid w:val="00D4255B"/>
    <w:rsid w:val="00D42625"/>
    <w:rsid w:val="00D42773"/>
    <w:rsid w:val="00D4280B"/>
    <w:rsid w:val="00D429B7"/>
    <w:rsid w:val="00D429D5"/>
    <w:rsid w:val="00D42B5D"/>
    <w:rsid w:val="00D42FA1"/>
    <w:rsid w:val="00D42FF3"/>
    <w:rsid w:val="00D433BB"/>
    <w:rsid w:val="00D44454"/>
    <w:rsid w:val="00D44607"/>
    <w:rsid w:val="00D44BD2"/>
    <w:rsid w:val="00D44DE5"/>
    <w:rsid w:val="00D45163"/>
    <w:rsid w:val="00D45661"/>
    <w:rsid w:val="00D45768"/>
    <w:rsid w:val="00D4605C"/>
    <w:rsid w:val="00D4625C"/>
    <w:rsid w:val="00D4648D"/>
    <w:rsid w:val="00D464D8"/>
    <w:rsid w:val="00D466F1"/>
    <w:rsid w:val="00D46740"/>
    <w:rsid w:val="00D467B4"/>
    <w:rsid w:val="00D468B7"/>
    <w:rsid w:val="00D46EAE"/>
    <w:rsid w:val="00D470D3"/>
    <w:rsid w:val="00D47156"/>
    <w:rsid w:val="00D4717F"/>
    <w:rsid w:val="00D4735F"/>
    <w:rsid w:val="00D47A68"/>
    <w:rsid w:val="00D47B42"/>
    <w:rsid w:val="00D47BC6"/>
    <w:rsid w:val="00D47D27"/>
    <w:rsid w:val="00D47E5D"/>
    <w:rsid w:val="00D47F83"/>
    <w:rsid w:val="00D500CC"/>
    <w:rsid w:val="00D50541"/>
    <w:rsid w:val="00D505B3"/>
    <w:rsid w:val="00D5080E"/>
    <w:rsid w:val="00D5095D"/>
    <w:rsid w:val="00D50E1B"/>
    <w:rsid w:val="00D511BB"/>
    <w:rsid w:val="00D5160D"/>
    <w:rsid w:val="00D518C2"/>
    <w:rsid w:val="00D51986"/>
    <w:rsid w:val="00D520C1"/>
    <w:rsid w:val="00D52326"/>
    <w:rsid w:val="00D52709"/>
    <w:rsid w:val="00D52863"/>
    <w:rsid w:val="00D529F2"/>
    <w:rsid w:val="00D52C44"/>
    <w:rsid w:val="00D53721"/>
    <w:rsid w:val="00D537F8"/>
    <w:rsid w:val="00D53972"/>
    <w:rsid w:val="00D53A51"/>
    <w:rsid w:val="00D53C27"/>
    <w:rsid w:val="00D53F40"/>
    <w:rsid w:val="00D53FD4"/>
    <w:rsid w:val="00D543A7"/>
    <w:rsid w:val="00D5470B"/>
    <w:rsid w:val="00D5480D"/>
    <w:rsid w:val="00D549D8"/>
    <w:rsid w:val="00D54FDF"/>
    <w:rsid w:val="00D551EB"/>
    <w:rsid w:val="00D55269"/>
    <w:rsid w:val="00D55380"/>
    <w:rsid w:val="00D55637"/>
    <w:rsid w:val="00D55ED5"/>
    <w:rsid w:val="00D5607E"/>
    <w:rsid w:val="00D5618D"/>
    <w:rsid w:val="00D56214"/>
    <w:rsid w:val="00D56298"/>
    <w:rsid w:val="00D563B2"/>
    <w:rsid w:val="00D567BD"/>
    <w:rsid w:val="00D56A81"/>
    <w:rsid w:val="00D56BB5"/>
    <w:rsid w:val="00D56CD2"/>
    <w:rsid w:val="00D56D3C"/>
    <w:rsid w:val="00D56F24"/>
    <w:rsid w:val="00D5729B"/>
    <w:rsid w:val="00D57309"/>
    <w:rsid w:val="00D573E1"/>
    <w:rsid w:val="00D57494"/>
    <w:rsid w:val="00D57780"/>
    <w:rsid w:val="00D57A20"/>
    <w:rsid w:val="00D6074B"/>
    <w:rsid w:val="00D60753"/>
    <w:rsid w:val="00D60848"/>
    <w:rsid w:val="00D60BDE"/>
    <w:rsid w:val="00D60CB9"/>
    <w:rsid w:val="00D6112A"/>
    <w:rsid w:val="00D613FB"/>
    <w:rsid w:val="00D615CD"/>
    <w:rsid w:val="00D619B5"/>
    <w:rsid w:val="00D61C37"/>
    <w:rsid w:val="00D61F1C"/>
    <w:rsid w:val="00D625BD"/>
    <w:rsid w:val="00D625C8"/>
    <w:rsid w:val="00D62AB0"/>
    <w:rsid w:val="00D62B53"/>
    <w:rsid w:val="00D62BA0"/>
    <w:rsid w:val="00D6306E"/>
    <w:rsid w:val="00D631EE"/>
    <w:rsid w:val="00D632E8"/>
    <w:rsid w:val="00D634C7"/>
    <w:rsid w:val="00D6364D"/>
    <w:rsid w:val="00D63707"/>
    <w:rsid w:val="00D637B6"/>
    <w:rsid w:val="00D639AB"/>
    <w:rsid w:val="00D63F7D"/>
    <w:rsid w:val="00D63FD7"/>
    <w:rsid w:val="00D64268"/>
    <w:rsid w:val="00D64296"/>
    <w:rsid w:val="00D64692"/>
    <w:rsid w:val="00D64882"/>
    <w:rsid w:val="00D64BEC"/>
    <w:rsid w:val="00D64C50"/>
    <w:rsid w:val="00D64C7A"/>
    <w:rsid w:val="00D64DA4"/>
    <w:rsid w:val="00D64E63"/>
    <w:rsid w:val="00D64FAC"/>
    <w:rsid w:val="00D65555"/>
    <w:rsid w:val="00D65C62"/>
    <w:rsid w:val="00D65DAF"/>
    <w:rsid w:val="00D65F71"/>
    <w:rsid w:val="00D660C4"/>
    <w:rsid w:val="00D662D8"/>
    <w:rsid w:val="00D669A1"/>
    <w:rsid w:val="00D66CA5"/>
    <w:rsid w:val="00D671B0"/>
    <w:rsid w:val="00D67618"/>
    <w:rsid w:val="00D676E0"/>
    <w:rsid w:val="00D678AF"/>
    <w:rsid w:val="00D67AB1"/>
    <w:rsid w:val="00D67E32"/>
    <w:rsid w:val="00D67E8E"/>
    <w:rsid w:val="00D67F09"/>
    <w:rsid w:val="00D7030F"/>
    <w:rsid w:val="00D70554"/>
    <w:rsid w:val="00D708F0"/>
    <w:rsid w:val="00D70B16"/>
    <w:rsid w:val="00D71184"/>
    <w:rsid w:val="00D71284"/>
    <w:rsid w:val="00D71347"/>
    <w:rsid w:val="00D71351"/>
    <w:rsid w:val="00D716F1"/>
    <w:rsid w:val="00D718A0"/>
    <w:rsid w:val="00D7202E"/>
    <w:rsid w:val="00D72057"/>
    <w:rsid w:val="00D72063"/>
    <w:rsid w:val="00D7214B"/>
    <w:rsid w:val="00D7276D"/>
    <w:rsid w:val="00D7294B"/>
    <w:rsid w:val="00D72BF3"/>
    <w:rsid w:val="00D7349D"/>
    <w:rsid w:val="00D73A9C"/>
    <w:rsid w:val="00D740CA"/>
    <w:rsid w:val="00D741BA"/>
    <w:rsid w:val="00D74331"/>
    <w:rsid w:val="00D743E9"/>
    <w:rsid w:val="00D746F1"/>
    <w:rsid w:val="00D74766"/>
    <w:rsid w:val="00D747BA"/>
    <w:rsid w:val="00D74ADA"/>
    <w:rsid w:val="00D74D92"/>
    <w:rsid w:val="00D74E34"/>
    <w:rsid w:val="00D74FE6"/>
    <w:rsid w:val="00D7513D"/>
    <w:rsid w:val="00D75455"/>
    <w:rsid w:val="00D75630"/>
    <w:rsid w:val="00D75844"/>
    <w:rsid w:val="00D75AB3"/>
    <w:rsid w:val="00D75C80"/>
    <w:rsid w:val="00D75C8C"/>
    <w:rsid w:val="00D75F92"/>
    <w:rsid w:val="00D763CA"/>
    <w:rsid w:val="00D76692"/>
    <w:rsid w:val="00D76A7E"/>
    <w:rsid w:val="00D76F68"/>
    <w:rsid w:val="00D77958"/>
    <w:rsid w:val="00D77B6F"/>
    <w:rsid w:val="00D77E77"/>
    <w:rsid w:val="00D77F82"/>
    <w:rsid w:val="00D8016B"/>
    <w:rsid w:val="00D8030C"/>
    <w:rsid w:val="00D8056C"/>
    <w:rsid w:val="00D80688"/>
    <w:rsid w:val="00D80DDA"/>
    <w:rsid w:val="00D813FF"/>
    <w:rsid w:val="00D8157B"/>
    <w:rsid w:val="00D81601"/>
    <w:rsid w:val="00D817C5"/>
    <w:rsid w:val="00D81AAE"/>
    <w:rsid w:val="00D81B80"/>
    <w:rsid w:val="00D81D9A"/>
    <w:rsid w:val="00D82029"/>
    <w:rsid w:val="00D8233E"/>
    <w:rsid w:val="00D82964"/>
    <w:rsid w:val="00D82A8F"/>
    <w:rsid w:val="00D82E99"/>
    <w:rsid w:val="00D8300C"/>
    <w:rsid w:val="00D83396"/>
    <w:rsid w:val="00D83460"/>
    <w:rsid w:val="00D8349F"/>
    <w:rsid w:val="00D8389F"/>
    <w:rsid w:val="00D83B82"/>
    <w:rsid w:val="00D8440B"/>
    <w:rsid w:val="00D844E6"/>
    <w:rsid w:val="00D8451B"/>
    <w:rsid w:val="00D84B72"/>
    <w:rsid w:val="00D84D7B"/>
    <w:rsid w:val="00D8529E"/>
    <w:rsid w:val="00D854A1"/>
    <w:rsid w:val="00D86071"/>
    <w:rsid w:val="00D86406"/>
    <w:rsid w:val="00D8642A"/>
    <w:rsid w:val="00D87173"/>
    <w:rsid w:val="00D873E3"/>
    <w:rsid w:val="00D8759E"/>
    <w:rsid w:val="00D87AD5"/>
    <w:rsid w:val="00D87B42"/>
    <w:rsid w:val="00D90134"/>
    <w:rsid w:val="00D901B7"/>
    <w:rsid w:val="00D9044F"/>
    <w:rsid w:val="00D90710"/>
    <w:rsid w:val="00D90A30"/>
    <w:rsid w:val="00D90AF4"/>
    <w:rsid w:val="00D90B87"/>
    <w:rsid w:val="00D90C6C"/>
    <w:rsid w:val="00D90D38"/>
    <w:rsid w:val="00D90F02"/>
    <w:rsid w:val="00D9136A"/>
    <w:rsid w:val="00D913C2"/>
    <w:rsid w:val="00D91520"/>
    <w:rsid w:val="00D9154D"/>
    <w:rsid w:val="00D919F8"/>
    <w:rsid w:val="00D91B4B"/>
    <w:rsid w:val="00D91C86"/>
    <w:rsid w:val="00D91D36"/>
    <w:rsid w:val="00D91D67"/>
    <w:rsid w:val="00D91DD9"/>
    <w:rsid w:val="00D92A41"/>
    <w:rsid w:val="00D92ADB"/>
    <w:rsid w:val="00D92B74"/>
    <w:rsid w:val="00D93536"/>
    <w:rsid w:val="00D93680"/>
    <w:rsid w:val="00D9401B"/>
    <w:rsid w:val="00D94242"/>
    <w:rsid w:val="00D9448C"/>
    <w:rsid w:val="00D94504"/>
    <w:rsid w:val="00D9473B"/>
    <w:rsid w:val="00D9474A"/>
    <w:rsid w:val="00D949D6"/>
    <w:rsid w:val="00D94DF8"/>
    <w:rsid w:val="00D95162"/>
    <w:rsid w:val="00D953C2"/>
    <w:rsid w:val="00D9550B"/>
    <w:rsid w:val="00D95599"/>
    <w:rsid w:val="00D95935"/>
    <w:rsid w:val="00D959CA"/>
    <w:rsid w:val="00D95DBF"/>
    <w:rsid w:val="00D9623A"/>
    <w:rsid w:val="00D962AF"/>
    <w:rsid w:val="00D9635B"/>
    <w:rsid w:val="00D968B7"/>
    <w:rsid w:val="00D96D5A"/>
    <w:rsid w:val="00D96EC6"/>
    <w:rsid w:val="00D96F6A"/>
    <w:rsid w:val="00D971C2"/>
    <w:rsid w:val="00D97819"/>
    <w:rsid w:val="00D97E80"/>
    <w:rsid w:val="00DA018E"/>
    <w:rsid w:val="00DA06BB"/>
    <w:rsid w:val="00DA074F"/>
    <w:rsid w:val="00DA096C"/>
    <w:rsid w:val="00DA12C1"/>
    <w:rsid w:val="00DA1697"/>
    <w:rsid w:val="00DA174A"/>
    <w:rsid w:val="00DA1783"/>
    <w:rsid w:val="00DA19F3"/>
    <w:rsid w:val="00DA1B3E"/>
    <w:rsid w:val="00DA1C28"/>
    <w:rsid w:val="00DA1E19"/>
    <w:rsid w:val="00DA2234"/>
    <w:rsid w:val="00DA253D"/>
    <w:rsid w:val="00DA2742"/>
    <w:rsid w:val="00DA285B"/>
    <w:rsid w:val="00DA303D"/>
    <w:rsid w:val="00DA311C"/>
    <w:rsid w:val="00DA3190"/>
    <w:rsid w:val="00DA32C7"/>
    <w:rsid w:val="00DA363F"/>
    <w:rsid w:val="00DA3933"/>
    <w:rsid w:val="00DA39E1"/>
    <w:rsid w:val="00DA3CE3"/>
    <w:rsid w:val="00DA3D8D"/>
    <w:rsid w:val="00DA4228"/>
    <w:rsid w:val="00DA4A8C"/>
    <w:rsid w:val="00DA4B64"/>
    <w:rsid w:val="00DA4E94"/>
    <w:rsid w:val="00DA4F55"/>
    <w:rsid w:val="00DA5552"/>
    <w:rsid w:val="00DA5620"/>
    <w:rsid w:val="00DA574A"/>
    <w:rsid w:val="00DA5993"/>
    <w:rsid w:val="00DA59DA"/>
    <w:rsid w:val="00DA59DD"/>
    <w:rsid w:val="00DA5AF1"/>
    <w:rsid w:val="00DA6141"/>
    <w:rsid w:val="00DA6206"/>
    <w:rsid w:val="00DA6DD4"/>
    <w:rsid w:val="00DA6E1A"/>
    <w:rsid w:val="00DA6E7C"/>
    <w:rsid w:val="00DA7435"/>
    <w:rsid w:val="00DA744B"/>
    <w:rsid w:val="00DA749E"/>
    <w:rsid w:val="00DA7527"/>
    <w:rsid w:val="00DA761D"/>
    <w:rsid w:val="00DA7C72"/>
    <w:rsid w:val="00DB01E4"/>
    <w:rsid w:val="00DB057D"/>
    <w:rsid w:val="00DB07F2"/>
    <w:rsid w:val="00DB083A"/>
    <w:rsid w:val="00DB08B6"/>
    <w:rsid w:val="00DB08D6"/>
    <w:rsid w:val="00DB0A33"/>
    <w:rsid w:val="00DB0C4A"/>
    <w:rsid w:val="00DB0CE8"/>
    <w:rsid w:val="00DB0D20"/>
    <w:rsid w:val="00DB0DBB"/>
    <w:rsid w:val="00DB0E27"/>
    <w:rsid w:val="00DB11C9"/>
    <w:rsid w:val="00DB135D"/>
    <w:rsid w:val="00DB15DD"/>
    <w:rsid w:val="00DB19A7"/>
    <w:rsid w:val="00DB1FF5"/>
    <w:rsid w:val="00DB2259"/>
    <w:rsid w:val="00DB2271"/>
    <w:rsid w:val="00DB2350"/>
    <w:rsid w:val="00DB23DD"/>
    <w:rsid w:val="00DB267C"/>
    <w:rsid w:val="00DB284E"/>
    <w:rsid w:val="00DB32D9"/>
    <w:rsid w:val="00DB38CD"/>
    <w:rsid w:val="00DB3B78"/>
    <w:rsid w:val="00DB3EF9"/>
    <w:rsid w:val="00DB423F"/>
    <w:rsid w:val="00DB4240"/>
    <w:rsid w:val="00DB43CB"/>
    <w:rsid w:val="00DB4434"/>
    <w:rsid w:val="00DB482D"/>
    <w:rsid w:val="00DB4DE6"/>
    <w:rsid w:val="00DB514C"/>
    <w:rsid w:val="00DB5154"/>
    <w:rsid w:val="00DB55D1"/>
    <w:rsid w:val="00DB5740"/>
    <w:rsid w:val="00DB5A56"/>
    <w:rsid w:val="00DB5BD4"/>
    <w:rsid w:val="00DB5F59"/>
    <w:rsid w:val="00DB6EA5"/>
    <w:rsid w:val="00DB6EF7"/>
    <w:rsid w:val="00DB7742"/>
    <w:rsid w:val="00DB791C"/>
    <w:rsid w:val="00DB7E1C"/>
    <w:rsid w:val="00DB7E8C"/>
    <w:rsid w:val="00DC016E"/>
    <w:rsid w:val="00DC0407"/>
    <w:rsid w:val="00DC0704"/>
    <w:rsid w:val="00DC08C9"/>
    <w:rsid w:val="00DC0B84"/>
    <w:rsid w:val="00DC0BDB"/>
    <w:rsid w:val="00DC1120"/>
    <w:rsid w:val="00DC1195"/>
    <w:rsid w:val="00DC16C5"/>
    <w:rsid w:val="00DC1876"/>
    <w:rsid w:val="00DC1973"/>
    <w:rsid w:val="00DC1D11"/>
    <w:rsid w:val="00DC1DFF"/>
    <w:rsid w:val="00DC1EDF"/>
    <w:rsid w:val="00DC1F30"/>
    <w:rsid w:val="00DC204F"/>
    <w:rsid w:val="00DC26B0"/>
    <w:rsid w:val="00DC279E"/>
    <w:rsid w:val="00DC27D0"/>
    <w:rsid w:val="00DC2A51"/>
    <w:rsid w:val="00DC2C2A"/>
    <w:rsid w:val="00DC2D55"/>
    <w:rsid w:val="00DC2E93"/>
    <w:rsid w:val="00DC32ED"/>
    <w:rsid w:val="00DC33B4"/>
    <w:rsid w:val="00DC3BE4"/>
    <w:rsid w:val="00DC3DA7"/>
    <w:rsid w:val="00DC4970"/>
    <w:rsid w:val="00DC4B98"/>
    <w:rsid w:val="00DC4FCE"/>
    <w:rsid w:val="00DC5000"/>
    <w:rsid w:val="00DC5109"/>
    <w:rsid w:val="00DC53EB"/>
    <w:rsid w:val="00DC54C1"/>
    <w:rsid w:val="00DC550E"/>
    <w:rsid w:val="00DC5DC5"/>
    <w:rsid w:val="00DC5E32"/>
    <w:rsid w:val="00DC60E3"/>
    <w:rsid w:val="00DC6183"/>
    <w:rsid w:val="00DC61D9"/>
    <w:rsid w:val="00DC64CF"/>
    <w:rsid w:val="00DC6643"/>
    <w:rsid w:val="00DC6845"/>
    <w:rsid w:val="00DC6B1B"/>
    <w:rsid w:val="00DC6D27"/>
    <w:rsid w:val="00DC6D28"/>
    <w:rsid w:val="00DC7DF8"/>
    <w:rsid w:val="00DC7F91"/>
    <w:rsid w:val="00DD04CB"/>
    <w:rsid w:val="00DD06FC"/>
    <w:rsid w:val="00DD0732"/>
    <w:rsid w:val="00DD07AD"/>
    <w:rsid w:val="00DD0915"/>
    <w:rsid w:val="00DD0B70"/>
    <w:rsid w:val="00DD0E49"/>
    <w:rsid w:val="00DD109C"/>
    <w:rsid w:val="00DD12F8"/>
    <w:rsid w:val="00DD134D"/>
    <w:rsid w:val="00DD15FC"/>
    <w:rsid w:val="00DD164A"/>
    <w:rsid w:val="00DD1753"/>
    <w:rsid w:val="00DD1CF7"/>
    <w:rsid w:val="00DD200C"/>
    <w:rsid w:val="00DD2252"/>
    <w:rsid w:val="00DD2270"/>
    <w:rsid w:val="00DD2424"/>
    <w:rsid w:val="00DD2AD3"/>
    <w:rsid w:val="00DD2B4D"/>
    <w:rsid w:val="00DD2E20"/>
    <w:rsid w:val="00DD2EF8"/>
    <w:rsid w:val="00DD2F96"/>
    <w:rsid w:val="00DD371B"/>
    <w:rsid w:val="00DD3767"/>
    <w:rsid w:val="00DD38DA"/>
    <w:rsid w:val="00DD39A0"/>
    <w:rsid w:val="00DD3AD5"/>
    <w:rsid w:val="00DD3B1B"/>
    <w:rsid w:val="00DD3BD9"/>
    <w:rsid w:val="00DD3D71"/>
    <w:rsid w:val="00DD4017"/>
    <w:rsid w:val="00DD426D"/>
    <w:rsid w:val="00DD4389"/>
    <w:rsid w:val="00DD44E6"/>
    <w:rsid w:val="00DD45DA"/>
    <w:rsid w:val="00DD4652"/>
    <w:rsid w:val="00DD4D56"/>
    <w:rsid w:val="00DD4D81"/>
    <w:rsid w:val="00DD50FE"/>
    <w:rsid w:val="00DD54D0"/>
    <w:rsid w:val="00DD54EB"/>
    <w:rsid w:val="00DD558D"/>
    <w:rsid w:val="00DD5FFB"/>
    <w:rsid w:val="00DD63D0"/>
    <w:rsid w:val="00DD6710"/>
    <w:rsid w:val="00DD6824"/>
    <w:rsid w:val="00DD6936"/>
    <w:rsid w:val="00DD6BD3"/>
    <w:rsid w:val="00DD6CDE"/>
    <w:rsid w:val="00DD6EB9"/>
    <w:rsid w:val="00DD733A"/>
    <w:rsid w:val="00DD7346"/>
    <w:rsid w:val="00DD75E8"/>
    <w:rsid w:val="00DD7978"/>
    <w:rsid w:val="00DD7BD9"/>
    <w:rsid w:val="00DD7C73"/>
    <w:rsid w:val="00DD7C9B"/>
    <w:rsid w:val="00DE0197"/>
    <w:rsid w:val="00DE0269"/>
    <w:rsid w:val="00DE02D4"/>
    <w:rsid w:val="00DE03F4"/>
    <w:rsid w:val="00DE0465"/>
    <w:rsid w:val="00DE0BA1"/>
    <w:rsid w:val="00DE1665"/>
    <w:rsid w:val="00DE19BA"/>
    <w:rsid w:val="00DE1BE6"/>
    <w:rsid w:val="00DE1C47"/>
    <w:rsid w:val="00DE1EC5"/>
    <w:rsid w:val="00DE235D"/>
    <w:rsid w:val="00DE2434"/>
    <w:rsid w:val="00DE254D"/>
    <w:rsid w:val="00DE25BC"/>
    <w:rsid w:val="00DE29AB"/>
    <w:rsid w:val="00DE2B45"/>
    <w:rsid w:val="00DE2C59"/>
    <w:rsid w:val="00DE2CC7"/>
    <w:rsid w:val="00DE2CD1"/>
    <w:rsid w:val="00DE2E64"/>
    <w:rsid w:val="00DE2EF6"/>
    <w:rsid w:val="00DE3377"/>
    <w:rsid w:val="00DE36C7"/>
    <w:rsid w:val="00DE3C25"/>
    <w:rsid w:val="00DE3CBC"/>
    <w:rsid w:val="00DE3CE7"/>
    <w:rsid w:val="00DE3F62"/>
    <w:rsid w:val="00DE3FEB"/>
    <w:rsid w:val="00DE4CD0"/>
    <w:rsid w:val="00DE4E89"/>
    <w:rsid w:val="00DE5170"/>
    <w:rsid w:val="00DE53E1"/>
    <w:rsid w:val="00DE5471"/>
    <w:rsid w:val="00DE5588"/>
    <w:rsid w:val="00DE587B"/>
    <w:rsid w:val="00DE599E"/>
    <w:rsid w:val="00DE5C7E"/>
    <w:rsid w:val="00DE5D3F"/>
    <w:rsid w:val="00DE6282"/>
    <w:rsid w:val="00DE677E"/>
    <w:rsid w:val="00DE6974"/>
    <w:rsid w:val="00DE6F23"/>
    <w:rsid w:val="00DE72EF"/>
    <w:rsid w:val="00DE75DD"/>
    <w:rsid w:val="00DE7A70"/>
    <w:rsid w:val="00DE7A8A"/>
    <w:rsid w:val="00DE7D0E"/>
    <w:rsid w:val="00DE7D68"/>
    <w:rsid w:val="00DE7FB1"/>
    <w:rsid w:val="00DF0218"/>
    <w:rsid w:val="00DF02E3"/>
    <w:rsid w:val="00DF0A64"/>
    <w:rsid w:val="00DF0C26"/>
    <w:rsid w:val="00DF1539"/>
    <w:rsid w:val="00DF1A56"/>
    <w:rsid w:val="00DF1A85"/>
    <w:rsid w:val="00DF1B1C"/>
    <w:rsid w:val="00DF1B69"/>
    <w:rsid w:val="00DF1C4A"/>
    <w:rsid w:val="00DF205B"/>
    <w:rsid w:val="00DF2126"/>
    <w:rsid w:val="00DF25A1"/>
    <w:rsid w:val="00DF25CF"/>
    <w:rsid w:val="00DF28B4"/>
    <w:rsid w:val="00DF2B1E"/>
    <w:rsid w:val="00DF33E6"/>
    <w:rsid w:val="00DF367B"/>
    <w:rsid w:val="00DF3733"/>
    <w:rsid w:val="00DF37F3"/>
    <w:rsid w:val="00DF3A85"/>
    <w:rsid w:val="00DF3AB5"/>
    <w:rsid w:val="00DF3F41"/>
    <w:rsid w:val="00DF4240"/>
    <w:rsid w:val="00DF47C4"/>
    <w:rsid w:val="00DF55BA"/>
    <w:rsid w:val="00DF5A67"/>
    <w:rsid w:val="00DF5B1D"/>
    <w:rsid w:val="00DF5EA8"/>
    <w:rsid w:val="00DF6039"/>
    <w:rsid w:val="00DF63BD"/>
    <w:rsid w:val="00DF677E"/>
    <w:rsid w:val="00DF6911"/>
    <w:rsid w:val="00DF6A8F"/>
    <w:rsid w:val="00DF6B77"/>
    <w:rsid w:val="00DF6D1F"/>
    <w:rsid w:val="00DF6FBE"/>
    <w:rsid w:val="00DF7165"/>
    <w:rsid w:val="00DF7369"/>
    <w:rsid w:val="00DF74B5"/>
    <w:rsid w:val="00DF74DC"/>
    <w:rsid w:val="00DF75D7"/>
    <w:rsid w:val="00DF75F5"/>
    <w:rsid w:val="00DF76AB"/>
    <w:rsid w:val="00DF7815"/>
    <w:rsid w:val="00DF7B02"/>
    <w:rsid w:val="00DF7B1C"/>
    <w:rsid w:val="00DF7E6B"/>
    <w:rsid w:val="00DF7EB2"/>
    <w:rsid w:val="00DF7F14"/>
    <w:rsid w:val="00E00349"/>
    <w:rsid w:val="00E00596"/>
    <w:rsid w:val="00E00929"/>
    <w:rsid w:val="00E00D90"/>
    <w:rsid w:val="00E0142B"/>
    <w:rsid w:val="00E0178F"/>
    <w:rsid w:val="00E01933"/>
    <w:rsid w:val="00E02182"/>
    <w:rsid w:val="00E028AF"/>
    <w:rsid w:val="00E029CE"/>
    <w:rsid w:val="00E02CFD"/>
    <w:rsid w:val="00E0309E"/>
    <w:rsid w:val="00E035DD"/>
    <w:rsid w:val="00E035E2"/>
    <w:rsid w:val="00E0361A"/>
    <w:rsid w:val="00E0363F"/>
    <w:rsid w:val="00E03940"/>
    <w:rsid w:val="00E03A7D"/>
    <w:rsid w:val="00E03AC7"/>
    <w:rsid w:val="00E04709"/>
    <w:rsid w:val="00E04893"/>
    <w:rsid w:val="00E04949"/>
    <w:rsid w:val="00E04A7F"/>
    <w:rsid w:val="00E04B1E"/>
    <w:rsid w:val="00E04F03"/>
    <w:rsid w:val="00E05134"/>
    <w:rsid w:val="00E05B04"/>
    <w:rsid w:val="00E06190"/>
    <w:rsid w:val="00E06DE5"/>
    <w:rsid w:val="00E06EE7"/>
    <w:rsid w:val="00E06F2F"/>
    <w:rsid w:val="00E070C9"/>
    <w:rsid w:val="00E0745B"/>
    <w:rsid w:val="00E07835"/>
    <w:rsid w:val="00E07C96"/>
    <w:rsid w:val="00E100F7"/>
    <w:rsid w:val="00E10300"/>
    <w:rsid w:val="00E107FB"/>
    <w:rsid w:val="00E10846"/>
    <w:rsid w:val="00E109E5"/>
    <w:rsid w:val="00E10A17"/>
    <w:rsid w:val="00E11264"/>
    <w:rsid w:val="00E112B8"/>
    <w:rsid w:val="00E11394"/>
    <w:rsid w:val="00E1163B"/>
    <w:rsid w:val="00E11706"/>
    <w:rsid w:val="00E1179F"/>
    <w:rsid w:val="00E117FE"/>
    <w:rsid w:val="00E119B6"/>
    <w:rsid w:val="00E11C7A"/>
    <w:rsid w:val="00E11D27"/>
    <w:rsid w:val="00E11FE3"/>
    <w:rsid w:val="00E1282E"/>
    <w:rsid w:val="00E129AE"/>
    <w:rsid w:val="00E12A70"/>
    <w:rsid w:val="00E12F61"/>
    <w:rsid w:val="00E12F77"/>
    <w:rsid w:val="00E1347E"/>
    <w:rsid w:val="00E13518"/>
    <w:rsid w:val="00E13B33"/>
    <w:rsid w:val="00E13E5A"/>
    <w:rsid w:val="00E1410A"/>
    <w:rsid w:val="00E14204"/>
    <w:rsid w:val="00E14234"/>
    <w:rsid w:val="00E14507"/>
    <w:rsid w:val="00E14587"/>
    <w:rsid w:val="00E146EC"/>
    <w:rsid w:val="00E148F1"/>
    <w:rsid w:val="00E149B0"/>
    <w:rsid w:val="00E14C03"/>
    <w:rsid w:val="00E14D99"/>
    <w:rsid w:val="00E158D7"/>
    <w:rsid w:val="00E15990"/>
    <w:rsid w:val="00E15ADC"/>
    <w:rsid w:val="00E15BF9"/>
    <w:rsid w:val="00E15C3C"/>
    <w:rsid w:val="00E15CFF"/>
    <w:rsid w:val="00E15DDB"/>
    <w:rsid w:val="00E15DFA"/>
    <w:rsid w:val="00E15F34"/>
    <w:rsid w:val="00E15FEB"/>
    <w:rsid w:val="00E161B6"/>
    <w:rsid w:val="00E16581"/>
    <w:rsid w:val="00E16A01"/>
    <w:rsid w:val="00E16CC7"/>
    <w:rsid w:val="00E16E09"/>
    <w:rsid w:val="00E16F67"/>
    <w:rsid w:val="00E16FCB"/>
    <w:rsid w:val="00E16FDC"/>
    <w:rsid w:val="00E17034"/>
    <w:rsid w:val="00E17145"/>
    <w:rsid w:val="00E1727C"/>
    <w:rsid w:val="00E17548"/>
    <w:rsid w:val="00E17562"/>
    <w:rsid w:val="00E17D26"/>
    <w:rsid w:val="00E17D4F"/>
    <w:rsid w:val="00E2014F"/>
    <w:rsid w:val="00E2078F"/>
    <w:rsid w:val="00E20A0B"/>
    <w:rsid w:val="00E20BEC"/>
    <w:rsid w:val="00E20CC7"/>
    <w:rsid w:val="00E2114B"/>
    <w:rsid w:val="00E2119A"/>
    <w:rsid w:val="00E214E9"/>
    <w:rsid w:val="00E21B7C"/>
    <w:rsid w:val="00E21E6C"/>
    <w:rsid w:val="00E22057"/>
    <w:rsid w:val="00E2251C"/>
    <w:rsid w:val="00E227D8"/>
    <w:rsid w:val="00E22810"/>
    <w:rsid w:val="00E22886"/>
    <w:rsid w:val="00E22E49"/>
    <w:rsid w:val="00E22E99"/>
    <w:rsid w:val="00E230CB"/>
    <w:rsid w:val="00E233AC"/>
    <w:rsid w:val="00E233D4"/>
    <w:rsid w:val="00E2379B"/>
    <w:rsid w:val="00E23D8D"/>
    <w:rsid w:val="00E240A6"/>
    <w:rsid w:val="00E24558"/>
    <w:rsid w:val="00E24579"/>
    <w:rsid w:val="00E245AB"/>
    <w:rsid w:val="00E24BE6"/>
    <w:rsid w:val="00E24C58"/>
    <w:rsid w:val="00E250B3"/>
    <w:rsid w:val="00E2517C"/>
    <w:rsid w:val="00E254BD"/>
    <w:rsid w:val="00E254F2"/>
    <w:rsid w:val="00E25710"/>
    <w:rsid w:val="00E25885"/>
    <w:rsid w:val="00E25914"/>
    <w:rsid w:val="00E25ADE"/>
    <w:rsid w:val="00E25DE5"/>
    <w:rsid w:val="00E25F35"/>
    <w:rsid w:val="00E260A9"/>
    <w:rsid w:val="00E26376"/>
    <w:rsid w:val="00E268A5"/>
    <w:rsid w:val="00E26BB3"/>
    <w:rsid w:val="00E26C7D"/>
    <w:rsid w:val="00E26D5B"/>
    <w:rsid w:val="00E26E48"/>
    <w:rsid w:val="00E27269"/>
    <w:rsid w:val="00E27299"/>
    <w:rsid w:val="00E273C2"/>
    <w:rsid w:val="00E273FE"/>
    <w:rsid w:val="00E2747E"/>
    <w:rsid w:val="00E27933"/>
    <w:rsid w:val="00E27CDD"/>
    <w:rsid w:val="00E27FC9"/>
    <w:rsid w:val="00E30061"/>
    <w:rsid w:val="00E303F1"/>
    <w:rsid w:val="00E306F5"/>
    <w:rsid w:val="00E30AD3"/>
    <w:rsid w:val="00E30F92"/>
    <w:rsid w:val="00E310F2"/>
    <w:rsid w:val="00E3186B"/>
    <w:rsid w:val="00E31A29"/>
    <w:rsid w:val="00E322B5"/>
    <w:rsid w:val="00E322D9"/>
    <w:rsid w:val="00E323A2"/>
    <w:rsid w:val="00E3263D"/>
    <w:rsid w:val="00E32710"/>
    <w:rsid w:val="00E32D38"/>
    <w:rsid w:val="00E32EBB"/>
    <w:rsid w:val="00E32FE0"/>
    <w:rsid w:val="00E32FEF"/>
    <w:rsid w:val="00E33411"/>
    <w:rsid w:val="00E334A0"/>
    <w:rsid w:val="00E33848"/>
    <w:rsid w:val="00E33A4D"/>
    <w:rsid w:val="00E33DAC"/>
    <w:rsid w:val="00E34212"/>
    <w:rsid w:val="00E34883"/>
    <w:rsid w:val="00E34989"/>
    <w:rsid w:val="00E34EDA"/>
    <w:rsid w:val="00E34F25"/>
    <w:rsid w:val="00E351C1"/>
    <w:rsid w:val="00E359A6"/>
    <w:rsid w:val="00E35A05"/>
    <w:rsid w:val="00E35ECA"/>
    <w:rsid w:val="00E36689"/>
    <w:rsid w:val="00E37406"/>
    <w:rsid w:val="00E37473"/>
    <w:rsid w:val="00E3778E"/>
    <w:rsid w:val="00E37A8C"/>
    <w:rsid w:val="00E37E72"/>
    <w:rsid w:val="00E37F03"/>
    <w:rsid w:val="00E40204"/>
    <w:rsid w:val="00E40268"/>
    <w:rsid w:val="00E40309"/>
    <w:rsid w:val="00E40882"/>
    <w:rsid w:val="00E40AD6"/>
    <w:rsid w:val="00E41005"/>
    <w:rsid w:val="00E414A0"/>
    <w:rsid w:val="00E41593"/>
    <w:rsid w:val="00E416AE"/>
    <w:rsid w:val="00E416CE"/>
    <w:rsid w:val="00E41724"/>
    <w:rsid w:val="00E4195E"/>
    <w:rsid w:val="00E41E30"/>
    <w:rsid w:val="00E41E61"/>
    <w:rsid w:val="00E42693"/>
    <w:rsid w:val="00E42F04"/>
    <w:rsid w:val="00E43AB1"/>
    <w:rsid w:val="00E43BD8"/>
    <w:rsid w:val="00E43CC6"/>
    <w:rsid w:val="00E43E9B"/>
    <w:rsid w:val="00E44045"/>
    <w:rsid w:val="00E44267"/>
    <w:rsid w:val="00E44971"/>
    <w:rsid w:val="00E449B9"/>
    <w:rsid w:val="00E44CC2"/>
    <w:rsid w:val="00E44CCA"/>
    <w:rsid w:val="00E44D8B"/>
    <w:rsid w:val="00E45294"/>
    <w:rsid w:val="00E45701"/>
    <w:rsid w:val="00E458B4"/>
    <w:rsid w:val="00E45A7A"/>
    <w:rsid w:val="00E45BA6"/>
    <w:rsid w:val="00E45C96"/>
    <w:rsid w:val="00E45FB9"/>
    <w:rsid w:val="00E46535"/>
    <w:rsid w:val="00E46A69"/>
    <w:rsid w:val="00E46ABB"/>
    <w:rsid w:val="00E4711E"/>
    <w:rsid w:val="00E47608"/>
    <w:rsid w:val="00E47A69"/>
    <w:rsid w:val="00E50439"/>
    <w:rsid w:val="00E506F0"/>
    <w:rsid w:val="00E50A93"/>
    <w:rsid w:val="00E50CAD"/>
    <w:rsid w:val="00E50F0C"/>
    <w:rsid w:val="00E511ED"/>
    <w:rsid w:val="00E51A5D"/>
    <w:rsid w:val="00E51B99"/>
    <w:rsid w:val="00E51F03"/>
    <w:rsid w:val="00E52133"/>
    <w:rsid w:val="00E52A5C"/>
    <w:rsid w:val="00E52CD9"/>
    <w:rsid w:val="00E52DF5"/>
    <w:rsid w:val="00E52FEF"/>
    <w:rsid w:val="00E531D4"/>
    <w:rsid w:val="00E53617"/>
    <w:rsid w:val="00E53939"/>
    <w:rsid w:val="00E539D5"/>
    <w:rsid w:val="00E53EC7"/>
    <w:rsid w:val="00E53EF5"/>
    <w:rsid w:val="00E5408C"/>
    <w:rsid w:val="00E540DC"/>
    <w:rsid w:val="00E540F3"/>
    <w:rsid w:val="00E54161"/>
    <w:rsid w:val="00E54672"/>
    <w:rsid w:val="00E546F3"/>
    <w:rsid w:val="00E547DA"/>
    <w:rsid w:val="00E54A74"/>
    <w:rsid w:val="00E54AC6"/>
    <w:rsid w:val="00E54FC1"/>
    <w:rsid w:val="00E55053"/>
    <w:rsid w:val="00E555AD"/>
    <w:rsid w:val="00E55B77"/>
    <w:rsid w:val="00E55DB5"/>
    <w:rsid w:val="00E55EBB"/>
    <w:rsid w:val="00E55F5A"/>
    <w:rsid w:val="00E55F6C"/>
    <w:rsid w:val="00E55FE4"/>
    <w:rsid w:val="00E56B42"/>
    <w:rsid w:val="00E56C47"/>
    <w:rsid w:val="00E56CA3"/>
    <w:rsid w:val="00E56DF5"/>
    <w:rsid w:val="00E56E1D"/>
    <w:rsid w:val="00E56FC4"/>
    <w:rsid w:val="00E56FFC"/>
    <w:rsid w:val="00E570D4"/>
    <w:rsid w:val="00E5743C"/>
    <w:rsid w:val="00E576BD"/>
    <w:rsid w:val="00E57B69"/>
    <w:rsid w:val="00E57BCC"/>
    <w:rsid w:val="00E57D03"/>
    <w:rsid w:val="00E57D60"/>
    <w:rsid w:val="00E60053"/>
    <w:rsid w:val="00E60147"/>
    <w:rsid w:val="00E60526"/>
    <w:rsid w:val="00E60631"/>
    <w:rsid w:val="00E60BF8"/>
    <w:rsid w:val="00E60C5B"/>
    <w:rsid w:val="00E60CDC"/>
    <w:rsid w:val="00E60F69"/>
    <w:rsid w:val="00E60F83"/>
    <w:rsid w:val="00E6101A"/>
    <w:rsid w:val="00E6198E"/>
    <w:rsid w:val="00E61A39"/>
    <w:rsid w:val="00E61A6C"/>
    <w:rsid w:val="00E61D35"/>
    <w:rsid w:val="00E621D9"/>
    <w:rsid w:val="00E62312"/>
    <w:rsid w:val="00E6232D"/>
    <w:rsid w:val="00E62456"/>
    <w:rsid w:val="00E631D0"/>
    <w:rsid w:val="00E633FC"/>
    <w:rsid w:val="00E634FD"/>
    <w:rsid w:val="00E63781"/>
    <w:rsid w:val="00E63B5B"/>
    <w:rsid w:val="00E63D74"/>
    <w:rsid w:val="00E63F56"/>
    <w:rsid w:val="00E6428C"/>
    <w:rsid w:val="00E642E1"/>
    <w:rsid w:val="00E646C5"/>
    <w:rsid w:val="00E64E3A"/>
    <w:rsid w:val="00E64FCB"/>
    <w:rsid w:val="00E65232"/>
    <w:rsid w:val="00E65505"/>
    <w:rsid w:val="00E65635"/>
    <w:rsid w:val="00E656D4"/>
    <w:rsid w:val="00E65939"/>
    <w:rsid w:val="00E65C9F"/>
    <w:rsid w:val="00E65FF0"/>
    <w:rsid w:val="00E66227"/>
    <w:rsid w:val="00E6630F"/>
    <w:rsid w:val="00E6646E"/>
    <w:rsid w:val="00E66620"/>
    <w:rsid w:val="00E6688C"/>
    <w:rsid w:val="00E66ABC"/>
    <w:rsid w:val="00E66B49"/>
    <w:rsid w:val="00E66EFF"/>
    <w:rsid w:val="00E66F2E"/>
    <w:rsid w:val="00E67259"/>
    <w:rsid w:val="00E673A3"/>
    <w:rsid w:val="00E67499"/>
    <w:rsid w:val="00E67ABE"/>
    <w:rsid w:val="00E70096"/>
    <w:rsid w:val="00E70ADA"/>
    <w:rsid w:val="00E70B25"/>
    <w:rsid w:val="00E70C3D"/>
    <w:rsid w:val="00E70D5C"/>
    <w:rsid w:val="00E70F94"/>
    <w:rsid w:val="00E71088"/>
    <w:rsid w:val="00E713F6"/>
    <w:rsid w:val="00E7142F"/>
    <w:rsid w:val="00E71803"/>
    <w:rsid w:val="00E71A43"/>
    <w:rsid w:val="00E7221D"/>
    <w:rsid w:val="00E73387"/>
    <w:rsid w:val="00E7338C"/>
    <w:rsid w:val="00E73438"/>
    <w:rsid w:val="00E735F6"/>
    <w:rsid w:val="00E73742"/>
    <w:rsid w:val="00E73970"/>
    <w:rsid w:val="00E73C7E"/>
    <w:rsid w:val="00E73C83"/>
    <w:rsid w:val="00E73D2E"/>
    <w:rsid w:val="00E73F0D"/>
    <w:rsid w:val="00E73F5E"/>
    <w:rsid w:val="00E7405F"/>
    <w:rsid w:val="00E7425D"/>
    <w:rsid w:val="00E747C5"/>
    <w:rsid w:val="00E74870"/>
    <w:rsid w:val="00E74AF3"/>
    <w:rsid w:val="00E74B2E"/>
    <w:rsid w:val="00E74D71"/>
    <w:rsid w:val="00E75165"/>
    <w:rsid w:val="00E7547F"/>
    <w:rsid w:val="00E7568D"/>
    <w:rsid w:val="00E75770"/>
    <w:rsid w:val="00E75825"/>
    <w:rsid w:val="00E760AF"/>
    <w:rsid w:val="00E76113"/>
    <w:rsid w:val="00E76582"/>
    <w:rsid w:val="00E765CE"/>
    <w:rsid w:val="00E769AE"/>
    <w:rsid w:val="00E76BE5"/>
    <w:rsid w:val="00E76E89"/>
    <w:rsid w:val="00E774FA"/>
    <w:rsid w:val="00E77664"/>
    <w:rsid w:val="00E7779A"/>
    <w:rsid w:val="00E777BE"/>
    <w:rsid w:val="00E802F7"/>
    <w:rsid w:val="00E803EC"/>
    <w:rsid w:val="00E804D1"/>
    <w:rsid w:val="00E806C0"/>
    <w:rsid w:val="00E80A8F"/>
    <w:rsid w:val="00E80DC4"/>
    <w:rsid w:val="00E80FA9"/>
    <w:rsid w:val="00E8123A"/>
    <w:rsid w:val="00E812AF"/>
    <w:rsid w:val="00E81462"/>
    <w:rsid w:val="00E815D5"/>
    <w:rsid w:val="00E8185F"/>
    <w:rsid w:val="00E81C56"/>
    <w:rsid w:val="00E81FC1"/>
    <w:rsid w:val="00E821D6"/>
    <w:rsid w:val="00E82913"/>
    <w:rsid w:val="00E82C62"/>
    <w:rsid w:val="00E82D4B"/>
    <w:rsid w:val="00E82D8A"/>
    <w:rsid w:val="00E82EC3"/>
    <w:rsid w:val="00E82EC5"/>
    <w:rsid w:val="00E83228"/>
    <w:rsid w:val="00E83545"/>
    <w:rsid w:val="00E837CC"/>
    <w:rsid w:val="00E8380F"/>
    <w:rsid w:val="00E838EF"/>
    <w:rsid w:val="00E84491"/>
    <w:rsid w:val="00E84D9F"/>
    <w:rsid w:val="00E84E14"/>
    <w:rsid w:val="00E84E87"/>
    <w:rsid w:val="00E84FC1"/>
    <w:rsid w:val="00E85072"/>
    <w:rsid w:val="00E8514F"/>
    <w:rsid w:val="00E85506"/>
    <w:rsid w:val="00E85AAD"/>
    <w:rsid w:val="00E85D50"/>
    <w:rsid w:val="00E85F5C"/>
    <w:rsid w:val="00E8611B"/>
    <w:rsid w:val="00E86193"/>
    <w:rsid w:val="00E874BE"/>
    <w:rsid w:val="00E87878"/>
    <w:rsid w:val="00E879B0"/>
    <w:rsid w:val="00E87A75"/>
    <w:rsid w:val="00E87D88"/>
    <w:rsid w:val="00E87F03"/>
    <w:rsid w:val="00E90033"/>
    <w:rsid w:val="00E90758"/>
    <w:rsid w:val="00E90839"/>
    <w:rsid w:val="00E90AB2"/>
    <w:rsid w:val="00E90D13"/>
    <w:rsid w:val="00E916F7"/>
    <w:rsid w:val="00E91865"/>
    <w:rsid w:val="00E92128"/>
    <w:rsid w:val="00E923C3"/>
    <w:rsid w:val="00E92618"/>
    <w:rsid w:val="00E926AA"/>
    <w:rsid w:val="00E92D0C"/>
    <w:rsid w:val="00E92E0E"/>
    <w:rsid w:val="00E931D9"/>
    <w:rsid w:val="00E93864"/>
    <w:rsid w:val="00E93C12"/>
    <w:rsid w:val="00E93C9F"/>
    <w:rsid w:val="00E93E07"/>
    <w:rsid w:val="00E93F92"/>
    <w:rsid w:val="00E94108"/>
    <w:rsid w:val="00E9434E"/>
    <w:rsid w:val="00E9479F"/>
    <w:rsid w:val="00E94EF1"/>
    <w:rsid w:val="00E9501E"/>
    <w:rsid w:val="00E9513D"/>
    <w:rsid w:val="00E9523D"/>
    <w:rsid w:val="00E95286"/>
    <w:rsid w:val="00E95A82"/>
    <w:rsid w:val="00E95ACD"/>
    <w:rsid w:val="00E95BEE"/>
    <w:rsid w:val="00E95CF8"/>
    <w:rsid w:val="00E95D9B"/>
    <w:rsid w:val="00E95E6B"/>
    <w:rsid w:val="00E95ED7"/>
    <w:rsid w:val="00E96060"/>
    <w:rsid w:val="00E966DC"/>
    <w:rsid w:val="00E968A8"/>
    <w:rsid w:val="00E96AAC"/>
    <w:rsid w:val="00E96B4A"/>
    <w:rsid w:val="00E96D24"/>
    <w:rsid w:val="00E97039"/>
    <w:rsid w:val="00E9757E"/>
    <w:rsid w:val="00E9770A"/>
    <w:rsid w:val="00E977FF"/>
    <w:rsid w:val="00E97828"/>
    <w:rsid w:val="00E97B6D"/>
    <w:rsid w:val="00EA02C3"/>
    <w:rsid w:val="00EA07B0"/>
    <w:rsid w:val="00EA0808"/>
    <w:rsid w:val="00EA08C6"/>
    <w:rsid w:val="00EA0AB9"/>
    <w:rsid w:val="00EA0BE3"/>
    <w:rsid w:val="00EA0C49"/>
    <w:rsid w:val="00EA0DFE"/>
    <w:rsid w:val="00EA123F"/>
    <w:rsid w:val="00EA1698"/>
    <w:rsid w:val="00EA1831"/>
    <w:rsid w:val="00EA1994"/>
    <w:rsid w:val="00EA1BE2"/>
    <w:rsid w:val="00EA1C8F"/>
    <w:rsid w:val="00EA21FC"/>
    <w:rsid w:val="00EA2311"/>
    <w:rsid w:val="00EA2521"/>
    <w:rsid w:val="00EA2799"/>
    <w:rsid w:val="00EA2A29"/>
    <w:rsid w:val="00EA2C75"/>
    <w:rsid w:val="00EA2EAC"/>
    <w:rsid w:val="00EA3090"/>
    <w:rsid w:val="00EA3561"/>
    <w:rsid w:val="00EA3AF0"/>
    <w:rsid w:val="00EA3ED9"/>
    <w:rsid w:val="00EA3FC9"/>
    <w:rsid w:val="00EA408B"/>
    <w:rsid w:val="00EA40DE"/>
    <w:rsid w:val="00EA4A28"/>
    <w:rsid w:val="00EA4A3B"/>
    <w:rsid w:val="00EA4A5E"/>
    <w:rsid w:val="00EA4B96"/>
    <w:rsid w:val="00EA4C7C"/>
    <w:rsid w:val="00EA4D53"/>
    <w:rsid w:val="00EA4D88"/>
    <w:rsid w:val="00EA4DB6"/>
    <w:rsid w:val="00EA4DD3"/>
    <w:rsid w:val="00EA4F2B"/>
    <w:rsid w:val="00EA5554"/>
    <w:rsid w:val="00EA5660"/>
    <w:rsid w:val="00EA5686"/>
    <w:rsid w:val="00EA59F1"/>
    <w:rsid w:val="00EA5C54"/>
    <w:rsid w:val="00EA6306"/>
    <w:rsid w:val="00EA6421"/>
    <w:rsid w:val="00EA654B"/>
    <w:rsid w:val="00EA6586"/>
    <w:rsid w:val="00EA678E"/>
    <w:rsid w:val="00EA688F"/>
    <w:rsid w:val="00EA6F8A"/>
    <w:rsid w:val="00EA74AB"/>
    <w:rsid w:val="00EA75E5"/>
    <w:rsid w:val="00EA7729"/>
    <w:rsid w:val="00EA773C"/>
    <w:rsid w:val="00EA778E"/>
    <w:rsid w:val="00EA77A3"/>
    <w:rsid w:val="00EA7B6F"/>
    <w:rsid w:val="00EA7D5B"/>
    <w:rsid w:val="00EA7F2C"/>
    <w:rsid w:val="00EA7F4F"/>
    <w:rsid w:val="00EB0431"/>
    <w:rsid w:val="00EB064C"/>
    <w:rsid w:val="00EB07AB"/>
    <w:rsid w:val="00EB0AC8"/>
    <w:rsid w:val="00EB104F"/>
    <w:rsid w:val="00EB15BB"/>
    <w:rsid w:val="00EB163E"/>
    <w:rsid w:val="00EB18B4"/>
    <w:rsid w:val="00EB1A4A"/>
    <w:rsid w:val="00EB1AE2"/>
    <w:rsid w:val="00EB1B3C"/>
    <w:rsid w:val="00EB1E18"/>
    <w:rsid w:val="00EB1FA9"/>
    <w:rsid w:val="00EB1FE5"/>
    <w:rsid w:val="00EB207B"/>
    <w:rsid w:val="00EB20FB"/>
    <w:rsid w:val="00EB2484"/>
    <w:rsid w:val="00EB281F"/>
    <w:rsid w:val="00EB2E8A"/>
    <w:rsid w:val="00EB32E7"/>
    <w:rsid w:val="00EB33EB"/>
    <w:rsid w:val="00EB3A88"/>
    <w:rsid w:val="00EB46FD"/>
    <w:rsid w:val="00EB4703"/>
    <w:rsid w:val="00EB4B97"/>
    <w:rsid w:val="00EB4D32"/>
    <w:rsid w:val="00EB4E30"/>
    <w:rsid w:val="00EB529B"/>
    <w:rsid w:val="00EB576C"/>
    <w:rsid w:val="00EB5779"/>
    <w:rsid w:val="00EB5806"/>
    <w:rsid w:val="00EB5E63"/>
    <w:rsid w:val="00EB6059"/>
    <w:rsid w:val="00EB6143"/>
    <w:rsid w:val="00EB623E"/>
    <w:rsid w:val="00EB62B4"/>
    <w:rsid w:val="00EB649C"/>
    <w:rsid w:val="00EB6665"/>
    <w:rsid w:val="00EB66E5"/>
    <w:rsid w:val="00EB6836"/>
    <w:rsid w:val="00EB6970"/>
    <w:rsid w:val="00EB6A10"/>
    <w:rsid w:val="00EB6AFE"/>
    <w:rsid w:val="00EB6B1D"/>
    <w:rsid w:val="00EB6D71"/>
    <w:rsid w:val="00EB70D6"/>
    <w:rsid w:val="00EB784F"/>
    <w:rsid w:val="00EB78A1"/>
    <w:rsid w:val="00EB7B5C"/>
    <w:rsid w:val="00EC006D"/>
    <w:rsid w:val="00EC008B"/>
    <w:rsid w:val="00EC017F"/>
    <w:rsid w:val="00EC0340"/>
    <w:rsid w:val="00EC047A"/>
    <w:rsid w:val="00EC04AE"/>
    <w:rsid w:val="00EC05AC"/>
    <w:rsid w:val="00EC061B"/>
    <w:rsid w:val="00EC0A40"/>
    <w:rsid w:val="00EC0B77"/>
    <w:rsid w:val="00EC0D0F"/>
    <w:rsid w:val="00EC1448"/>
    <w:rsid w:val="00EC1DD5"/>
    <w:rsid w:val="00EC2CCF"/>
    <w:rsid w:val="00EC317F"/>
    <w:rsid w:val="00EC32D9"/>
    <w:rsid w:val="00EC3636"/>
    <w:rsid w:val="00EC3656"/>
    <w:rsid w:val="00EC3710"/>
    <w:rsid w:val="00EC40FF"/>
    <w:rsid w:val="00EC4B14"/>
    <w:rsid w:val="00EC4C3E"/>
    <w:rsid w:val="00EC4D52"/>
    <w:rsid w:val="00EC4F18"/>
    <w:rsid w:val="00EC52CE"/>
    <w:rsid w:val="00EC5603"/>
    <w:rsid w:val="00EC580F"/>
    <w:rsid w:val="00EC5A1A"/>
    <w:rsid w:val="00EC66D0"/>
    <w:rsid w:val="00EC6867"/>
    <w:rsid w:val="00EC68E1"/>
    <w:rsid w:val="00EC6A02"/>
    <w:rsid w:val="00EC704D"/>
    <w:rsid w:val="00EC767B"/>
    <w:rsid w:val="00EC7A0F"/>
    <w:rsid w:val="00EC7B25"/>
    <w:rsid w:val="00EC7FEA"/>
    <w:rsid w:val="00ED0363"/>
    <w:rsid w:val="00ED039B"/>
    <w:rsid w:val="00ED05B7"/>
    <w:rsid w:val="00ED0B4C"/>
    <w:rsid w:val="00ED0B68"/>
    <w:rsid w:val="00ED0E69"/>
    <w:rsid w:val="00ED11CE"/>
    <w:rsid w:val="00ED157F"/>
    <w:rsid w:val="00ED1711"/>
    <w:rsid w:val="00ED198E"/>
    <w:rsid w:val="00ED1FE6"/>
    <w:rsid w:val="00ED2547"/>
    <w:rsid w:val="00ED2CF3"/>
    <w:rsid w:val="00ED3255"/>
    <w:rsid w:val="00ED32D0"/>
    <w:rsid w:val="00ED39E3"/>
    <w:rsid w:val="00ED3A79"/>
    <w:rsid w:val="00ED3D71"/>
    <w:rsid w:val="00ED3DAE"/>
    <w:rsid w:val="00ED4025"/>
    <w:rsid w:val="00ED42B5"/>
    <w:rsid w:val="00ED46F3"/>
    <w:rsid w:val="00ED491D"/>
    <w:rsid w:val="00ED5218"/>
    <w:rsid w:val="00ED5326"/>
    <w:rsid w:val="00ED5664"/>
    <w:rsid w:val="00ED57AF"/>
    <w:rsid w:val="00ED5BD4"/>
    <w:rsid w:val="00ED5EBB"/>
    <w:rsid w:val="00ED5FD1"/>
    <w:rsid w:val="00ED63F0"/>
    <w:rsid w:val="00ED6477"/>
    <w:rsid w:val="00ED6650"/>
    <w:rsid w:val="00ED6872"/>
    <w:rsid w:val="00ED689F"/>
    <w:rsid w:val="00ED6B4A"/>
    <w:rsid w:val="00ED6FD1"/>
    <w:rsid w:val="00ED7413"/>
    <w:rsid w:val="00ED767A"/>
    <w:rsid w:val="00ED77E6"/>
    <w:rsid w:val="00ED78AF"/>
    <w:rsid w:val="00ED7F63"/>
    <w:rsid w:val="00EE0014"/>
    <w:rsid w:val="00EE047C"/>
    <w:rsid w:val="00EE0747"/>
    <w:rsid w:val="00EE0A36"/>
    <w:rsid w:val="00EE0D98"/>
    <w:rsid w:val="00EE0DBE"/>
    <w:rsid w:val="00EE1117"/>
    <w:rsid w:val="00EE143E"/>
    <w:rsid w:val="00EE18F5"/>
    <w:rsid w:val="00EE1D48"/>
    <w:rsid w:val="00EE1D50"/>
    <w:rsid w:val="00EE1E89"/>
    <w:rsid w:val="00EE20BE"/>
    <w:rsid w:val="00EE2B0A"/>
    <w:rsid w:val="00EE2E5E"/>
    <w:rsid w:val="00EE30BC"/>
    <w:rsid w:val="00EE31F3"/>
    <w:rsid w:val="00EE33A8"/>
    <w:rsid w:val="00EE37AA"/>
    <w:rsid w:val="00EE3BCF"/>
    <w:rsid w:val="00EE3C44"/>
    <w:rsid w:val="00EE3CA4"/>
    <w:rsid w:val="00EE3E69"/>
    <w:rsid w:val="00EE3E6F"/>
    <w:rsid w:val="00EE4029"/>
    <w:rsid w:val="00EE4085"/>
    <w:rsid w:val="00EE40D0"/>
    <w:rsid w:val="00EE418A"/>
    <w:rsid w:val="00EE437B"/>
    <w:rsid w:val="00EE4A40"/>
    <w:rsid w:val="00EE4C94"/>
    <w:rsid w:val="00EE4D2B"/>
    <w:rsid w:val="00EE4EC8"/>
    <w:rsid w:val="00EE4FAF"/>
    <w:rsid w:val="00EE50AE"/>
    <w:rsid w:val="00EE50F9"/>
    <w:rsid w:val="00EE57CB"/>
    <w:rsid w:val="00EE5A42"/>
    <w:rsid w:val="00EE5A4E"/>
    <w:rsid w:val="00EE5BB9"/>
    <w:rsid w:val="00EE5DB8"/>
    <w:rsid w:val="00EE6700"/>
    <w:rsid w:val="00EE6802"/>
    <w:rsid w:val="00EE684E"/>
    <w:rsid w:val="00EE6910"/>
    <w:rsid w:val="00EE699A"/>
    <w:rsid w:val="00EE6AC3"/>
    <w:rsid w:val="00EE6CDD"/>
    <w:rsid w:val="00EE6FE5"/>
    <w:rsid w:val="00EE71FC"/>
    <w:rsid w:val="00EE7415"/>
    <w:rsid w:val="00EE75B7"/>
    <w:rsid w:val="00EE77F4"/>
    <w:rsid w:val="00EE7987"/>
    <w:rsid w:val="00EE7AB5"/>
    <w:rsid w:val="00EF000D"/>
    <w:rsid w:val="00EF0144"/>
    <w:rsid w:val="00EF01B7"/>
    <w:rsid w:val="00EF02CA"/>
    <w:rsid w:val="00EF07FE"/>
    <w:rsid w:val="00EF0BB2"/>
    <w:rsid w:val="00EF1268"/>
    <w:rsid w:val="00EF12D1"/>
    <w:rsid w:val="00EF14F9"/>
    <w:rsid w:val="00EF1590"/>
    <w:rsid w:val="00EF17CF"/>
    <w:rsid w:val="00EF19F2"/>
    <w:rsid w:val="00EF214C"/>
    <w:rsid w:val="00EF2689"/>
    <w:rsid w:val="00EF2729"/>
    <w:rsid w:val="00EF2A7F"/>
    <w:rsid w:val="00EF2CE5"/>
    <w:rsid w:val="00EF344A"/>
    <w:rsid w:val="00EF34CE"/>
    <w:rsid w:val="00EF3BCA"/>
    <w:rsid w:val="00EF3E2C"/>
    <w:rsid w:val="00EF42DC"/>
    <w:rsid w:val="00EF4444"/>
    <w:rsid w:val="00EF4D88"/>
    <w:rsid w:val="00EF4EF0"/>
    <w:rsid w:val="00EF4F86"/>
    <w:rsid w:val="00EF52E7"/>
    <w:rsid w:val="00EF57BF"/>
    <w:rsid w:val="00EF58C9"/>
    <w:rsid w:val="00EF5971"/>
    <w:rsid w:val="00EF5A29"/>
    <w:rsid w:val="00EF5BD7"/>
    <w:rsid w:val="00EF6856"/>
    <w:rsid w:val="00EF6896"/>
    <w:rsid w:val="00EF69D1"/>
    <w:rsid w:val="00EF69E2"/>
    <w:rsid w:val="00EF73F7"/>
    <w:rsid w:val="00EF74DF"/>
    <w:rsid w:val="00EF76A2"/>
    <w:rsid w:val="00EF7701"/>
    <w:rsid w:val="00EF7B0C"/>
    <w:rsid w:val="00EF7C85"/>
    <w:rsid w:val="00EF7EC7"/>
    <w:rsid w:val="00EF7FE6"/>
    <w:rsid w:val="00F00650"/>
    <w:rsid w:val="00F00853"/>
    <w:rsid w:val="00F0097D"/>
    <w:rsid w:val="00F00BBE"/>
    <w:rsid w:val="00F00FEE"/>
    <w:rsid w:val="00F013C8"/>
    <w:rsid w:val="00F0159A"/>
    <w:rsid w:val="00F0184E"/>
    <w:rsid w:val="00F020D5"/>
    <w:rsid w:val="00F021A3"/>
    <w:rsid w:val="00F0223B"/>
    <w:rsid w:val="00F022A7"/>
    <w:rsid w:val="00F026EB"/>
    <w:rsid w:val="00F027E7"/>
    <w:rsid w:val="00F02879"/>
    <w:rsid w:val="00F02D9A"/>
    <w:rsid w:val="00F031BA"/>
    <w:rsid w:val="00F03303"/>
    <w:rsid w:val="00F033DA"/>
    <w:rsid w:val="00F03465"/>
    <w:rsid w:val="00F03B78"/>
    <w:rsid w:val="00F03DF1"/>
    <w:rsid w:val="00F03EAE"/>
    <w:rsid w:val="00F03EC1"/>
    <w:rsid w:val="00F03EF3"/>
    <w:rsid w:val="00F0412F"/>
    <w:rsid w:val="00F0441F"/>
    <w:rsid w:val="00F04495"/>
    <w:rsid w:val="00F04B2D"/>
    <w:rsid w:val="00F04B73"/>
    <w:rsid w:val="00F04D92"/>
    <w:rsid w:val="00F053CF"/>
    <w:rsid w:val="00F054C3"/>
    <w:rsid w:val="00F05872"/>
    <w:rsid w:val="00F05955"/>
    <w:rsid w:val="00F05AE5"/>
    <w:rsid w:val="00F05BA6"/>
    <w:rsid w:val="00F05C40"/>
    <w:rsid w:val="00F05DBD"/>
    <w:rsid w:val="00F05E72"/>
    <w:rsid w:val="00F0606B"/>
    <w:rsid w:val="00F062A8"/>
    <w:rsid w:val="00F06573"/>
    <w:rsid w:val="00F06B19"/>
    <w:rsid w:val="00F06CF3"/>
    <w:rsid w:val="00F076B4"/>
    <w:rsid w:val="00F07712"/>
    <w:rsid w:val="00F07920"/>
    <w:rsid w:val="00F07970"/>
    <w:rsid w:val="00F079D8"/>
    <w:rsid w:val="00F07B9E"/>
    <w:rsid w:val="00F07C97"/>
    <w:rsid w:val="00F07CE3"/>
    <w:rsid w:val="00F07D73"/>
    <w:rsid w:val="00F07F5C"/>
    <w:rsid w:val="00F10155"/>
    <w:rsid w:val="00F1087F"/>
    <w:rsid w:val="00F109C3"/>
    <w:rsid w:val="00F10A76"/>
    <w:rsid w:val="00F10AC3"/>
    <w:rsid w:val="00F10C68"/>
    <w:rsid w:val="00F10D44"/>
    <w:rsid w:val="00F11239"/>
    <w:rsid w:val="00F11E8D"/>
    <w:rsid w:val="00F120CC"/>
    <w:rsid w:val="00F121F8"/>
    <w:rsid w:val="00F12358"/>
    <w:rsid w:val="00F1245B"/>
    <w:rsid w:val="00F1285F"/>
    <w:rsid w:val="00F129A3"/>
    <w:rsid w:val="00F12D26"/>
    <w:rsid w:val="00F12E54"/>
    <w:rsid w:val="00F130A4"/>
    <w:rsid w:val="00F13D3E"/>
    <w:rsid w:val="00F13F52"/>
    <w:rsid w:val="00F141A6"/>
    <w:rsid w:val="00F14331"/>
    <w:rsid w:val="00F14464"/>
    <w:rsid w:val="00F14871"/>
    <w:rsid w:val="00F14A0F"/>
    <w:rsid w:val="00F14AD8"/>
    <w:rsid w:val="00F14C1B"/>
    <w:rsid w:val="00F14EF6"/>
    <w:rsid w:val="00F14FC1"/>
    <w:rsid w:val="00F14FCE"/>
    <w:rsid w:val="00F14FEE"/>
    <w:rsid w:val="00F14FEF"/>
    <w:rsid w:val="00F150E5"/>
    <w:rsid w:val="00F1515A"/>
    <w:rsid w:val="00F152E4"/>
    <w:rsid w:val="00F15339"/>
    <w:rsid w:val="00F15602"/>
    <w:rsid w:val="00F15762"/>
    <w:rsid w:val="00F159E3"/>
    <w:rsid w:val="00F15CAB"/>
    <w:rsid w:val="00F16027"/>
    <w:rsid w:val="00F16156"/>
    <w:rsid w:val="00F1651F"/>
    <w:rsid w:val="00F166FD"/>
    <w:rsid w:val="00F167EC"/>
    <w:rsid w:val="00F16B3D"/>
    <w:rsid w:val="00F16C70"/>
    <w:rsid w:val="00F16C89"/>
    <w:rsid w:val="00F16E26"/>
    <w:rsid w:val="00F16FFA"/>
    <w:rsid w:val="00F17150"/>
    <w:rsid w:val="00F17343"/>
    <w:rsid w:val="00F17861"/>
    <w:rsid w:val="00F17C8E"/>
    <w:rsid w:val="00F17F73"/>
    <w:rsid w:val="00F20438"/>
    <w:rsid w:val="00F209BD"/>
    <w:rsid w:val="00F21290"/>
    <w:rsid w:val="00F21A7E"/>
    <w:rsid w:val="00F21AF2"/>
    <w:rsid w:val="00F21B15"/>
    <w:rsid w:val="00F21DDF"/>
    <w:rsid w:val="00F22063"/>
    <w:rsid w:val="00F220B3"/>
    <w:rsid w:val="00F22117"/>
    <w:rsid w:val="00F22437"/>
    <w:rsid w:val="00F2277F"/>
    <w:rsid w:val="00F22BC7"/>
    <w:rsid w:val="00F22BE2"/>
    <w:rsid w:val="00F22CDD"/>
    <w:rsid w:val="00F22EFA"/>
    <w:rsid w:val="00F234F4"/>
    <w:rsid w:val="00F235D0"/>
    <w:rsid w:val="00F238A8"/>
    <w:rsid w:val="00F23969"/>
    <w:rsid w:val="00F23A1F"/>
    <w:rsid w:val="00F23CF5"/>
    <w:rsid w:val="00F23F1B"/>
    <w:rsid w:val="00F24254"/>
    <w:rsid w:val="00F24852"/>
    <w:rsid w:val="00F24964"/>
    <w:rsid w:val="00F249E5"/>
    <w:rsid w:val="00F24A70"/>
    <w:rsid w:val="00F24C1A"/>
    <w:rsid w:val="00F24F56"/>
    <w:rsid w:val="00F2521D"/>
    <w:rsid w:val="00F25667"/>
    <w:rsid w:val="00F2576F"/>
    <w:rsid w:val="00F258E1"/>
    <w:rsid w:val="00F25CF6"/>
    <w:rsid w:val="00F25E3A"/>
    <w:rsid w:val="00F25F88"/>
    <w:rsid w:val="00F260B5"/>
    <w:rsid w:val="00F263B9"/>
    <w:rsid w:val="00F2671C"/>
    <w:rsid w:val="00F267AE"/>
    <w:rsid w:val="00F269E6"/>
    <w:rsid w:val="00F26B4E"/>
    <w:rsid w:val="00F26F26"/>
    <w:rsid w:val="00F26FD1"/>
    <w:rsid w:val="00F27237"/>
    <w:rsid w:val="00F27580"/>
    <w:rsid w:val="00F275C6"/>
    <w:rsid w:val="00F277E5"/>
    <w:rsid w:val="00F27A2C"/>
    <w:rsid w:val="00F27A68"/>
    <w:rsid w:val="00F27EDD"/>
    <w:rsid w:val="00F27FC5"/>
    <w:rsid w:val="00F30029"/>
    <w:rsid w:val="00F30058"/>
    <w:rsid w:val="00F3017A"/>
    <w:rsid w:val="00F301B5"/>
    <w:rsid w:val="00F30447"/>
    <w:rsid w:val="00F308B6"/>
    <w:rsid w:val="00F30DBD"/>
    <w:rsid w:val="00F30E14"/>
    <w:rsid w:val="00F30ECC"/>
    <w:rsid w:val="00F30F4F"/>
    <w:rsid w:val="00F31004"/>
    <w:rsid w:val="00F31065"/>
    <w:rsid w:val="00F3119B"/>
    <w:rsid w:val="00F313DA"/>
    <w:rsid w:val="00F31420"/>
    <w:rsid w:val="00F319B4"/>
    <w:rsid w:val="00F31B61"/>
    <w:rsid w:val="00F32079"/>
    <w:rsid w:val="00F32450"/>
    <w:rsid w:val="00F32482"/>
    <w:rsid w:val="00F32A11"/>
    <w:rsid w:val="00F32C68"/>
    <w:rsid w:val="00F32E93"/>
    <w:rsid w:val="00F3350D"/>
    <w:rsid w:val="00F335DC"/>
    <w:rsid w:val="00F3382D"/>
    <w:rsid w:val="00F339B3"/>
    <w:rsid w:val="00F339E2"/>
    <w:rsid w:val="00F33BBF"/>
    <w:rsid w:val="00F344D2"/>
    <w:rsid w:val="00F34E9A"/>
    <w:rsid w:val="00F34F64"/>
    <w:rsid w:val="00F34F65"/>
    <w:rsid w:val="00F354D5"/>
    <w:rsid w:val="00F36235"/>
    <w:rsid w:val="00F3625E"/>
    <w:rsid w:val="00F363A1"/>
    <w:rsid w:val="00F36500"/>
    <w:rsid w:val="00F36521"/>
    <w:rsid w:val="00F36AAB"/>
    <w:rsid w:val="00F36E1E"/>
    <w:rsid w:val="00F36EB8"/>
    <w:rsid w:val="00F36F90"/>
    <w:rsid w:val="00F371CD"/>
    <w:rsid w:val="00F37539"/>
    <w:rsid w:val="00F376A8"/>
    <w:rsid w:val="00F3788F"/>
    <w:rsid w:val="00F379EF"/>
    <w:rsid w:val="00F37C06"/>
    <w:rsid w:val="00F37DD0"/>
    <w:rsid w:val="00F400D7"/>
    <w:rsid w:val="00F40754"/>
    <w:rsid w:val="00F40AE1"/>
    <w:rsid w:val="00F410C5"/>
    <w:rsid w:val="00F41197"/>
    <w:rsid w:val="00F41275"/>
    <w:rsid w:val="00F41309"/>
    <w:rsid w:val="00F4190E"/>
    <w:rsid w:val="00F41B87"/>
    <w:rsid w:val="00F41CD3"/>
    <w:rsid w:val="00F41DF4"/>
    <w:rsid w:val="00F41E3D"/>
    <w:rsid w:val="00F420F7"/>
    <w:rsid w:val="00F423FC"/>
    <w:rsid w:val="00F427DE"/>
    <w:rsid w:val="00F42E35"/>
    <w:rsid w:val="00F4307B"/>
    <w:rsid w:val="00F430CF"/>
    <w:rsid w:val="00F4313B"/>
    <w:rsid w:val="00F43193"/>
    <w:rsid w:val="00F43628"/>
    <w:rsid w:val="00F437AD"/>
    <w:rsid w:val="00F4421F"/>
    <w:rsid w:val="00F442E0"/>
    <w:rsid w:val="00F443F6"/>
    <w:rsid w:val="00F44588"/>
    <w:rsid w:val="00F446CF"/>
    <w:rsid w:val="00F44D5A"/>
    <w:rsid w:val="00F45030"/>
    <w:rsid w:val="00F45238"/>
    <w:rsid w:val="00F45355"/>
    <w:rsid w:val="00F453B1"/>
    <w:rsid w:val="00F45D5C"/>
    <w:rsid w:val="00F45F0E"/>
    <w:rsid w:val="00F46104"/>
    <w:rsid w:val="00F46221"/>
    <w:rsid w:val="00F46229"/>
    <w:rsid w:val="00F466D3"/>
    <w:rsid w:val="00F46810"/>
    <w:rsid w:val="00F468EE"/>
    <w:rsid w:val="00F46976"/>
    <w:rsid w:val="00F46A2B"/>
    <w:rsid w:val="00F46BEA"/>
    <w:rsid w:val="00F46CF9"/>
    <w:rsid w:val="00F46E35"/>
    <w:rsid w:val="00F46E63"/>
    <w:rsid w:val="00F46FEF"/>
    <w:rsid w:val="00F47102"/>
    <w:rsid w:val="00F47165"/>
    <w:rsid w:val="00F471CC"/>
    <w:rsid w:val="00F47491"/>
    <w:rsid w:val="00F475FD"/>
    <w:rsid w:val="00F47811"/>
    <w:rsid w:val="00F47ADE"/>
    <w:rsid w:val="00F47B0B"/>
    <w:rsid w:val="00F47C68"/>
    <w:rsid w:val="00F47EF8"/>
    <w:rsid w:val="00F50019"/>
    <w:rsid w:val="00F502EF"/>
    <w:rsid w:val="00F50473"/>
    <w:rsid w:val="00F504A0"/>
    <w:rsid w:val="00F50776"/>
    <w:rsid w:val="00F508D4"/>
    <w:rsid w:val="00F5121D"/>
    <w:rsid w:val="00F516B2"/>
    <w:rsid w:val="00F517ED"/>
    <w:rsid w:val="00F51E95"/>
    <w:rsid w:val="00F521D0"/>
    <w:rsid w:val="00F5232A"/>
    <w:rsid w:val="00F5272E"/>
    <w:rsid w:val="00F52984"/>
    <w:rsid w:val="00F52C76"/>
    <w:rsid w:val="00F530E9"/>
    <w:rsid w:val="00F53468"/>
    <w:rsid w:val="00F535B0"/>
    <w:rsid w:val="00F537A5"/>
    <w:rsid w:val="00F537F7"/>
    <w:rsid w:val="00F5389E"/>
    <w:rsid w:val="00F53DC6"/>
    <w:rsid w:val="00F54154"/>
    <w:rsid w:val="00F550AB"/>
    <w:rsid w:val="00F55347"/>
    <w:rsid w:val="00F55741"/>
    <w:rsid w:val="00F557B4"/>
    <w:rsid w:val="00F55891"/>
    <w:rsid w:val="00F558AB"/>
    <w:rsid w:val="00F55B7A"/>
    <w:rsid w:val="00F55C42"/>
    <w:rsid w:val="00F55CBB"/>
    <w:rsid w:val="00F5617B"/>
    <w:rsid w:val="00F56382"/>
    <w:rsid w:val="00F568A5"/>
    <w:rsid w:val="00F56D3E"/>
    <w:rsid w:val="00F56D4C"/>
    <w:rsid w:val="00F56F13"/>
    <w:rsid w:val="00F57049"/>
    <w:rsid w:val="00F5710B"/>
    <w:rsid w:val="00F572B8"/>
    <w:rsid w:val="00F57465"/>
    <w:rsid w:val="00F57784"/>
    <w:rsid w:val="00F578E1"/>
    <w:rsid w:val="00F57D38"/>
    <w:rsid w:val="00F57DCE"/>
    <w:rsid w:val="00F600CE"/>
    <w:rsid w:val="00F60353"/>
    <w:rsid w:val="00F6044D"/>
    <w:rsid w:val="00F60518"/>
    <w:rsid w:val="00F605E4"/>
    <w:rsid w:val="00F607EB"/>
    <w:rsid w:val="00F608F3"/>
    <w:rsid w:val="00F609C9"/>
    <w:rsid w:val="00F60AE2"/>
    <w:rsid w:val="00F60BBC"/>
    <w:rsid w:val="00F60FAC"/>
    <w:rsid w:val="00F610A7"/>
    <w:rsid w:val="00F611D6"/>
    <w:rsid w:val="00F61310"/>
    <w:rsid w:val="00F6131D"/>
    <w:rsid w:val="00F618B9"/>
    <w:rsid w:val="00F61AEB"/>
    <w:rsid w:val="00F61D5D"/>
    <w:rsid w:val="00F61EC1"/>
    <w:rsid w:val="00F61F36"/>
    <w:rsid w:val="00F61FBC"/>
    <w:rsid w:val="00F620F8"/>
    <w:rsid w:val="00F62299"/>
    <w:rsid w:val="00F62303"/>
    <w:rsid w:val="00F62387"/>
    <w:rsid w:val="00F6241E"/>
    <w:rsid w:val="00F62433"/>
    <w:rsid w:val="00F625EC"/>
    <w:rsid w:val="00F62617"/>
    <w:rsid w:val="00F629CA"/>
    <w:rsid w:val="00F62C5E"/>
    <w:rsid w:val="00F634BE"/>
    <w:rsid w:val="00F63891"/>
    <w:rsid w:val="00F64028"/>
    <w:rsid w:val="00F64029"/>
    <w:rsid w:val="00F64295"/>
    <w:rsid w:val="00F6434D"/>
    <w:rsid w:val="00F645F8"/>
    <w:rsid w:val="00F6482D"/>
    <w:rsid w:val="00F64B9E"/>
    <w:rsid w:val="00F64CF2"/>
    <w:rsid w:val="00F64F33"/>
    <w:rsid w:val="00F64FF8"/>
    <w:rsid w:val="00F65316"/>
    <w:rsid w:val="00F653E4"/>
    <w:rsid w:val="00F659ED"/>
    <w:rsid w:val="00F65BBF"/>
    <w:rsid w:val="00F65BEB"/>
    <w:rsid w:val="00F660A0"/>
    <w:rsid w:val="00F6628B"/>
    <w:rsid w:val="00F66606"/>
    <w:rsid w:val="00F6685A"/>
    <w:rsid w:val="00F66884"/>
    <w:rsid w:val="00F668F2"/>
    <w:rsid w:val="00F66DDE"/>
    <w:rsid w:val="00F66E7C"/>
    <w:rsid w:val="00F66F57"/>
    <w:rsid w:val="00F67672"/>
    <w:rsid w:val="00F676FF"/>
    <w:rsid w:val="00F6771E"/>
    <w:rsid w:val="00F67880"/>
    <w:rsid w:val="00F67A8E"/>
    <w:rsid w:val="00F67ABE"/>
    <w:rsid w:val="00F67BC7"/>
    <w:rsid w:val="00F67EAD"/>
    <w:rsid w:val="00F70152"/>
    <w:rsid w:val="00F70401"/>
    <w:rsid w:val="00F706A7"/>
    <w:rsid w:val="00F707E3"/>
    <w:rsid w:val="00F70832"/>
    <w:rsid w:val="00F70ADB"/>
    <w:rsid w:val="00F70BCA"/>
    <w:rsid w:val="00F70ECA"/>
    <w:rsid w:val="00F71528"/>
    <w:rsid w:val="00F71AC2"/>
    <w:rsid w:val="00F71B4D"/>
    <w:rsid w:val="00F71F77"/>
    <w:rsid w:val="00F720C7"/>
    <w:rsid w:val="00F723B9"/>
    <w:rsid w:val="00F7269C"/>
    <w:rsid w:val="00F726DB"/>
    <w:rsid w:val="00F7272D"/>
    <w:rsid w:val="00F7294E"/>
    <w:rsid w:val="00F72A46"/>
    <w:rsid w:val="00F72FC7"/>
    <w:rsid w:val="00F731B0"/>
    <w:rsid w:val="00F7375B"/>
    <w:rsid w:val="00F73DCD"/>
    <w:rsid w:val="00F73F57"/>
    <w:rsid w:val="00F74176"/>
    <w:rsid w:val="00F743A5"/>
    <w:rsid w:val="00F745B4"/>
    <w:rsid w:val="00F74853"/>
    <w:rsid w:val="00F7486C"/>
    <w:rsid w:val="00F748BA"/>
    <w:rsid w:val="00F74A3D"/>
    <w:rsid w:val="00F74EA4"/>
    <w:rsid w:val="00F7508A"/>
    <w:rsid w:val="00F75230"/>
    <w:rsid w:val="00F759A6"/>
    <w:rsid w:val="00F75F75"/>
    <w:rsid w:val="00F7677F"/>
    <w:rsid w:val="00F76FE6"/>
    <w:rsid w:val="00F7706B"/>
    <w:rsid w:val="00F772B3"/>
    <w:rsid w:val="00F77484"/>
    <w:rsid w:val="00F77668"/>
    <w:rsid w:val="00F777D8"/>
    <w:rsid w:val="00F77B84"/>
    <w:rsid w:val="00F77D59"/>
    <w:rsid w:val="00F77EA3"/>
    <w:rsid w:val="00F77F34"/>
    <w:rsid w:val="00F8014C"/>
    <w:rsid w:val="00F8018B"/>
    <w:rsid w:val="00F80298"/>
    <w:rsid w:val="00F80538"/>
    <w:rsid w:val="00F80A74"/>
    <w:rsid w:val="00F8107C"/>
    <w:rsid w:val="00F810ED"/>
    <w:rsid w:val="00F815A6"/>
    <w:rsid w:val="00F818F5"/>
    <w:rsid w:val="00F81B09"/>
    <w:rsid w:val="00F81BF7"/>
    <w:rsid w:val="00F81F38"/>
    <w:rsid w:val="00F82050"/>
    <w:rsid w:val="00F824E0"/>
    <w:rsid w:val="00F82905"/>
    <w:rsid w:val="00F82AB6"/>
    <w:rsid w:val="00F82B47"/>
    <w:rsid w:val="00F831D7"/>
    <w:rsid w:val="00F8356F"/>
    <w:rsid w:val="00F836FC"/>
    <w:rsid w:val="00F83D32"/>
    <w:rsid w:val="00F83F14"/>
    <w:rsid w:val="00F83F1E"/>
    <w:rsid w:val="00F83F8E"/>
    <w:rsid w:val="00F83FBE"/>
    <w:rsid w:val="00F84003"/>
    <w:rsid w:val="00F8404C"/>
    <w:rsid w:val="00F840F5"/>
    <w:rsid w:val="00F843A2"/>
    <w:rsid w:val="00F843AE"/>
    <w:rsid w:val="00F8466D"/>
    <w:rsid w:val="00F847FC"/>
    <w:rsid w:val="00F84B34"/>
    <w:rsid w:val="00F84C5D"/>
    <w:rsid w:val="00F84FE8"/>
    <w:rsid w:val="00F8533C"/>
    <w:rsid w:val="00F8563C"/>
    <w:rsid w:val="00F85693"/>
    <w:rsid w:val="00F85831"/>
    <w:rsid w:val="00F85A3A"/>
    <w:rsid w:val="00F85BAC"/>
    <w:rsid w:val="00F85C56"/>
    <w:rsid w:val="00F85F7C"/>
    <w:rsid w:val="00F86901"/>
    <w:rsid w:val="00F86C2B"/>
    <w:rsid w:val="00F874AC"/>
    <w:rsid w:val="00F87873"/>
    <w:rsid w:val="00F878FD"/>
    <w:rsid w:val="00F879FE"/>
    <w:rsid w:val="00F87BE7"/>
    <w:rsid w:val="00F87C96"/>
    <w:rsid w:val="00F87CBF"/>
    <w:rsid w:val="00F87FCA"/>
    <w:rsid w:val="00F87FDF"/>
    <w:rsid w:val="00F90018"/>
    <w:rsid w:val="00F90114"/>
    <w:rsid w:val="00F90149"/>
    <w:rsid w:val="00F903D2"/>
    <w:rsid w:val="00F90414"/>
    <w:rsid w:val="00F905D1"/>
    <w:rsid w:val="00F905FA"/>
    <w:rsid w:val="00F90646"/>
    <w:rsid w:val="00F90733"/>
    <w:rsid w:val="00F90AE4"/>
    <w:rsid w:val="00F90B82"/>
    <w:rsid w:val="00F90E53"/>
    <w:rsid w:val="00F90F12"/>
    <w:rsid w:val="00F912AC"/>
    <w:rsid w:val="00F913A2"/>
    <w:rsid w:val="00F91590"/>
    <w:rsid w:val="00F916F3"/>
    <w:rsid w:val="00F918BF"/>
    <w:rsid w:val="00F9191C"/>
    <w:rsid w:val="00F91A03"/>
    <w:rsid w:val="00F92046"/>
    <w:rsid w:val="00F92172"/>
    <w:rsid w:val="00F922B0"/>
    <w:rsid w:val="00F923E1"/>
    <w:rsid w:val="00F9311E"/>
    <w:rsid w:val="00F93A29"/>
    <w:rsid w:val="00F93A6D"/>
    <w:rsid w:val="00F93D83"/>
    <w:rsid w:val="00F94401"/>
    <w:rsid w:val="00F944D6"/>
    <w:rsid w:val="00F94581"/>
    <w:rsid w:val="00F946A7"/>
    <w:rsid w:val="00F954D6"/>
    <w:rsid w:val="00F955AE"/>
    <w:rsid w:val="00F95B61"/>
    <w:rsid w:val="00F95E2B"/>
    <w:rsid w:val="00F9671E"/>
    <w:rsid w:val="00F969E5"/>
    <w:rsid w:val="00F9734C"/>
    <w:rsid w:val="00F973EA"/>
    <w:rsid w:val="00F97584"/>
    <w:rsid w:val="00F97866"/>
    <w:rsid w:val="00F9788E"/>
    <w:rsid w:val="00F979DC"/>
    <w:rsid w:val="00F97B8D"/>
    <w:rsid w:val="00F97EB9"/>
    <w:rsid w:val="00F97EC8"/>
    <w:rsid w:val="00FA014E"/>
    <w:rsid w:val="00FA0411"/>
    <w:rsid w:val="00FA0A30"/>
    <w:rsid w:val="00FA0AE1"/>
    <w:rsid w:val="00FA0BF6"/>
    <w:rsid w:val="00FA0E74"/>
    <w:rsid w:val="00FA1158"/>
    <w:rsid w:val="00FA1586"/>
    <w:rsid w:val="00FA1623"/>
    <w:rsid w:val="00FA17F8"/>
    <w:rsid w:val="00FA22A3"/>
    <w:rsid w:val="00FA24FA"/>
    <w:rsid w:val="00FA2598"/>
    <w:rsid w:val="00FA26FC"/>
    <w:rsid w:val="00FA27C9"/>
    <w:rsid w:val="00FA28FA"/>
    <w:rsid w:val="00FA2DF6"/>
    <w:rsid w:val="00FA3337"/>
    <w:rsid w:val="00FA35ED"/>
    <w:rsid w:val="00FA3BEF"/>
    <w:rsid w:val="00FA3D2F"/>
    <w:rsid w:val="00FA3D98"/>
    <w:rsid w:val="00FA3DCE"/>
    <w:rsid w:val="00FA3ED0"/>
    <w:rsid w:val="00FA4554"/>
    <w:rsid w:val="00FA4603"/>
    <w:rsid w:val="00FA4D5B"/>
    <w:rsid w:val="00FA4E51"/>
    <w:rsid w:val="00FA534E"/>
    <w:rsid w:val="00FA56AD"/>
    <w:rsid w:val="00FA58C2"/>
    <w:rsid w:val="00FA5DCF"/>
    <w:rsid w:val="00FA5EC7"/>
    <w:rsid w:val="00FA61A0"/>
    <w:rsid w:val="00FA6217"/>
    <w:rsid w:val="00FA6242"/>
    <w:rsid w:val="00FA62E8"/>
    <w:rsid w:val="00FA633B"/>
    <w:rsid w:val="00FA65C6"/>
    <w:rsid w:val="00FA6722"/>
    <w:rsid w:val="00FA67FA"/>
    <w:rsid w:val="00FA6A16"/>
    <w:rsid w:val="00FA6A98"/>
    <w:rsid w:val="00FA6BAB"/>
    <w:rsid w:val="00FA6E69"/>
    <w:rsid w:val="00FA6F97"/>
    <w:rsid w:val="00FA7021"/>
    <w:rsid w:val="00FA70C0"/>
    <w:rsid w:val="00FA74C1"/>
    <w:rsid w:val="00FA7553"/>
    <w:rsid w:val="00FA75E7"/>
    <w:rsid w:val="00FA77A6"/>
    <w:rsid w:val="00FA78BE"/>
    <w:rsid w:val="00FA79A2"/>
    <w:rsid w:val="00FA7C31"/>
    <w:rsid w:val="00FA7C5C"/>
    <w:rsid w:val="00FB043C"/>
    <w:rsid w:val="00FB054B"/>
    <w:rsid w:val="00FB0809"/>
    <w:rsid w:val="00FB0A4B"/>
    <w:rsid w:val="00FB0B27"/>
    <w:rsid w:val="00FB0BC9"/>
    <w:rsid w:val="00FB0EC5"/>
    <w:rsid w:val="00FB1023"/>
    <w:rsid w:val="00FB1112"/>
    <w:rsid w:val="00FB116E"/>
    <w:rsid w:val="00FB1845"/>
    <w:rsid w:val="00FB1AFD"/>
    <w:rsid w:val="00FB1E2E"/>
    <w:rsid w:val="00FB1FBA"/>
    <w:rsid w:val="00FB231A"/>
    <w:rsid w:val="00FB2415"/>
    <w:rsid w:val="00FB25D8"/>
    <w:rsid w:val="00FB283B"/>
    <w:rsid w:val="00FB2E90"/>
    <w:rsid w:val="00FB34DB"/>
    <w:rsid w:val="00FB35B0"/>
    <w:rsid w:val="00FB393F"/>
    <w:rsid w:val="00FB3A66"/>
    <w:rsid w:val="00FB3C4F"/>
    <w:rsid w:val="00FB432D"/>
    <w:rsid w:val="00FB4395"/>
    <w:rsid w:val="00FB4B81"/>
    <w:rsid w:val="00FB51E8"/>
    <w:rsid w:val="00FB51F5"/>
    <w:rsid w:val="00FB538E"/>
    <w:rsid w:val="00FB54CE"/>
    <w:rsid w:val="00FB5926"/>
    <w:rsid w:val="00FB5AEC"/>
    <w:rsid w:val="00FB5CC1"/>
    <w:rsid w:val="00FB5E6F"/>
    <w:rsid w:val="00FB606D"/>
    <w:rsid w:val="00FB619F"/>
    <w:rsid w:val="00FB658A"/>
    <w:rsid w:val="00FB6BD4"/>
    <w:rsid w:val="00FB6D64"/>
    <w:rsid w:val="00FB7065"/>
    <w:rsid w:val="00FB709D"/>
    <w:rsid w:val="00FB744F"/>
    <w:rsid w:val="00FB7C4B"/>
    <w:rsid w:val="00FB7D8A"/>
    <w:rsid w:val="00FB7DC0"/>
    <w:rsid w:val="00FB7F53"/>
    <w:rsid w:val="00FC0124"/>
    <w:rsid w:val="00FC02A3"/>
    <w:rsid w:val="00FC0770"/>
    <w:rsid w:val="00FC0919"/>
    <w:rsid w:val="00FC0C06"/>
    <w:rsid w:val="00FC0DAA"/>
    <w:rsid w:val="00FC0DD1"/>
    <w:rsid w:val="00FC0E44"/>
    <w:rsid w:val="00FC127C"/>
    <w:rsid w:val="00FC14F4"/>
    <w:rsid w:val="00FC1ACE"/>
    <w:rsid w:val="00FC1B9D"/>
    <w:rsid w:val="00FC2187"/>
    <w:rsid w:val="00FC21AF"/>
    <w:rsid w:val="00FC246F"/>
    <w:rsid w:val="00FC2624"/>
    <w:rsid w:val="00FC2CEA"/>
    <w:rsid w:val="00FC2D57"/>
    <w:rsid w:val="00FC3148"/>
    <w:rsid w:val="00FC351B"/>
    <w:rsid w:val="00FC3717"/>
    <w:rsid w:val="00FC3749"/>
    <w:rsid w:val="00FC3A8D"/>
    <w:rsid w:val="00FC465A"/>
    <w:rsid w:val="00FC467A"/>
    <w:rsid w:val="00FC47BC"/>
    <w:rsid w:val="00FC493D"/>
    <w:rsid w:val="00FC4989"/>
    <w:rsid w:val="00FC49D3"/>
    <w:rsid w:val="00FC4DB7"/>
    <w:rsid w:val="00FC4E22"/>
    <w:rsid w:val="00FC5037"/>
    <w:rsid w:val="00FC51F4"/>
    <w:rsid w:val="00FC56F1"/>
    <w:rsid w:val="00FC59EF"/>
    <w:rsid w:val="00FC5A7E"/>
    <w:rsid w:val="00FC5D10"/>
    <w:rsid w:val="00FC60C2"/>
    <w:rsid w:val="00FC62C3"/>
    <w:rsid w:val="00FC6702"/>
    <w:rsid w:val="00FC6B25"/>
    <w:rsid w:val="00FC6EC1"/>
    <w:rsid w:val="00FC74E9"/>
    <w:rsid w:val="00FC756D"/>
    <w:rsid w:val="00FC7D79"/>
    <w:rsid w:val="00FD0196"/>
    <w:rsid w:val="00FD09BA"/>
    <w:rsid w:val="00FD0B9B"/>
    <w:rsid w:val="00FD0F5B"/>
    <w:rsid w:val="00FD0FC1"/>
    <w:rsid w:val="00FD131C"/>
    <w:rsid w:val="00FD135F"/>
    <w:rsid w:val="00FD1929"/>
    <w:rsid w:val="00FD1D22"/>
    <w:rsid w:val="00FD1F48"/>
    <w:rsid w:val="00FD228A"/>
    <w:rsid w:val="00FD2E26"/>
    <w:rsid w:val="00FD321C"/>
    <w:rsid w:val="00FD35F8"/>
    <w:rsid w:val="00FD36BB"/>
    <w:rsid w:val="00FD3B99"/>
    <w:rsid w:val="00FD3EFA"/>
    <w:rsid w:val="00FD3FBB"/>
    <w:rsid w:val="00FD40B3"/>
    <w:rsid w:val="00FD4502"/>
    <w:rsid w:val="00FD463F"/>
    <w:rsid w:val="00FD4767"/>
    <w:rsid w:val="00FD4BBE"/>
    <w:rsid w:val="00FD4D10"/>
    <w:rsid w:val="00FD4E8E"/>
    <w:rsid w:val="00FD4FC0"/>
    <w:rsid w:val="00FD518F"/>
    <w:rsid w:val="00FD52CB"/>
    <w:rsid w:val="00FD563E"/>
    <w:rsid w:val="00FD56D5"/>
    <w:rsid w:val="00FD5ECC"/>
    <w:rsid w:val="00FD60D4"/>
    <w:rsid w:val="00FD64FC"/>
    <w:rsid w:val="00FD6949"/>
    <w:rsid w:val="00FD6CA4"/>
    <w:rsid w:val="00FD7189"/>
    <w:rsid w:val="00FD7200"/>
    <w:rsid w:val="00FD73CA"/>
    <w:rsid w:val="00FD783C"/>
    <w:rsid w:val="00FD7FDC"/>
    <w:rsid w:val="00FE004E"/>
    <w:rsid w:val="00FE01E3"/>
    <w:rsid w:val="00FE044F"/>
    <w:rsid w:val="00FE04B3"/>
    <w:rsid w:val="00FE064E"/>
    <w:rsid w:val="00FE068E"/>
    <w:rsid w:val="00FE09EB"/>
    <w:rsid w:val="00FE0A52"/>
    <w:rsid w:val="00FE0B79"/>
    <w:rsid w:val="00FE0BDB"/>
    <w:rsid w:val="00FE0CA6"/>
    <w:rsid w:val="00FE0D16"/>
    <w:rsid w:val="00FE126B"/>
    <w:rsid w:val="00FE131A"/>
    <w:rsid w:val="00FE13E4"/>
    <w:rsid w:val="00FE140F"/>
    <w:rsid w:val="00FE141E"/>
    <w:rsid w:val="00FE1456"/>
    <w:rsid w:val="00FE15A2"/>
    <w:rsid w:val="00FE15E7"/>
    <w:rsid w:val="00FE1674"/>
    <w:rsid w:val="00FE17D6"/>
    <w:rsid w:val="00FE1A2C"/>
    <w:rsid w:val="00FE1B1B"/>
    <w:rsid w:val="00FE1C57"/>
    <w:rsid w:val="00FE270C"/>
    <w:rsid w:val="00FE2BD9"/>
    <w:rsid w:val="00FE2C86"/>
    <w:rsid w:val="00FE2E8D"/>
    <w:rsid w:val="00FE2F9B"/>
    <w:rsid w:val="00FE33AA"/>
    <w:rsid w:val="00FE3C6C"/>
    <w:rsid w:val="00FE3CC6"/>
    <w:rsid w:val="00FE3D3B"/>
    <w:rsid w:val="00FE3DB4"/>
    <w:rsid w:val="00FE3DED"/>
    <w:rsid w:val="00FE4095"/>
    <w:rsid w:val="00FE41AB"/>
    <w:rsid w:val="00FE42CB"/>
    <w:rsid w:val="00FE4304"/>
    <w:rsid w:val="00FE43EC"/>
    <w:rsid w:val="00FE45B5"/>
    <w:rsid w:val="00FE4663"/>
    <w:rsid w:val="00FE47FE"/>
    <w:rsid w:val="00FE505B"/>
    <w:rsid w:val="00FE5207"/>
    <w:rsid w:val="00FE54B2"/>
    <w:rsid w:val="00FE5776"/>
    <w:rsid w:val="00FE5C08"/>
    <w:rsid w:val="00FE5C36"/>
    <w:rsid w:val="00FE5DAF"/>
    <w:rsid w:val="00FE6040"/>
    <w:rsid w:val="00FE66A8"/>
    <w:rsid w:val="00FE6C88"/>
    <w:rsid w:val="00FE7207"/>
    <w:rsid w:val="00FE741C"/>
    <w:rsid w:val="00FE7B84"/>
    <w:rsid w:val="00FF0222"/>
    <w:rsid w:val="00FF0662"/>
    <w:rsid w:val="00FF0936"/>
    <w:rsid w:val="00FF0FC2"/>
    <w:rsid w:val="00FF19A7"/>
    <w:rsid w:val="00FF1D72"/>
    <w:rsid w:val="00FF1F5E"/>
    <w:rsid w:val="00FF2707"/>
    <w:rsid w:val="00FF286E"/>
    <w:rsid w:val="00FF29A0"/>
    <w:rsid w:val="00FF2DD1"/>
    <w:rsid w:val="00FF300C"/>
    <w:rsid w:val="00FF3020"/>
    <w:rsid w:val="00FF3B49"/>
    <w:rsid w:val="00FF3C2F"/>
    <w:rsid w:val="00FF4600"/>
    <w:rsid w:val="00FF4A96"/>
    <w:rsid w:val="00FF4C34"/>
    <w:rsid w:val="00FF5618"/>
    <w:rsid w:val="00FF57DB"/>
    <w:rsid w:val="00FF5851"/>
    <w:rsid w:val="00FF5B82"/>
    <w:rsid w:val="00FF5C21"/>
    <w:rsid w:val="00FF5CB3"/>
    <w:rsid w:val="00FF5EB1"/>
    <w:rsid w:val="00FF62FF"/>
    <w:rsid w:val="00FF648F"/>
    <w:rsid w:val="00FF649D"/>
    <w:rsid w:val="00FF67DA"/>
    <w:rsid w:val="00FF6AA7"/>
    <w:rsid w:val="00FF6B82"/>
    <w:rsid w:val="00FF6B8F"/>
    <w:rsid w:val="00FF7134"/>
    <w:rsid w:val="00FF716F"/>
    <w:rsid w:val="00FF73F5"/>
    <w:rsid w:val="00FF7671"/>
    <w:rsid w:val="00FF7A2A"/>
    <w:rsid w:val="00FF7A5E"/>
    <w:rsid w:val="00FF7E35"/>
    <w:rsid w:val="014D5B92"/>
    <w:rsid w:val="0308337C"/>
    <w:rsid w:val="05505BF3"/>
    <w:rsid w:val="057D6CC9"/>
    <w:rsid w:val="05EE31D6"/>
    <w:rsid w:val="064B71AA"/>
    <w:rsid w:val="0A105E86"/>
    <w:rsid w:val="0A2E49CA"/>
    <w:rsid w:val="0D5D0018"/>
    <w:rsid w:val="0EAF7F89"/>
    <w:rsid w:val="12225015"/>
    <w:rsid w:val="12A52EDE"/>
    <w:rsid w:val="13F81443"/>
    <w:rsid w:val="176F1C2A"/>
    <w:rsid w:val="177C1D1A"/>
    <w:rsid w:val="182C5250"/>
    <w:rsid w:val="1AD14DD3"/>
    <w:rsid w:val="1B4D6260"/>
    <w:rsid w:val="1C0A38EF"/>
    <w:rsid w:val="1C2B655C"/>
    <w:rsid w:val="1CC57360"/>
    <w:rsid w:val="1E7A2C6F"/>
    <w:rsid w:val="200B3333"/>
    <w:rsid w:val="207E069D"/>
    <w:rsid w:val="20CB2ED1"/>
    <w:rsid w:val="22516C37"/>
    <w:rsid w:val="228C7DBD"/>
    <w:rsid w:val="242D455C"/>
    <w:rsid w:val="27243538"/>
    <w:rsid w:val="29583A35"/>
    <w:rsid w:val="2B5311A0"/>
    <w:rsid w:val="2BD32BB8"/>
    <w:rsid w:val="2FB53144"/>
    <w:rsid w:val="300264A9"/>
    <w:rsid w:val="312D7088"/>
    <w:rsid w:val="34A8376D"/>
    <w:rsid w:val="34EB5D5A"/>
    <w:rsid w:val="38653A79"/>
    <w:rsid w:val="38815554"/>
    <w:rsid w:val="38EC13AB"/>
    <w:rsid w:val="39DD33D0"/>
    <w:rsid w:val="3A1763DB"/>
    <w:rsid w:val="3B141529"/>
    <w:rsid w:val="3BA00460"/>
    <w:rsid w:val="3C091108"/>
    <w:rsid w:val="3E361085"/>
    <w:rsid w:val="41A2038B"/>
    <w:rsid w:val="41EB2362"/>
    <w:rsid w:val="421E023C"/>
    <w:rsid w:val="4245607A"/>
    <w:rsid w:val="42883C37"/>
    <w:rsid w:val="43ED30B9"/>
    <w:rsid w:val="44CC5E51"/>
    <w:rsid w:val="47702DBC"/>
    <w:rsid w:val="47FA2CE5"/>
    <w:rsid w:val="4E541906"/>
    <w:rsid w:val="4E6F1A3E"/>
    <w:rsid w:val="512B7338"/>
    <w:rsid w:val="52D41430"/>
    <w:rsid w:val="55080F4E"/>
    <w:rsid w:val="5B203F85"/>
    <w:rsid w:val="5DD71A06"/>
    <w:rsid w:val="5EE80F55"/>
    <w:rsid w:val="61F35773"/>
    <w:rsid w:val="63711308"/>
    <w:rsid w:val="63826860"/>
    <w:rsid w:val="6BFC5C72"/>
    <w:rsid w:val="6E682A10"/>
    <w:rsid w:val="6FAA46CC"/>
    <w:rsid w:val="731D6723"/>
    <w:rsid w:val="735D0BD3"/>
    <w:rsid w:val="742A654A"/>
    <w:rsid w:val="7A0A067C"/>
    <w:rsid w:val="7A9F24BA"/>
    <w:rsid w:val="7CA56AE4"/>
    <w:rsid w:val="7EBE145E"/>
    <w:rsid w:val="7F56286B"/>
    <w:rsid w:val="7F8C0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99" w:semiHidden="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7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04"/>
    <w:unhideWhenUsed/>
    <w:qFormat/>
    <w:uiPriority w:val="0"/>
    <w:pPr>
      <w:keepNext/>
      <w:keepLines/>
      <w:spacing w:before="260" w:after="260" w:line="416" w:lineRule="auto"/>
      <w:outlineLvl w:val="1"/>
    </w:pPr>
    <w:rPr>
      <w:rFonts w:ascii="Calibri Light" w:hAnsi="Calibri Light"/>
      <w:b/>
      <w:bCs/>
      <w:sz w:val="32"/>
      <w:szCs w:val="32"/>
    </w:rPr>
  </w:style>
  <w:style w:type="paragraph" w:styleId="6">
    <w:name w:val="heading 3"/>
    <w:basedOn w:val="1"/>
    <w:next w:val="1"/>
    <w:link w:val="45"/>
    <w:qFormat/>
    <w:uiPriority w:val="9"/>
    <w:pPr>
      <w:keepNext/>
      <w:keepLines/>
      <w:spacing w:before="260" w:after="260" w:line="416" w:lineRule="auto"/>
      <w:outlineLvl w:val="2"/>
    </w:pPr>
    <w:rPr>
      <w:b/>
      <w:bCs/>
      <w:sz w:val="32"/>
      <w:szCs w:val="32"/>
    </w:rPr>
  </w:style>
  <w:style w:type="paragraph" w:styleId="7">
    <w:name w:val="heading 4"/>
    <w:basedOn w:val="1"/>
    <w:next w:val="8"/>
    <w:link w:val="65"/>
    <w:qFormat/>
    <w:uiPriority w:val="99"/>
    <w:pPr>
      <w:keepNext/>
      <w:keepLines/>
      <w:tabs>
        <w:tab w:val="left" w:pos="851"/>
      </w:tabs>
      <w:spacing w:before="120"/>
      <w:ind w:left="851" w:hanging="563"/>
      <w:jc w:val="center"/>
      <w:outlineLvl w:val="3"/>
    </w:pPr>
    <w:rPr>
      <w:rFonts w:ascii="Arial" w:hAnsi="Arial" w:eastAsia="仿宋_GB2312"/>
      <w:b/>
      <w:sz w:val="24"/>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11"/>
    <w:qFormat/>
    <w:uiPriority w:val="0"/>
    <w:pPr>
      <w:ind w:firstLine="420" w:firstLineChars="200"/>
    </w:pPr>
    <w:rPr>
      <w:rFonts w:ascii="Times New Roman" w:hAnsi="Times New Roman"/>
    </w:rPr>
  </w:style>
  <w:style w:type="paragraph" w:styleId="3">
    <w:name w:val="Body Text Indent"/>
    <w:basedOn w:val="1"/>
    <w:link w:val="69"/>
    <w:qFormat/>
    <w:uiPriority w:val="99"/>
    <w:pPr>
      <w:spacing w:after="120"/>
      <w:ind w:left="420" w:leftChars="200"/>
    </w:pPr>
  </w:style>
  <w:style w:type="paragraph" w:styleId="8">
    <w:name w:val="Normal Indent"/>
    <w:basedOn w:val="1"/>
    <w:link w:val="55"/>
    <w:qFormat/>
    <w:uiPriority w:val="0"/>
    <w:pPr>
      <w:ind w:firstLine="420" w:firstLineChars="200"/>
    </w:pPr>
    <w:rPr>
      <w:sz w:val="24"/>
      <w:szCs w:val="20"/>
    </w:rPr>
  </w:style>
  <w:style w:type="paragraph" w:styleId="9">
    <w:name w:val="toc 7"/>
    <w:basedOn w:val="1"/>
    <w:next w:val="1"/>
    <w:unhideWhenUsed/>
    <w:qFormat/>
    <w:uiPriority w:val="39"/>
    <w:pPr>
      <w:ind w:left="1260"/>
      <w:jc w:val="left"/>
    </w:pPr>
    <w:rPr>
      <w:rFonts w:cs="Calibri"/>
      <w:sz w:val="20"/>
      <w:szCs w:val="20"/>
    </w:rPr>
  </w:style>
  <w:style w:type="paragraph" w:styleId="10">
    <w:name w:val="caption"/>
    <w:basedOn w:val="1"/>
    <w:next w:val="1"/>
    <w:qFormat/>
    <w:uiPriority w:val="0"/>
    <w:pPr>
      <w:jc w:val="center"/>
    </w:pPr>
    <w:rPr>
      <w:rFonts w:ascii="Arial" w:hAnsi="Arial" w:eastAsia="楷体"/>
      <w:sz w:val="24"/>
      <w:szCs w:val="20"/>
    </w:rPr>
  </w:style>
  <w:style w:type="paragraph" w:styleId="11">
    <w:name w:val="Document Map"/>
    <w:basedOn w:val="1"/>
    <w:link w:val="61"/>
    <w:qFormat/>
    <w:uiPriority w:val="0"/>
    <w:rPr>
      <w:rFonts w:ascii="宋体"/>
      <w:sz w:val="18"/>
      <w:szCs w:val="18"/>
    </w:rPr>
  </w:style>
  <w:style w:type="paragraph" w:styleId="12">
    <w:name w:val="annotation text"/>
    <w:basedOn w:val="1"/>
    <w:link w:val="76"/>
    <w:qFormat/>
    <w:uiPriority w:val="0"/>
    <w:pPr>
      <w:jc w:val="left"/>
    </w:pPr>
  </w:style>
  <w:style w:type="paragraph" w:styleId="13">
    <w:name w:val="Closing"/>
    <w:basedOn w:val="1"/>
    <w:link w:val="52"/>
    <w:qFormat/>
    <w:uiPriority w:val="99"/>
    <w:pPr>
      <w:ind w:left="100" w:leftChars="2100"/>
    </w:pPr>
    <w:rPr>
      <w:rFonts w:ascii="Arial" w:hAnsi="Arial" w:eastAsia="楷体_GB2312" w:cs="Arial"/>
      <w:b/>
      <w:sz w:val="24"/>
    </w:rPr>
  </w:style>
  <w:style w:type="paragraph" w:styleId="14">
    <w:name w:val="Body Text"/>
    <w:basedOn w:val="1"/>
    <w:link w:val="63"/>
    <w:qFormat/>
    <w:uiPriority w:val="99"/>
    <w:rPr>
      <w:rFonts w:ascii="宋体" w:hAnsi="宋体"/>
      <w:sz w:val="28"/>
    </w:rPr>
  </w:style>
  <w:style w:type="paragraph" w:styleId="15">
    <w:name w:val="toc 5"/>
    <w:basedOn w:val="1"/>
    <w:next w:val="1"/>
    <w:unhideWhenUsed/>
    <w:qFormat/>
    <w:uiPriority w:val="39"/>
    <w:pPr>
      <w:ind w:left="840"/>
      <w:jc w:val="left"/>
    </w:pPr>
    <w:rPr>
      <w:rFonts w:cs="Calibri"/>
      <w:sz w:val="20"/>
      <w:szCs w:val="20"/>
    </w:rPr>
  </w:style>
  <w:style w:type="paragraph" w:styleId="16">
    <w:name w:val="toc 3"/>
    <w:basedOn w:val="1"/>
    <w:next w:val="1"/>
    <w:unhideWhenUsed/>
    <w:qFormat/>
    <w:uiPriority w:val="39"/>
    <w:pPr>
      <w:ind w:left="840" w:leftChars="400"/>
    </w:pPr>
  </w:style>
  <w:style w:type="paragraph" w:styleId="17">
    <w:name w:val="Plain Text"/>
    <w:basedOn w:val="1"/>
    <w:link w:val="77"/>
    <w:qFormat/>
    <w:uiPriority w:val="99"/>
    <w:rPr>
      <w:rFonts w:ascii="宋体" w:hAnsi="Courier New" w:cs="Courier New"/>
      <w:kern w:val="0"/>
      <w:sz w:val="20"/>
      <w:szCs w:val="21"/>
    </w:rPr>
  </w:style>
  <w:style w:type="paragraph" w:styleId="18">
    <w:name w:val="toc 8"/>
    <w:basedOn w:val="1"/>
    <w:next w:val="1"/>
    <w:unhideWhenUsed/>
    <w:qFormat/>
    <w:uiPriority w:val="39"/>
    <w:pPr>
      <w:ind w:left="1470"/>
      <w:jc w:val="left"/>
    </w:pPr>
    <w:rPr>
      <w:rFonts w:cs="Calibri"/>
      <w:sz w:val="20"/>
      <w:szCs w:val="20"/>
    </w:rPr>
  </w:style>
  <w:style w:type="paragraph" w:styleId="19">
    <w:name w:val="Date"/>
    <w:basedOn w:val="1"/>
    <w:next w:val="1"/>
    <w:link w:val="58"/>
    <w:qFormat/>
    <w:uiPriority w:val="0"/>
    <w:pPr>
      <w:widowControl/>
      <w:ind w:left="100" w:leftChars="2500"/>
      <w:jc w:val="left"/>
    </w:pPr>
    <w:rPr>
      <w:kern w:val="0"/>
      <w:sz w:val="24"/>
      <w:lang w:eastAsia="en-US"/>
    </w:rPr>
  </w:style>
  <w:style w:type="paragraph" w:styleId="20">
    <w:name w:val="Body Text Indent 2"/>
    <w:basedOn w:val="1"/>
    <w:qFormat/>
    <w:uiPriority w:val="0"/>
    <w:pPr>
      <w:spacing w:line="520" w:lineRule="exact"/>
      <w:ind w:firstLine="570"/>
    </w:pPr>
    <w:rPr>
      <w:rFonts w:ascii="仿宋_GB2312" w:eastAsia="仿宋_GB2312"/>
      <w:sz w:val="30"/>
      <w:szCs w:val="20"/>
    </w:rPr>
  </w:style>
  <w:style w:type="paragraph" w:styleId="21">
    <w:name w:val="Balloon Text"/>
    <w:basedOn w:val="1"/>
    <w:link w:val="44"/>
    <w:semiHidden/>
    <w:qFormat/>
    <w:uiPriority w:val="0"/>
    <w:rPr>
      <w:sz w:val="18"/>
      <w:szCs w:val="18"/>
    </w:rPr>
  </w:style>
  <w:style w:type="paragraph" w:styleId="22">
    <w:name w:val="footer"/>
    <w:basedOn w:val="1"/>
    <w:link w:val="74"/>
    <w:qFormat/>
    <w:uiPriority w:val="99"/>
    <w:pPr>
      <w:tabs>
        <w:tab w:val="center" w:pos="4153"/>
        <w:tab w:val="right" w:pos="8306"/>
      </w:tabs>
      <w:snapToGrid w:val="0"/>
      <w:jc w:val="left"/>
    </w:pPr>
    <w:rPr>
      <w:sz w:val="18"/>
      <w:szCs w:val="18"/>
    </w:rPr>
  </w:style>
  <w:style w:type="paragraph" w:styleId="23">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tabs>
        <w:tab w:val="right" w:leader="dot" w:pos="8777"/>
      </w:tabs>
      <w:spacing w:line="460" w:lineRule="exact"/>
    </w:pPr>
    <w:rPr>
      <w:rFonts w:ascii="宋体" w:hAnsi="宋体"/>
      <w:b/>
      <w:spacing w:val="-3"/>
      <w:kern w:val="0"/>
    </w:rPr>
  </w:style>
  <w:style w:type="paragraph" w:styleId="25">
    <w:name w:val="toc 4"/>
    <w:basedOn w:val="1"/>
    <w:next w:val="1"/>
    <w:unhideWhenUsed/>
    <w:qFormat/>
    <w:uiPriority w:val="39"/>
    <w:pPr>
      <w:ind w:left="630"/>
      <w:jc w:val="left"/>
    </w:pPr>
    <w:rPr>
      <w:rFonts w:cs="Calibri"/>
      <w:sz w:val="20"/>
      <w:szCs w:val="20"/>
    </w:rPr>
  </w:style>
  <w:style w:type="paragraph" w:styleId="26">
    <w:name w:val="List"/>
    <w:basedOn w:val="1"/>
    <w:qFormat/>
    <w:uiPriority w:val="0"/>
    <w:pPr>
      <w:ind w:left="200" w:hanging="200" w:hangingChars="200"/>
      <w:contextualSpacing/>
    </w:pPr>
    <w:rPr>
      <w:rFonts w:ascii="Times New Roman" w:hAnsi="Times New Roman"/>
    </w:rPr>
  </w:style>
  <w:style w:type="paragraph" w:styleId="27">
    <w:name w:val="toc 6"/>
    <w:basedOn w:val="1"/>
    <w:next w:val="1"/>
    <w:unhideWhenUsed/>
    <w:qFormat/>
    <w:uiPriority w:val="39"/>
    <w:pPr>
      <w:ind w:left="1050"/>
      <w:jc w:val="left"/>
    </w:pPr>
    <w:rPr>
      <w:rFonts w:cs="Calibri"/>
      <w:sz w:val="20"/>
      <w:szCs w:val="20"/>
    </w:rPr>
  </w:style>
  <w:style w:type="paragraph" w:styleId="28">
    <w:name w:val="Body Text Indent 3"/>
    <w:basedOn w:val="1"/>
    <w:link w:val="112"/>
    <w:qFormat/>
    <w:uiPriority w:val="0"/>
    <w:pPr>
      <w:spacing w:after="120"/>
      <w:ind w:left="420" w:leftChars="200"/>
    </w:pPr>
    <w:rPr>
      <w:rFonts w:ascii="Times New Roman" w:hAnsi="Times New Roman"/>
      <w:sz w:val="16"/>
      <w:szCs w:val="16"/>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ind w:left="1680"/>
      <w:jc w:val="left"/>
    </w:pPr>
    <w:rPr>
      <w:rFonts w:cs="Calibri"/>
      <w:sz w:val="20"/>
      <w:szCs w:val="20"/>
    </w:rPr>
  </w:style>
  <w:style w:type="paragraph" w:styleId="31">
    <w:name w:val="Body Text 2"/>
    <w:basedOn w:val="1"/>
    <w:link w:val="70"/>
    <w:unhideWhenUsed/>
    <w:qFormat/>
    <w:uiPriority w:val="0"/>
    <w:pPr>
      <w:spacing w:after="120" w:line="480" w:lineRule="auto"/>
    </w:p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3">
    <w:name w:val="Title"/>
    <w:basedOn w:val="1"/>
    <w:next w:val="1"/>
    <w:link w:val="66"/>
    <w:qFormat/>
    <w:uiPriority w:val="0"/>
    <w:pPr>
      <w:widowControl/>
      <w:spacing w:before="240" w:after="60"/>
      <w:jc w:val="center"/>
      <w:outlineLvl w:val="0"/>
    </w:pPr>
    <w:rPr>
      <w:rFonts w:ascii="Cambria" w:hAnsi="Cambria"/>
      <w:b/>
      <w:bCs/>
      <w:kern w:val="28"/>
      <w:sz w:val="32"/>
      <w:szCs w:val="32"/>
    </w:rPr>
  </w:style>
  <w:style w:type="paragraph" w:styleId="34">
    <w:name w:val="annotation subject"/>
    <w:basedOn w:val="12"/>
    <w:next w:val="12"/>
    <w:link w:val="47"/>
    <w:qFormat/>
    <w:uiPriority w:val="0"/>
    <w:rPr>
      <w:b/>
      <w:bCs/>
    </w:rPr>
  </w:style>
  <w:style w:type="paragraph" w:styleId="35">
    <w:name w:val="Body Text First Indent"/>
    <w:basedOn w:val="14"/>
    <w:link w:val="109"/>
    <w:qFormat/>
    <w:uiPriority w:val="99"/>
    <w:pPr>
      <w:spacing w:after="120"/>
      <w:ind w:firstLine="420" w:firstLineChars="100"/>
    </w:pPr>
    <w:rPr>
      <w:rFonts w:ascii="Times New Roman" w:hAnsi="Times New Roman"/>
      <w:sz w:val="21"/>
    </w:r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39">
    <w:name w:val="Strong"/>
    <w:basedOn w:val="38"/>
    <w:qFormat/>
    <w:uiPriority w:val="22"/>
    <w:rPr>
      <w:b/>
    </w:rPr>
  </w:style>
  <w:style w:type="character" w:styleId="40">
    <w:name w:val="page number"/>
    <w:basedOn w:val="38"/>
    <w:qFormat/>
    <w:uiPriority w:val="0"/>
  </w:style>
  <w:style w:type="character" w:styleId="41">
    <w:name w:val="Emphasis"/>
    <w:basedOn w:val="38"/>
    <w:qFormat/>
    <w:uiPriority w:val="20"/>
    <w:rPr>
      <w:i/>
      <w:iCs/>
    </w:rPr>
  </w:style>
  <w:style w:type="character" w:styleId="42">
    <w:name w:val="Hyperlink"/>
    <w:unhideWhenUsed/>
    <w:qFormat/>
    <w:uiPriority w:val="99"/>
    <w:rPr>
      <w:color w:val="0000FF"/>
      <w:u w:val="single"/>
    </w:rPr>
  </w:style>
  <w:style w:type="character" w:styleId="43">
    <w:name w:val="annotation reference"/>
    <w:qFormat/>
    <w:uiPriority w:val="99"/>
    <w:rPr>
      <w:sz w:val="21"/>
      <w:szCs w:val="21"/>
    </w:rPr>
  </w:style>
  <w:style w:type="character" w:customStyle="1" w:styleId="44">
    <w:name w:val="批注框文本 Char"/>
    <w:link w:val="21"/>
    <w:semiHidden/>
    <w:qFormat/>
    <w:locked/>
    <w:uiPriority w:val="0"/>
    <w:rPr>
      <w:kern w:val="2"/>
      <w:sz w:val="18"/>
      <w:szCs w:val="18"/>
    </w:rPr>
  </w:style>
  <w:style w:type="character" w:customStyle="1" w:styleId="45">
    <w:name w:val="标题 3 Char"/>
    <w:link w:val="6"/>
    <w:qFormat/>
    <w:uiPriority w:val="9"/>
    <w:rPr>
      <w:b/>
      <w:bCs/>
      <w:kern w:val="2"/>
      <w:sz w:val="32"/>
      <w:szCs w:val="32"/>
    </w:rPr>
  </w:style>
  <w:style w:type="character" w:customStyle="1" w:styleId="46">
    <w:name w:val="16"/>
    <w:qFormat/>
    <w:uiPriority w:val="99"/>
    <w:rPr>
      <w:rFonts w:ascii="Times New Roman" w:hAnsi="Times New Roman" w:cs="Times New Roman"/>
    </w:rPr>
  </w:style>
  <w:style w:type="character" w:customStyle="1" w:styleId="47">
    <w:name w:val="批注主题 Char"/>
    <w:link w:val="34"/>
    <w:qFormat/>
    <w:locked/>
    <w:uiPriority w:val="0"/>
    <w:rPr>
      <w:b/>
      <w:bCs/>
      <w:kern w:val="2"/>
      <w:sz w:val="21"/>
      <w:szCs w:val="24"/>
    </w:rPr>
  </w:style>
  <w:style w:type="character" w:styleId="48">
    <w:name w:val="Placeholder Text"/>
    <w:semiHidden/>
    <w:qFormat/>
    <w:uiPriority w:val="99"/>
    <w:rPr>
      <w:color w:val="808080"/>
    </w:rPr>
  </w:style>
  <w:style w:type="character" w:customStyle="1" w:styleId="49">
    <w:name w:val="正文首行缩进 Char"/>
    <w:link w:val="50"/>
    <w:qFormat/>
    <w:uiPriority w:val="99"/>
    <w:rPr>
      <w:rFonts w:ascii="宋体" w:hAnsi="宋体"/>
      <w:kern w:val="2"/>
      <w:sz w:val="21"/>
      <w:szCs w:val="24"/>
    </w:rPr>
  </w:style>
  <w:style w:type="paragraph" w:customStyle="1" w:styleId="50">
    <w:name w:val="正文文本首行缩进1"/>
    <w:basedOn w:val="14"/>
    <w:link w:val="49"/>
    <w:qFormat/>
    <w:uiPriority w:val="0"/>
    <w:pPr>
      <w:spacing w:after="120"/>
      <w:ind w:firstLine="420" w:firstLineChars="100"/>
    </w:pPr>
    <w:rPr>
      <w:rFonts w:ascii="Times New Roman" w:hAnsi="Times New Roman"/>
      <w:sz w:val="21"/>
    </w:rPr>
  </w:style>
  <w:style w:type="character" w:customStyle="1" w:styleId="51">
    <w:name w:val="h11"/>
    <w:qFormat/>
    <w:uiPriority w:val="99"/>
    <w:rPr>
      <w:rFonts w:cs="Times New Roman"/>
    </w:rPr>
  </w:style>
  <w:style w:type="character" w:customStyle="1" w:styleId="52">
    <w:name w:val="结束语 Char"/>
    <w:link w:val="13"/>
    <w:qFormat/>
    <w:uiPriority w:val="99"/>
    <w:rPr>
      <w:rFonts w:ascii="Arial" w:hAnsi="Arial" w:eastAsia="楷体_GB2312" w:cs="Arial"/>
      <w:b/>
      <w:kern w:val="2"/>
      <w:sz w:val="24"/>
      <w:szCs w:val="24"/>
    </w:rPr>
  </w:style>
  <w:style w:type="character" w:customStyle="1" w:styleId="53">
    <w:name w:val="纯文本 Char1"/>
    <w:semiHidden/>
    <w:qFormat/>
    <w:uiPriority w:val="99"/>
    <w:rPr>
      <w:rFonts w:ascii="宋体" w:hAnsi="Courier New" w:cs="Courier New"/>
      <w:kern w:val="2"/>
      <w:sz w:val="21"/>
      <w:szCs w:val="21"/>
    </w:rPr>
  </w:style>
  <w:style w:type="character" w:customStyle="1" w:styleId="54">
    <w:name w:val="black12px1"/>
    <w:qFormat/>
    <w:uiPriority w:val="99"/>
    <w:rPr>
      <w:sz w:val="14"/>
      <w:u w:val="none"/>
    </w:rPr>
  </w:style>
  <w:style w:type="character" w:customStyle="1" w:styleId="55">
    <w:name w:val="正文缩进 Char"/>
    <w:link w:val="8"/>
    <w:qFormat/>
    <w:locked/>
    <w:uiPriority w:val="0"/>
    <w:rPr>
      <w:kern w:val="2"/>
      <w:sz w:val="24"/>
    </w:rPr>
  </w:style>
  <w:style w:type="character" w:customStyle="1" w:styleId="56">
    <w:name w:val="图片"/>
    <w:qFormat/>
    <w:uiPriority w:val="0"/>
    <w:rPr>
      <w:rFonts w:eastAsia="宋体"/>
      <w:sz w:val="21"/>
    </w:rPr>
  </w:style>
  <w:style w:type="character" w:customStyle="1" w:styleId="57">
    <w:name w:val="结束语 Char1"/>
    <w:semiHidden/>
    <w:qFormat/>
    <w:locked/>
    <w:uiPriority w:val="99"/>
    <w:rPr>
      <w:rFonts w:cs="Times New Roman"/>
      <w:kern w:val="2"/>
      <w:sz w:val="21"/>
    </w:rPr>
  </w:style>
  <w:style w:type="character" w:customStyle="1" w:styleId="58">
    <w:name w:val="日期 Char"/>
    <w:link w:val="19"/>
    <w:qFormat/>
    <w:uiPriority w:val="0"/>
    <w:rPr>
      <w:rFonts w:ascii="Calibri" w:hAnsi="Calibri"/>
      <w:sz w:val="24"/>
      <w:szCs w:val="24"/>
      <w:lang w:eastAsia="en-US"/>
    </w:rPr>
  </w:style>
  <w:style w:type="character" w:customStyle="1" w:styleId="59">
    <w:name w:val="style12"/>
    <w:qFormat/>
    <w:uiPriority w:val="0"/>
    <w:rPr>
      <w:rFonts w:cs="Times New Roman"/>
    </w:rPr>
  </w:style>
  <w:style w:type="character" w:customStyle="1" w:styleId="60">
    <w:name w:val="页眉 Char1"/>
    <w:semiHidden/>
    <w:qFormat/>
    <w:locked/>
    <w:uiPriority w:val="99"/>
    <w:rPr>
      <w:rFonts w:cs="Times New Roman"/>
      <w:kern w:val="2"/>
      <w:sz w:val="18"/>
      <w:szCs w:val="18"/>
    </w:rPr>
  </w:style>
  <w:style w:type="character" w:customStyle="1" w:styleId="61">
    <w:name w:val="文档结构图 Char"/>
    <w:link w:val="11"/>
    <w:qFormat/>
    <w:uiPriority w:val="0"/>
    <w:rPr>
      <w:rFonts w:ascii="宋体"/>
      <w:kern w:val="2"/>
      <w:sz w:val="18"/>
      <w:szCs w:val="18"/>
    </w:rPr>
  </w:style>
  <w:style w:type="character" w:customStyle="1" w:styleId="62">
    <w:name w:val="批注文字 Char1"/>
    <w:semiHidden/>
    <w:qFormat/>
    <w:locked/>
    <w:uiPriority w:val="99"/>
    <w:rPr>
      <w:rFonts w:cs="Times New Roman"/>
      <w:kern w:val="2"/>
      <w:sz w:val="21"/>
    </w:rPr>
  </w:style>
  <w:style w:type="character" w:customStyle="1" w:styleId="63">
    <w:name w:val="正文文本 Char"/>
    <w:link w:val="14"/>
    <w:qFormat/>
    <w:uiPriority w:val="99"/>
    <w:rPr>
      <w:rFonts w:ascii="宋体" w:hAnsi="宋体"/>
      <w:kern w:val="2"/>
      <w:sz w:val="28"/>
      <w:szCs w:val="24"/>
    </w:rPr>
  </w:style>
  <w:style w:type="character" w:customStyle="1" w:styleId="64">
    <w:name w:val="标题 Char1"/>
    <w:qFormat/>
    <w:uiPriority w:val="0"/>
    <w:rPr>
      <w:rFonts w:ascii="Cambria" w:hAnsi="Cambria" w:cs="Times New Roman"/>
      <w:b/>
      <w:bCs/>
      <w:kern w:val="2"/>
      <w:sz w:val="32"/>
      <w:szCs w:val="32"/>
    </w:rPr>
  </w:style>
  <w:style w:type="character" w:customStyle="1" w:styleId="65">
    <w:name w:val="标题 4 Char"/>
    <w:link w:val="7"/>
    <w:qFormat/>
    <w:uiPriority w:val="99"/>
    <w:rPr>
      <w:rFonts w:ascii="Arial" w:hAnsi="Arial" w:eastAsia="仿宋_GB2312"/>
      <w:b/>
      <w:kern w:val="2"/>
      <w:sz w:val="24"/>
    </w:rPr>
  </w:style>
  <w:style w:type="character" w:customStyle="1" w:styleId="66">
    <w:name w:val="标题 Char"/>
    <w:link w:val="33"/>
    <w:qFormat/>
    <w:uiPriority w:val="0"/>
    <w:rPr>
      <w:rFonts w:ascii="Cambria" w:hAnsi="Cambria"/>
      <w:b/>
      <w:bCs/>
      <w:kern w:val="28"/>
      <w:sz w:val="32"/>
      <w:szCs w:val="32"/>
    </w:rPr>
  </w:style>
  <w:style w:type="character" w:customStyle="1" w:styleId="67">
    <w:name w:val="21封面标题 Char Char"/>
    <w:link w:val="68"/>
    <w:qFormat/>
    <w:uiPriority w:val="0"/>
    <w:rPr>
      <w:rFonts w:eastAsia="黑体"/>
      <w:b/>
      <w:kern w:val="2"/>
      <w:sz w:val="48"/>
      <w:szCs w:val="24"/>
    </w:rPr>
  </w:style>
  <w:style w:type="paragraph" w:customStyle="1" w:styleId="68">
    <w:name w:val="21封面标题"/>
    <w:link w:val="67"/>
    <w:qFormat/>
    <w:uiPriority w:val="0"/>
    <w:pPr>
      <w:spacing w:line="640" w:lineRule="atLeast"/>
      <w:jc w:val="center"/>
    </w:pPr>
    <w:rPr>
      <w:rFonts w:ascii="Times New Roman" w:hAnsi="Times New Roman" w:eastAsia="黑体" w:cs="Times New Roman"/>
      <w:b/>
      <w:kern w:val="2"/>
      <w:sz w:val="48"/>
      <w:szCs w:val="24"/>
      <w:lang w:val="en-US" w:eastAsia="zh-CN" w:bidi="ar-SA"/>
    </w:rPr>
  </w:style>
  <w:style w:type="character" w:customStyle="1" w:styleId="69">
    <w:name w:val="正文文本缩进 Char"/>
    <w:link w:val="3"/>
    <w:qFormat/>
    <w:uiPriority w:val="99"/>
    <w:rPr>
      <w:kern w:val="2"/>
      <w:sz w:val="21"/>
      <w:szCs w:val="24"/>
    </w:rPr>
  </w:style>
  <w:style w:type="character" w:customStyle="1" w:styleId="70">
    <w:name w:val="正文文本 2 Char"/>
    <w:link w:val="31"/>
    <w:semiHidden/>
    <w:qFormat/>
    <w:uiPriority w:val="0"/>
    <w:rPr>
      <w:kern w:val="2"/>
      <w:sz w:val="21"/>
      <w:szCs w:val="24"/>
    </w:rPr>
  </w:style>
  <w:style w:type="character" w:customStyle="1" w:styleId="71">
    <w:name w:val="标题1"/>
    <w:qFormat/>
    <w:uiPriority w:val="0"/>
    <w:rPr>
      <w:rFonts w:cs="Times New Roman"/>
    </w:rPr>
  </w:style>
  <w:style w:type="character" w:customStyle="1" w:styleId="72">
    <w:name w:val="标题 1 Char"/>
    <w:link w:val="4"/>
    <w:qFormat/>
    <w:uiPriority w:val="0"/>
    <w:rPr>
      <w:b/>
      <w:bCs/>
      <w:kern w:val="44"/>
      <w:sz w:val="44"/>
      <w:szCs w:val="44"/>
    </w:rPr>
  </w:style>
  <w:style w:type="character" w:customStyle="1" w:styleId="73">
    <w:name w:val="页眉 Char"/>
    <w:link w:val="23"/>
    <w:qFormat/>
    <w:uiPriority w:val="99"/>
    <w:rPr>
      <w:kern w:val="2"/>
      <w:sz w:val="18"/>
      <w:szCs w:val="18"/>
    </w:rPr>
  </w:style>
  <w:style w:type="character" w:customStyle="1" w:styleId="74">
    <w:name w:val="页脚 Char"/>
    <w:link w:val="22"/>
    <w:qFormat/>
    <w:uiPriority w:val="99"/>
    <w:rPr>
      <w:kern w:val="2"/>
      <w:sz w:val="18"/>
      <w:szCs w:val="18"/>
    </w:rPr>
  </w:style>
  <w:style w:type="character" w:customStyle="1" w:styleId="75">
    <w:name w:val="textc1"/>
    <w:qFormat/>
    <w:uiPriority w:val="99"/>
    <w:rPr>
      <w:rFonts w:ascii="??" w:hAnsi="??"/>
      <w:sz w:val="18"/>
    </w:rPr>
  </w:style>
  <w:style w:type="character" w:customStyle="1" w:styleId="76">
    <w:name w:val="批注文字 Char"/>
    <w:link w:val="12"/>
    <w:qFormat/>
    <w:locked/>
    <w:uiPriority w:val="0"/>
    <w:rPr>
      <w:kern w:val="2"/>
      <w:sz w:val="21"/>
      <w:szCs w:val="24"/>
    </w:rPr>
  </w:style>
  <w:style w:type="character" w:customStyle="1" w:styleId="77">
    <w:name w:val="纯文本 Char"/>
    <w:link w:val="17"/>
    <w:qFormat/>
    <w:uiPriority w:val="99"/>
    <w:rPr>
      <w:rFonts w:ascii="宋体" w:hAnsi="Courier New" w:cs="Courier New"/>
      <w:szCs w:val="21"/>
    </w:rPr>
  </w:style>
  <w:style w:type="paragraph" w:customStyle="1" w:styleId="78">
    <w:name w:val="1 标题2"/>
    <w:qFormat/>
    <w:uiPriority w:val="0"/>
    <w:pPr>
      <w:spacing w:line="600" w:lineRule="atLeast"/>
      <w:jc w:val="center"/>
      <w:outlineLvl w:val="1"/>
    </w:pPr>
    <w:rPr>
      <w:rFonts w:ascii="Times New Roman" w:hAnsi="Times New Roman" w:eastAsia="宋体" w:cs="宋体"/>
      <w:b/>
      <w:bCs/>
      <w:color w:val="000000"/>
      <w:kern w:val="2"/>
      <w:sz w:val="32"/>
      <w:lang w:val="en-US" w:eastAsia="zh-CN" w:bidi="ar-SA"/>
    </w:rPr>
  </w:style>
  <w:style w:type="paragraph" w:customStyle="1" w:styleId="79">
    <w:name w:val="列表段落1"/>
    <w:basedOn w:val="1"/>
    <w:qFormat/>
    <w:uiPriority w:val="34"/>
    <w:pPr>
      <w:ind w:firstLine="420" w:firstLineChars="200"/>
    </w:pPr>
  </w:style>
  <w:style w:type="paragraph" w:customStyle="1" w:styleId="80">
    <w:name w:val="14 正文重点"/>
    <w:basedOn w:val="81"/>
    <w:qFormat/>
    <w:uiPriority w:val="0"/>
    <w:pPr>
      <w:widowControl w:val="0"/>
      <w:ind w:firstLine="482"/>
    </w:pPr>
    <w:rPr>
      <w:rFonts w:cs="宋体"/>
      <w:b/>
      <w:bCs/>
      <w:szCs w:val="20"/>
    </w:rPr>
  </w:style>
  <w:style w:type="paragraph" w:customStyle="1" w:styleId="81">
    <w:name w:val="15 正文"/>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82">
    <w:name w:val="Char Char"/>
    <w:basedOn w:val="1"/>
    <w:qFormat/>
    <w:uiPriority w:val="99"/>
    <w:pPr>
      <w:wordWrap w:val="0"/>
      <w:adjustRightInd w:val="0"/>
      <w:spacing w:line="360" w:lineRule="auto"/>
      <w:textAlignment w:val="baseline"/>
    </w:pPr>
  </w:style>
  <w:style w:type="paragraph" w:customStyle="1" w:styleId="83">
    <w:name w:val="Char Char Char Char Char Char Char Char Char Char Char Char Char"/>
    <w:basedOn w:val="1"/>
    <w:qFormat/>
    <w:uiPriority w:val="0"/>
    <w:rPr>
      <w:sz w:val="24"/>
    </w:rPr>
  </w:style>
  <w:style w:type="paragraph" w:customStyle="1" w:styleId="84">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5">
    <w:name w:val="Char"/>
    <w:basedOn w:val="1"/>
    <w:qFormat/>
    <w:uiPriority w:val="0"/>
    <w:rPr>
      <w:szCs w:val="21"/>
    </w:rPr>
  </w:style>
  <w:style w:type="paragraph" w:customStyle="1" w:styleId="86">
    <w:name w:val="Char Char Char Char1 Char Char"/>
    <w:basedOn w:val="1"/>
    <w:qFormat/>
    <w:uiPriority w:val="99"/>
    <w:pPr>
      <w:wordWrap w:val="0"/>
      <w:adjustRightInd w:val="0"/>
      <w:spacing w:line="360" w:lineRule="auto"/>
      <w:textAlignment w:val="baseline"/>
    </w:pPr>
  </w:style>
  <w:style w:type="paragraph" w:customStyle="1" w:styleId="87">
    <w:name w:val="默认段落字体 Para Char Char Char Char Char Char 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styleId="8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9">
    <w:name w:val="Char1 Char Char Char"/>
    <w:basedOn w:val="11"/>
    <w:qFormat/>
    <w:uiPriority w:val="0"/>
    <w:pPr>
      <w:shd w:val="clear" w:color="auto" w:fill="000080"/>
      <w:adjustRightInd w:val="0"/>
      <w:spacing w:line="436" w:lineRule="exact"/>
      <w:ind w:left="357"/>
      <w:jc w:val="left"/>
      <w:outlineLvl w:val="3"/>
    </w:pPr>
    <w:rPr>
      <w:rFonts w:hint="eastAsia" w:ascii="Calibri"/>
      <w:sz w:val="21"/>
      <w:szCs w:val="22"/>
    </w:rPr>
  </w:style>
  <w:style w:type="paragraph" w:customStyle="1" w:styleId="90">
    <w:name w:val="16表格内容"/>
    <w:qFormat/>
    <w:uiPriority w:val="0"/>
    <w:pPr>
      <w:jc w:val="center"/>
    </w:pPr>
    <w:rPr>
      <w:rFonts w:ascii="Times New Roman" w:hAnsi="Times New Roman" w:eastAsia="宋体" w:cs="Times New Roman"/>
      <w:kern w:val="2"/>
      <w:sz w:val="21"/>
      <w:szCs w:val="24"/>
      <w:lang w:val="en-US" w:eastAsia="zh-CN" w:bidi="ar-SA"/>
    </w:rPr>
  </w:style>
  <w:style w:type="paragraph" w:customStyle="1" w:styleId="91">
    <w:name w:val="纯文本1"/>
    <w:basedOn w:val="1"/>
    <w:qFormat/>
    <w:uiPriority w:val="0"/>
    <w:pPr>
      <w:adjustRightInd w:val="0"/>
      <w:jc w:val="left"/>
      <w:textAlignment w:val="baseline"/>
    </w:pPr>
    <w:rPr>
      <w:rFonts w:ascii="宋体" w:hAnsi="Courier New"/>
      <w:sz w:val="24"/>
      <w:szCs w:val="20"/>
    </w:rPr>
  </w:style>
  <w:style w:type="paragraph" w:customStyle="1" w:styleId="92">
    <w:name w:val="Char1"/>
    <w:basedOn w:val="1"/>
    <w:qFormat/>
    <w:uiPriority w:val="0"/>
    <w:pPr>
      <w:spacing w:line="360" w:lineRule="auto"/>
      <w:ind w:firstLine="200" w:firstLineChars="200"/>
    </w:pPr>
    <w:rPr>
      <w:rFonts w:ascii="宋体" w:hAnsi="宋体" w:cs="宋体"/>
      <w:kern w:val="28"/>
      <w:sz w:val="24"/>
      <w:szCs w:val="28"/>
    </w:rPr>
  </w:style>
  <w:style w:type="paragraph" w:customStyle="1" w:styleId="93">
    <w:name w:val="Char Char Char Char1 Char Char3"/>
    <w:basedOn w:val="1"/>
    <w:qFormat/>
    <w:uiPriority w:val="99"/>
    <w:pPr>
      <w:wordWrap w:val="0"/>
      <w:adjustRightInd w:val="0"/>
      <w:spacing w:line="360" w:lineRule="auto"/>
      <w:textAlignment w:val="baseline"/>
    </w:pPr>
  </w:style>
  <w:style w:type="paragraph" w:customStyle="1" w:styleId="94">
    <w:name w:val="Char Char Char Char1 Char Char2"/>
    <w:basedOn w:val="1"/>
    <w:qFormat/>
    <w:uiPriority w:val="99"/>
    <w:pPr>
      <w:wordWrap w:val="0"/>
      <w:adjustRightInd w:val="0"/>
      <w:spacing w:line="360" w:lineRule="auto"/>
      <w:textAlignment w:val="baseline"/>
    </w:pPr>
  </w:style>
  <w:style w:type="paragraph" w:customStyle="1" w:styleId="95">
    <w:name w:val="Char1 Char Char Char1"/>
    <w:basedOn w:val="11"/>
    <w:qFormat/>
    <w:uiPriority w:val="0"/>
    <w:pPr>
      <w:shd w:val="clear" w:color="auto" w:fill="000080"/>
      <w:adjustRightInd w:val="0"/>
      <w:spacing w:line="436" w:lineRule="exact"/>
      <w:ind w:left="357"/>
      <w:jc w:val="left"/>
      <w:outlineLvl w:val="3"/>
    </w:pPr>
    <w:rPr>
      <w:rFonts w:hint="eastAsia" w:ascii="Calibri"/>
      <w:sz w:val="21"/>
      <w:szCs w:val="22"/>
    </w:rPr>
  </w:style>
  <w:style w:type="paragraph" w:customStyle="1" w:styleId="96">
    <w:name w:val="Char Char Char Char1 Char Char1"/>
    <w:basedOn w:val="1"/>
    <w:qFormat/>
    <w:uiPriority w:val="99"/>
    <w:pPr>
      <w:wordWrap w:val="0"/>
      <w:adjustRightInd w:val="0"/>
      <w:spacing w:line="360" w:lineRule="auto"/>
      <w:textAlignment w:val="baseline"/>
    </w:pPr>
  </w:style>
  <w:style w:type="paragraph" w:customStyle="1" w:styleId="97">
    <w:name w:val="表内"/>
    <w:basedOn w:val="1"/>
    <w:qFormat/>
    <w:uiPriority w:val="0"/>
    <w:pPr>
      <w:widowControl/>
      <w:spacing w:line="300" w:lineRule="exact"/>
      <w:jc w:val="center"/>
    </w:pPr>
    <w:rPr>
      <w:rFonts w:eastAsia="方正宋三简体"/>
      <w:kern w:val="0"/>
      <w:sz w:val="24"/>
      <w:lang w:eastAsia="en-US"/>
    </w:rPr>
  </w:style>
  <w:style w:type="paragraph" w:customStyle="1" w:styleId="98">
    <w:name w:val="Char Char Char Char"/>
    <w:basedOn w:val="1"/>
    <w:qFormat/>
    <w:uiPriority w:val="0"/>
    <w:pPr>
      <w:spacing w:line="360" w:lineRule="auto"/>
      <w:ind w:firstLine="200" w:firstLineChars="200"/>
    </w:pPr>
    <w:rPr>
      <w:rFonts w:ascii="宋体" w:hAnsi="宋体" w:eastAsia="仿宋_GB2312" w:cs="宋体"/>
      <w:sz w:val="24"/>
      <w:szCs w:val="32"/>
    </w:rPr>
  </w:style>
  <w:style w:type="paragraph" w:customStyle="1" w:styleId="99">
    <w:name w:val="_Style 21"/>
    <w:basedOn w:val="11"/>
    <w:qFormat/>
    <w:uiPriority w:val="0"/>
    <w:pPr>
      <w:shd w:val="clear" w:color="auto" w:fill="000080"/>
      <w:adjustRightInd w:val="0"/>
      <w:spacing w:line="436" w:lineRule="exact"/>
      <w:ind w:left="357"/>
      <w:jc w:val="left"/>
      <w:outlineLvl w:val="3"/>
    </w:pPr>
    <w:rPr>
      <w:rFonts w:hint="eastAsia" w:ascii="Calibri"/>
      <w:sz w:val="21"/>
      <w:szCs w:val="22"/>
    </w:rPr>
  </w:style>
  <w:style w:type="paragraph" w:customStyle="1" w:styleId="100">
    <w:name w:val="12标题一"/>
    <w:next w:val="81"/>
    <w:qFormat/>
    <w:uiPriority w:val="0"/>
    <w:pPr>
      <w:spacing w:line="520" w:lineRule="atLeast"/>
      <w:outlineLvl w:val="1"/>
    </w:pPr>
    <w:rPr>
      <w:rFonts w:ascii="Times New Roman" w:hAnsi="Times New Roman" w:eastAsia="宋体" w:cs="Times New Roman"/>
      <w:b/>
      <w:bCs/>
      <w:kern w:val="2"/>
      <w:sz w:val="28"/>
      <w:szCs w:val="32"/>
      <w:lang w:val="en-US" w:eastAsia="zh-CN" w:bidi="ar-SA"/>
    </w:rPr>
  </w:style>
  <w:style w:type="paragraph" w:customStyle="1" w:styleId="101">
    <w:name w:val="苗1 Char"/>
    <w:basedOn w:val="1"/>
    <w:qFormat/>
    <w:uiPriority w:val="99"/>
    <w:pPr>
      <w:spacing w:line="480" w:lineRule="exact"/>
      <w:ind w:firstLine="588" w:firstLineChars="210"/>
    </w:pPr>
    <w:rPr>
      <w:rFonts w:ascii="宋体" w:cs="宋体"/>
      <w:spacing w:val="4"/>
      <w:sz w:val="28"/>
      <w:szCs w:val="28"/>
    </w:rPr>
  </w:style>
  <w:style w:type="table" w:customStyle="1" w:styleId="102">
    <w:name w:val="网格型（pxg）1"/>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3">
    <w:name w:val="正文缩进 字符"/>
    <w:qFormat/>
    <w:locked/>
    <w:uiPriority w:val="99"/>
    <w:rPr>
      <w:kern w:val="2"/>
      <w:sz w:val="24"/>
    </w:rPr>
  </w:style>
  <w:style w:type="character" w:customStyle="1" w:styleId="104">
    <w:name w:val="标题 2 Char"/>
    <w:link w:val="5"/>
    <w:qFormat/>
    <w:uiPriority w:val="0"/>
    <w:rPr>
      <w:rFonts w:ascii="Calibri Light" w:hAnsi="Calibri Light" w:eastAsia="宋体" w:cs="Times New Roman"/>
      <w:b/>
      <w:bCs/>
      <w:kern w:val="2"/>
      <w:sz w:val="32"/>
      <w:szCs w:val="32"/>
    </w:rPr>
  </w:style>
  <w:style w:type="paragraph" w:styleId="105">
    <w:name w:val="List Paragraph"/>
    <w:basedOn w:val="1"/>
    <w:qFormat/>
    <w:uiPriority w:val="0"/>
    <w:pPr>
      <w:ind w:firstLine="420" w:firstLineChars="200"/>
    </w:pPr>
  </w:style>
  <w:style w:type="paragraph" w:customStyle="1" w:styleId="106">
    <w:name w:val="Char Char Char Char Char Char Char"/>
    <w:basedOn w:val="1"/>
    <w:qFormat/>
    <w:uiPriority w:val="0"/>
    <w:pPr>
      <w:widowControl/>
      <w:spacing w:after="160" w:line="240" w:lineRule="exact"/>
      <w:jc w:val="left"/>
    </w:pPr>
    <w:rPr>
      <w:rFonts w:ascii="Times New Roman" w:hAnsi="Times New Roman"/>
    </w:rPr>
  </w:style>
  <w:style w:type="character" w:customStyle="1" w:styleId="107">
    <w:name w:val="t_tag"/>
    <w:qFormat/>
    <w:uiPriority w:val="0"/>
  </w:style>
  <w:style w:type="paragraph" w:customStyle="1" w:styleId="108">
    <w:name w:val="TOC 标题2"/>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09">
    <w:name w:val="正文首行缩进 Char1"/>
    <w:basedOn w:val="63"/>
    <w:link w:val="35"/>
    <w:qFormat/>
    <w:uiPriority w:val="99"/>
    <w:rPr>
      <w:rFonts w:ascii="宋体" w:hAnsi="宋体"/>
      <w:kern w:val="2"/>
      <w:sz w:val="21"/>
      <w:szCs w:val="24"/>
    </w:rPr>
  </w:style>
  <w:style w:type="paragraph" w:customStyle="1" w:styleId="110">
    <w:name w:val="列表段落2"/>
    <w:basedOn w:val="1"/>
    <w:qFormat/>
    <w:uiPriority w:val="34"/>
    <w:pPr>
      <w:ind w:firstLine="420" w:firstLineChars="200"/>
    </w:pPr>
    <w:rPr>
      <w:rFonts w:ascii="Times New Roman" w:hAnsi="Times New Roman"/>
    </w:rPr>
  </w:style>
  <w:style w:type="character" w:customStyle="1" w:styleId="111">
    <w:name w:val="正文首行缩进 2 Char"/>
    <w:basedOn w:val="69"/>
    <w:link w:val="2"/>
    <w:qFormat/>
    <w:uiPriority w:val="0"/>
    <w:rPr>
      <w:kern w:val="2"/>
      <w:sz w:val="21"/>
      <w:szCs w:val="24"/>
    </w:rPr>
  </w:style>
  <w:style w:type="character" w:customStyle="1" w:styleId="112">
    <w:name w:val="正文文本缩进 3 Char"/>
    <w:basedOn w:val="38"/>
    <w:link w:val="28"/>
    <w:qFormat/>
    <w:uiPriority w:val="0"/>
    <w:rPr>
      <w:kern w:val="2"/>
      <w:sz w:val="16"/>
      <w:szCs w:val="16"/>
    </w:rPr>
  </w:style>
  <w:style w:type="character" w:customStyle="1" w:styleId="113">
    <w:name w:val="22封面内容 Char Char"/>
    <w:basedOn w:val="38"/>
    <w:link w:val="114"/>
    <w:qFormat/>
    <w:uiPriority w:val="0"/>
    <w:rPr>
      <w:b/>
      <w:kern w:val="2"/>
      <w:sz w:val="32"/>
      <w:szCs w:val="32"/>
    </w:rPr>
  </w:style>
  <w:style w:type="paragraph" w:customStyle="1" w:styleId="114">
    <w:name w:val="22封面内容"/>
    <w:link w:val="113"/>
    <w:qFormat/>
    <w:uiPriority w:val="0"/>
    <w:pPr>
      <w:spacing w:line="360" w:lineRule="auto"/>
    </w:pPr>
    <w:rPr>
      <w:rFonts w:ascii="Times New Roman" w:hAnsi="Times New Roman" w:eastAsia="宋体" w:cs="Times New Roman"/>
      <w:b/>
      <w:kern w:val="2"/>
      <w:sz w:val="32"/>
      <w:szCs w:val="32"/>
      <w:lang w:val="en-US" w:eastAsia="zh-CN" w:bidi="ar-SA"/>
    </w:rPr>
  </w:style>
  <w:style w:type="character" w:customStyle="1" w:styleId="115">
    <w:name w:val="23封面项目名称 Char Char"/>
    <w:basedOn w:val="38"/>
    <w:link w:val="116"/>
    <w:qFormat/>
    <w:uiPriority w:val="0"/>
    <w:rPr>
      <w:kern w:val="2"/>
      <w:sz w:val="32"/>
      <w:szCs w:val="32"/>
      <w:u w:val="single"/>
    </w:rPr>
  </w:style>
  <w:style w:type="paragraph" w:customStyle="1" w:styleId="116">
    <w:name w:val="23封面项目名称"/>
    <w:link w:val="115"/>
    <w:qFormat/>
    <w:uiPriority w:val="0"/>
    <w:pPr>
      <w:spacing w:line="360" w:lineRule="auto"/>
    </w:pPr>
    <w:rPr>
      <w:rFonts w:ascii="Times New Roman" w:hAnsi="Times New Roman" w:eastAsia="宋体" w:cs="Times New Roman"/>
      <w:kern w:val="2"/>
      <w:sz w:val="32"/>
      <w:szCs w:val="32"/>
      <w:u w:val="single"/>
      <w:lang w:val="en-US" w:eastAsia="zh-CN" w:bidi="ar-SA"/>
    </w:rPr>
  </w:style>
  <w:style w:type="paragraph" w:customStyle="1" w:styleId="117">
    <w:name w:val="16表格标题"/>
    <w:qFormat/>
    <w:uiPriority w:val="0"/>
    <w:pPr>
      <w:spacing w:line="480" w:lineRule="atLeast"/>
      <w:jc w:val="center"/>
    </w:pPr>
    <w:rPr>
      <w:rFonts w:ascii="Times New Roman" w:hAnsi="Times New Roman" w:eastAsia="宋体" w:cs="Times New Roman"/>
      <w:b/>
      <w:kern w:val="2"/>
      <w:sz w:val="24"/>
      <w:szCs w:val="24"/>
      <w:lang w:val="en-US" w:eastAsia="zh-CN" w:bidi="ar-SA"/>
    </w:rPr>
  </w:style>
  <w:style w:type="paragraph" w:customStyle="1" w:styleId="118">
    <w:name w:val="列出段落1"/>
    <w:basedOn w:val="1"/>
    <w:qFormat/>
    <w:uiPriority w:val="99"/>
    <w:pPr>
      <w:ind w:firstLine="420" w:firstLineChars="200"/>
    </w:pPr>
    <w:rPr>
      <w:rFonts w:ascii="Times New Roman" w:hAnsi="Times New Roman"/>
    </w:rPr>
  </w:style>
  <w:style w:type="paragraph" w:customStyle="1" w:styleId="11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0">
    <w:name w:val="Char Char1"/>
    <w:basedOn w:val="1"/>
    <w:qFormat/>
    <w:uiPriority w:val="0"/>
    <w:pPr>
      <w:widowControl/>
      <w:spacing w:after="160" w:line="240" w:lineRule="exact"/>
      <w:jc w:val="left"/>
    </w:pPr>
    <w:rPr>
      <w:rFonts w:ascii="Times New Roman" w:hAnsi="Times New Roman"/>
      <w:szCs w:val="20"/>
    </w:rPr>
  </w:style>
  <w:style w:type="paragraph" w:customStyle="1" w:styleId="121">
    <w:name w:val="表文"/>
    <w:basedOn w:val="1"/>
    <w:qFormat/>
    <w:uiPriority w:val="0"/>
    <w:pPr>
      <w:spacing w:line="280" w:lineRule="exact"/>
      <w:jc w:val="center"/>
    </w:pPr>
    <w:rPr>
      <w:rFonts w:ascii="Times New Roman" w:hAnsi="Times New Roman"/>
      <w:kern w:val="0"/>
      <w:szCs w:val="20"/>
    </w:rPr>
  </w:style>
  <w:style w:type="paragraph" w:customStyle="1" w:styleId="122">
    <w:name w:val="列表2"/>
    <w:basedOn w:val="26"/>
    <w:qFormat/>
    <w:uiPriority w:val="0"/>
    <w:pPr>
      <w:tabs>
        <w:tab w:val="left" w:pos="7020"/>
        <w:tab w:val="left" w:pos="8280"/>
      </w:tabs>
      <w:adjustRightInd w:val="0"/>
      <w:snapToGrid w:val="0"/>
      <w:spacing w:line="480" w:lineRule="exact"/>
      <w:ind w:left="0" w:firstLine="0" w:firstLineChars="0"/>
      <w:contextualSpacing w:val="0"/>
    </w:pPr>
    <w:rPr>
      <w:kern w:val="0"/>
      <w:sz w:val="24"/>
      <w:szCs w:val="20"/>
    </w:rPr>
  </w:style>
  <w:style w:type="character" w:customStyle="1" w:styleId="123">
    <w:name w:val="表格标题_"/>
    <w:basedOn w:val="38"/>
    <w:link w:val="124"/>
    <w:unhideWhenUsed/>
    <w:qFormat/>
    <w:uiPriority w:val="99"/>
    <w:rPr>
      <w:rFonts w:ascii="Arial Unicode MS" w:hAnsi="Arial Unicode MS" w:eastAsia="Arial Unicode MS"/>
      <w:sz w:val="23"/>
      <w:shd w:val="clear" w:color="auto" w:fill="FFFFFF"/>
    </w:rPr>
  </w:style>
  <w:style w:type="paragraph" w:customStyle="1" w:styleId="124">
    <w:name w:val="表格标题"/>
    <w:basedOn w:val="1"/>
    <w:link w:val="123"/>
    <w:unhideWhenUsed/>
    <w:qFormat/>
    <w:uiPriority w:val="99"/>
    <w:pPr>
      <w:shd w:val="clear" w:color="auto" w:fill="FFFFFF"/>
      <w:spacing w:line="240" w:lineRule="atLeast"/>
      <w:jc w:val="left"/>
    </w:pPr>
    <w:rPr>
      <w:rFonts w:ascii="Arial Unicode MS" w:hAnsi="Arial Unicode MS" w:eastAsia="Arial Unicode MS"/>
      <w:kern w:val="0"/>
      <w:sz w:val="23"/>
      <w:szCs w:val="20"/>
    </w:rPr>
  </w:style>
  <w:style w:type="paragraph" w:customStyle="1" w:styleId="125">
    <w:name w:val="图表说明-F7"/>
    <w:basedOn w:val="1"/>
    <w:qFormat/>
    <w:uiPriority w:val="0"/>
    <w:pPr>
      <w:spacing w:afterLines="18"/>
      <w:ind w:firstLine="600" w:firstLineChars="200"/>
      <w:jc w:val="center"/>
    </w:pPr>
    <w:rPr>
      <w:rFonts w:ascii="Arial" w:hAnsi="Arial" w:eastAsia="楷体"/>
      <w:sz w:val="24"/>
      <w:szCs w:val="20"/>
    </w:rPr>
  </w:style>
  <w:style w:type="paragraph" w:customStyle="1" w:styleId="126">
    <w:name w:val="样式 首行缩进:  0.77 厘米"/>
    <w:basedOn w:val="1"/>
    <w:qFormat/>
    <w:uiPriority w:val="0"/>
    <w:pPr>
      <w:spacing w:line="480" w:lineRule="auto"/>
      <w:ind w:firstLine="476" w:firstLineChars="200"/>
    </w:pPr>
    <w:rPr>
      <w:rFonts w:ascii="Arial" w:hAnsi="Arial" w:eastAsia="仿宋"/>
      <w:sz w:val="24"/>
      <w:szCs w:val="20"/>
    </w:rPr>
  </w:style>
  <w:style w:type="paragraph" w:customStyle="1" w:styleId="127">
    <w:name w:val="图标说明"/>
    <w:basedOn w:val="1"/>
    <w:link w:val="128"/>
    <w:qFormat/>
    <w:uiPriority w:val="0"/>
    <w:pPr>
      <w:spacing w:line="300" w:lineRule="auto"/>
    </w:pPr>
    <w:rPr>
      <w:rFonts w:ascii="Arial" w:hAnsi="Arial" w:eastAsia="楷体"/>
      <w:sz w:val="24"/>
      <w:szCs w:val="20"/>
    </w:rPr>
  </w:style>
  <w:style w:type="character" w:customStyle="1" w:styleId="128">
    <w:name w:val="图标说明 Char Char"/>
    <w:link w:val="127"/>
    <w:qFormat/>
    <w:uiPriority w:val="0"/>
    <w:rPr>
      <w:rFonts w:ascii="Arial" w:hAnsi="Arial" w:eastAsia="楷体"/>
      <w:kern w:val="2"/>
      <w:sz w:val="24"/>
    </w:rPr>
  </w:style>
  <w:style w:type="character" w:customStyle="1" w:styleId="129">
    <w:name w:val="正文文本_"/>
    <w:basedOn w:val="38"/>
    <w:link w:val="130"/>
    <w:unhideWhenUsed/>
    <w:qFormat/>
    <w:uiPriority w:val="99"/>
    <w:rPr>
      <w:rFonts w:ascii="Arial Unicode MS" w:hAnsi="Arial Unicode MS" w:eastAsia="Arial Unicode MS"/>
      <w:sz w:val="23"/>
      <w:shd w:val="clear" w:color="auto" w:fill="FFFFFF"/>
    </w:rPr>
  </w:style>
  <w:style w:type="paragraph" w:customStyle="1" w:styleId="130">
    <w:name w:val="正文文本1"/>
    <w:basedOn w:val="1"/>
    <w:link w:val="129"/>
    <w:unhideWhenUsed/>
    <w:qFormat/>
    <w:uiPriority w:val="99"/>
    <w:pPr>
      <w:shd w:val="clear" w:color="auto" w:fill="FFFFFF"/>
      <w:spacing w:line="240" w:lineRule="atLeast"/>
      <w:ind w:hanging="280"/>
      <w:jc w:val="left"/>
    </w:pPr>
    <w:rPr>
      <w:rFonts w:ascii="Arial Unicode MS" w:hAnsi="Arial Unicode MS" w:eastAsia="Arial Unicode MS"/>
      <w:kern w:val="0"/>
      <w:sz w:val="23"/>
      <w:szCs w:val="20"/>
    </w:rPr>
  </w:style>
  <w:style w:type="character" w:customStyle="1" w:styleId="131">
    <w:name w:val="正文文本 + 10 pt"/>
    <w:basedOn w:val="129"/>
    <w:unhideWhenUsed/>
    <w:qFormat/>
    <w:uiPriority w:val="99"/>
    <w:rPr>
      <w:rFonts w:hint="default" w:ascii="Arial Unicode MS" w:hAnsi="Arial Unicode MS" w:eastAsia="Arial Unicode MS"/>
      <w:sz w:val="20"/>
      <w:shd w:val="clear" w:color="auto" w:fill="FFFFFF"/>
      <w:lang w:val="en-US" w:eastAsia="zh-CN"/>
    </w:rPr>
  </w:style>
  <w:style w:type="character" w:customStyle="1" w:styleId="132">
    <w:name w:val="正文文本 + Bookman Old Style"/>
    <w:basedOn w:val="129"/>
    <w:unhideWhenUsed/>
    <w:qFormat/>
    <w:uiPriority w:val="99"/>
    <w:rPr>
      <w:rFonts w:hint="default" w:ascii="Bookman Old Style" w:hAnsi="Bookman Old Style" w:eastAsia="Bookman Old Style"/>
      <w:sz w:val="17"/>
      <w:shd w:val="clear" w:color="auto" w:fill="FFFFFF"/>
      <w:lang w:val="en-US" w:eastAsia="en-US"/>
    </w:rPr>
  </w:style>
  <w:style w:type="paragraph" w:customStyle="1" w:styleId="133">
    <w:name w:val="列出段落2"/>
    <w:basedOn w:val="1"/>
    <w:qFormat/>
    <w:uiPriority w:val="0"/>
    <w:pPr>
      <w:ind w:firstLine="420" w:firstLineChars="200"/>
    </w:pPr>
    <w:rPr>
      <w:szCs w:val="21"/>
    </w:rPr>
  </w:style>
  <w:style w:type="character" w:customStyle="1" w:styleId="134">
    <w:name w:val="正文文本 + MS Mincho"/>
    <w:basedOn w:val="129"/>
    <w:unhideWhenUsed/>
    <w:qFormat/>
    <w:uiPriority w:val="99"/>
    <w:rPr>
      <w:rFonts w:hint="default" w:ascii="MS Mincho" w:hAnsi="MS Mincho" w:eastAsia="MS Mincho"/>
      <w:sz w:val="23"/>
      <w:shd w:val="clear" w:color="auto" w:fill="FFFFFF"/>
      <w:lang w:val="en-US" w:eastAsia="zh-CN"/>
    </w:rPr>
  </w:style>
  <w:style w:type="character" w:customStyle="1" w:styleId="135">
    <w:name w:val="font11"/>
    <w:basedOn w:val="38"/>
    <w:qFormat/>
    <w:uiPriority w:val="0"/>
    <w:rPr>
      <w:rFonts w:hint="default" w:ascii="Times New Roman" w:hAnsi="Times New Roman" w:cs="Times New Roman"/>
      <w:color w:val="000000"/>
      <w:sz w:val="21"/>
      <w:szCs w:val="21"/>
      <w:u w:val="none"/>
    </w:rPr>
  </w:style>
  <w:style w:type="character" w:customStyle="1" w:styleId="136">
    <w:name w:val="font21"/>
    <w:basedOn w:val="38"/>
    <w:qFormat/>
    <w:uiPriority w:val="0"/>
    <w:rPr>
      <w:rFonts w:hint="eastAsia" w:ascii="宋体" w:hAnsi="宋体" w:eastAsia="宋体" w:cs="宋体"/>
      <w:color w:val="000000"/>
      <w:sz w:val="21"/>
      <w:szCs w:val="21"/>
      <w:u w:val="none"/>
    </w:rPr>
  </w:style>
  <w:style w:type="character" w:customStyle="1" w:styleId="137">
    <w:name w:val="font51"/>
    <w:basedOn w:val="38"/>
    <w:qFormat/>
    <w:uiPriority w:val="0"/>
    <w:rPr>
      <w:rFonts w:hint="default" w:ascii="Times New Roman" w:hAnsi="Times New Roman" w:cs="Times New Roman"/>
      <w:b/>
      <w:bCs/>
      <w:color w:val="000000"/>
      <w:sz w:val="21"/>
      <w:szCs w:val="21"/>
      <w:u w:val="none"/>
    </w:rPr>
  </w:style>
  <w:style w:type="character" w:customStyle="1" w:styleId="138">
    <w:name w:val="font41"/>
    <w:basedOn w:val="38"/>
    <w:qFormat/>
    <w:uiPriority w:val="0"/>
    <w:rPr>
      <w:rFonts w:hint="eastAsia" w:ascii="宋体" w:hAnsi="宋体" w:eastAsia="宋体" w:cs="宋体"/>
      <w:b/>
      <w:bCs/>
      <w:color w:val="000000"/>
      <w:sz w:val="21"/>
      <w:szCs w:val="21"/>
      <w:u w:val="none"/>
    </w:rPr>
  </w:style>
  <w:style w:type="character" w:customStyle="1" w:styleId="139">
    <w:name w:val="font71"/>
    <w:basedOn w:val="38"/>
    <w:qFormat/>
    <w:uiPriority w:val="0"/>
    <w:rPr>
      <w:rFonts w:hint="default" w:ascii="Times New Roman" w:hAnsi="Times New Roman" w:cs="Times New Roman"/>
      <w:color w:val="000000"/>
      <w:sz w:val="21"/>
      <w:szCs w:val="21"/>
      <w:u w:val="none"/>
      <w:vertAlign w:val="subscript"/>
    </w:rPr>
  </w:style>
  <w:style w:type="character" w:customStyle="1" w:styleId="140">
    <w:name w:val="font61"/>
    <w:basedOn w:val="38"/>
    <w:qFormat/>
    <w:uiPriority w:val="0"/>
    <w:rPr>
      <w:rFonts w:hint="default" w:ascii="Times New Roman" w:hAnsi="Times New Roman" w:cs="Times New Roman"/>
      <w:color w:val="000000"/>
      <w:sz w:val="21"/>
      <w:szCs w:val="21"/>
      <w:u w:val="none"/>
      <w:vertAlign w:val="superscript"/>
    </w:rPr>
  </w:style>
  <w:style w:type="character" w:customStyle="1" w:styleId="141">
    <w:name w:val="font31"/>
    <w:basedOn w:val="38"/>
    <w:qFormat/>
    <w:uiPriority w:val="0"/>
    <w:rPr>
      <w:rFonts w:hint="default" w:ascii="Times New Roman" w:hAnsi="Times New Roman" w:cs="Times New Roman"/>
      <w:color w:val="000000"/>
      <w:sz w:val="21"/>
      <w:szCs w:val="21"/>
      <w:u w:val="none"/>
    </w:rPr>
  </w:style>
  <w:style w:type="paragraph" w:customStyle="1" w:styleId="142">
    <w:name w:val="正文首行缩进1"/>
    <w:basedOn w:val="14"/>
    <w:qFormat/>
    <w:uiPriority w:val="0"/>
    <w:pPr>
      <w:spacing w:after="120"/>
      <w:ind w:firstLine="420" w:firstLineChars="100"/>
    </w:pPr>
    <w:rPr>
      <w:rFonts w:ascii="Times New Roman" w:hAnsi="Times New Roman"/>
      <w:sz w:val="21"/>
    </w:rPr>
  </w:style>
  <w:style w:type="paragraph" w:customStyle="1" w:styleId="143">
    <w:name w:val="修订1"/>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4C3CC-AE14-4E84-BBFC-E74263331F0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62</Pages>
  <Words>0</Words>
  <Characters>0</Characters>
  <Lines>415</Lines>
  <Paragraphs>116</Paragraphs>
  <TotalTime>26</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2025-02-06T08:11:00Z</dcterms:created>
  <dc:creator>mihailiang</dc:creator>
  <cp:lastModifiedBy>刘露</cp:lastModifiedBy>
  <cp:lastPrinted>2025-02-06T07:45:00Z</cp:lastPrinted>
  <dcterms:modified xsi:type="dcterms:W3CDTF">2025-02-07T08:52:13Z</dcterms:modified>
  <dc:title>基本情况</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205C2445EF554D98894063882E3D4829_13</vt:lpwstr>
  </property>
</Properties>
</file>