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FCCA9C">
      <w:pPr>
        <w:rPr>
          <w:rFonts w:hint="default" w:ascii="Times New Roman" w:hAnsi="Times New Roman" w:eastAsia="宋体" w:cs="Times New Roman"/>
          <w:color w:val="auto"/>
          <w:sz w:val="36"/>
          <w:szCs w:val="36"/>
          <w:highlight w:val="none"/>
        </w:rPr>
      </w:pPr>
    </w:p>
    <w:p w14:paraId="1CF595EB">
      <w:pPr>
        <w:rPr>
          <w:rFonts w:hint="default" w:ascii="Times New Roman" w:hAnsi="Times New Roman" w:eastAsia="宋体" w:cs="Times New Roman"/>
          <w:color w:val="auto"/>
          <w:sz w:val="36"/>
          <w:szCs w:val="36"/>
          <w:highlight w:val="none"/>
        </w:rPr>
      </w:pPr>
    </w:p>
    <w:p w14:paraId="14852AA5">
      <w:pPr>
        <w:rPr>
          <w:rFonts w:hint="default" w:ascii="Times New Roman" w:hAnsi="Times New Roman" w:eastAsia="宋体" w:cs="Times New Roman"/>
          <w:color w:val="auto"/>
          <w:sz w:val="36"/>
          <w:szCs w:val="36"/>
          <w:highlight w:val="none"/>
        </w:rPr>
      </w:pPr>
    </w:p>
    <w:p w14:paraId="53C1C05A">
      <w:pPr>
        <w:rPr>
          <w:rFonts w:hint="default" w:ascii="Times New Roman" w:hAnsi="Times New Roman" w:eastAsia="宋体" w:cs="Times New Roman"/>
          <w:color w:val="auto"/>
          <w:sz w:val="36"/>
          <w:szCs w:val="36"/>
          <w:highlight w:val="none"/>
        </w:rPr>
      </w:pPr>
    </w:p>
    <w:p w14:paraId="4AFD1051">
      <w:pPr>
        <w:rPr>
          <w:rFonts w:hint="default" w:ascii="Times New Roman" w:hAnsi="Times New Roman" w:eastAsia="宋体" w:cs="Times New Roman"/>
          <w:color w:val="auto"/>
          <w:sz w:val="36"/>
          <w:szCs w:val="36"/>
          <w:highlight w:val="none"/>
        </w:rPr>
      </w:pPr>
    </w:p>
    <w:p w14:paraId="6967C22C">
      <w:pPr>
        <w:adjustRightInd w:val="0"/>
        <w:snapToGrid w:val="0"/>
        <w:jc w:val="center"/>
        <w:rPr>
          <w:rFonts w:hint="default" w:ascii="Times New Roman" w:hAnsi="Times New Roman" w:eastAsia="宋体" w:cs="Times New Roman"/>
          <w:bCs/>
          <w:color w:val="auto"/>
          <w:sz w:val="72"/>
          <w:szCs w:val="72"/>
          <w:highlight w:val="none"/>
        </w:rPr>
      </w:pPr>
      <w:r>
        <w:rPr>
          <w:rFonts w:hint="default" w:ascii="Times New Roman" w:hAnsi="Times New Roman" w:eastAsia="宋体" w:cs="Times New Roman"/>
          <w:bCs/>
          <w:color w:val="auto"/>
          <w:sz w:val="72"/>
          <w:szCs w:val="72"/>
          <w:highlight w:val="none"/>
        </w:rPr>
        <w:t>建设项目环境影响报告表</w:t>
      </w:r>
    </w:p>
    <w:p w14:paraId="4C910E84">
      <w:pPr>
        <w:adjustRightInd w:val="0"/>
        <w:snapToGrid w:val="0"/>
        <w:spacing w:line="288" w:lineRule="auto"/>
        <w:jc w:val="center"/>
        <w:rPr>
          <w:rFonts w:hint="default" w:ascii="Times New Roman" w:hAnsi="Times New Roman" w:eastAsia="宋体" w:cs="Times New Roman"/>
          <w:color w:val="auto"/>
          <w:kern w:val="44"/>
          <w:sz w:val="44"/>
          <w:szCs w:val="44"/>
          <w:highlight w:val="none"/>
        </w:rPr>
      </w:pPr>
    </w:p>
    <w:p w14:paraId="73E6B372">
      <w:pPr>
        <w:jc w:val="center"/>
        <w:rPr>
          <w:rFonts w:hint="default" w:ascii="Times New Roman" w:hAnsi="Times New Roman" w:eastAsia="宋体" w:cs="Times New Roman"/>
          <w:color w:val="auto"/>
          <w:sz w:val="52"/>
          <w:szCs w:val="52"/>
          <w:highlight w:val="none"/>
        </w:rPr>
      </w:pPr>
    </w:p>
    <w:p w14:paraId="747EFFEA">
      <w:pPr>
        <w:ind w:firstLine="1040"/>
        <w:rPr>
          <w:rFonts w:hint="default" w:ascii="Times New Roman" w:hAnsi="Times New Roman" w:eastAsia="宋体" w:cs="Times New Roman"/>
          <w:color w:val="auto"/>
          <w:sz w:val="44"/>
          <w:szCs w:val="44"/>
          <w:highlight w:val="none"/>
        </w:rPr>
      </w:pPr>
    </w:p>
    <w:p w14:paraId="472CBC9A">
      <w:pPr>
        <w:ind w:firstLine="1040"/>
        <w:rPr>
          <w:rFonts w:hint="default" w:ascii="Times New Roman" w:hAnsi="Times New Roman" w:eastAsia="宋体" w:cs="Times New Roman"/>
          <w:color w:val="auto"/>
          <w:sz w:val="44"/>
          <w:szCs w:val="44"/>
          <w:highlight w:val="none"/>
        </w:rPr>
      </w:pPr>
    </w:p>
    <w:p w14:paraId="1A4C3EE2">
      <w:pPr>
        <w:ind w:firstLine="1040"/>
        <w:rPr>
          <w:rFonts w:hint="default" w:ascii="Times New Roman" w:hAnsi="Times New Roman" w:eastAsia="宋体" w:cs="Times New Roman"/>
          <w:color w:val="auto"/>
          <w:sz w:val="44"/>
          <w:szCs w:val="44"/>
          <w:highlight w:val="none"/>
        </w:rPr>
      </w:pPr>
    </w:p>
    <w:p w14:paraId="7A151CE5">
      <w:pPr>
        <w:ind w:firstLine="1040"/>
        <w:rPr>
          <w:rFonts w:hint="default" w:ascii="Times New Roman" w:hAnsi="Times New Roman" w:eastAsia="宋体" w:cs="Times New Roman"/>
          <w:color w:val="auto"/>
          <w:sz w:val="44"/>
          <w:szCs w:val="44"/>
          <w:highlight w:val="none"/>
        </w:rPr>
      </w:pPr>
    </w:p>
    <w:p w14:paraId="17027142">
      <w:pPr>
        <w:adjustRightInd w:val="0"/>
        <w:snapToGrid w:val="0"/>
        <w:spacing w:line="288" w:lineRule="auto"/>
        <w:rPr>
          <w:rFonts w:hint="default" w:ascii="Times New Roman" w:hAnsi="Times New Roman" w:eastAsia="宋体" w:cs="Times New Roman"/>
          <w:color w:val="auto"/>
          <w:sz w:val="44"/>
          <w:szCs w:val="44"/>
          <w:highlight w:val="none"/>
        </w:rPr>
      </w:pPr>
    </w:p>
    <w:p w14:paraId="53BFB263">
      <w:pPr>
        <w:adjustRightInd w:val="0"/>
        <w:snapToGrid w:val="0"/>
        <w:spacing w:line="360" w:lineRule="auto"/>
        <w:ind w:left="2238" w:leftChars="290" w:hanging="1600" w:hangingChars="500"/>
        <w:rPr>
          <w:rFonts w:hint="default" w:ascii="Times New Roman" w:hAnsi="Times New Roman" w:eastAsia="宋体" w:cs="Times New Roman"/>
          <w:color w:val="auto"/>
          <w:sz w:val="32"/>
          <w:szCs w:val="32"/>
          <w:highlight w:val="none"/>
          <w:u w:val="single"/>
        </w:rPr>
      </w:pPr>
      <w:r>
        <w:rPr>
          <w:rFonts w:hint="default" w:ascii="Times New Roman" w:hAnsi="Times New Roman" w:eastAsia="宋体" w:cs="Times New Roman"/>
          <w:color w:val="auto"/>
          <w:sz w:val="32"/>
          <w:szCs w:val="32"/>
          <w:highlight w:val="none"/>
        </w:rPr>
        <w:t>项目名称：</w:t>
      </w:r>
      <w:r>
        <w:rPr>
          <w:rFonts w:hint="default" w:ascii="Times New Roman" w:hAnsi="Times New Roman" w:eastAsia="宋体" w:cs="Times New Roman"/>
          <w:color w:val="auto"/>
          <w:sz w:val="32"/>
          <w:szCs w:val="32"/>
          <w:highlight w:val="none"/>
          <w:u w:val="single"/>
        </w:rPr>
        <w:t>华能围场“风光储氢热一体化”项目（光伏200MW）项目220kV送出线路工程项目</w:t>
      </w:r>
      <w:r>
        <w:rPr>
          <w:rFonts w:hint="default" w:ascii="Times New Roman" w:hAnsi="Times New Roman" w:eastAsia="宋体" w:cs="Times New Roman"/>
          <w:color w:val="auto"/>
          <w:spacing w:val="-28"/>
          <w:sz w:val="32"/>
          <w:szCs w:val="32"/>
          <w:highlight w:val="none"/>
          <w:u w:val="single"/>
        </w:rPr>
        <w:t xml:space="preserve"> </w:t>
      </w:r>
    </w:p>
    <w:p w14:paraId="7C2B6FC1">
      <w:pPr>
        <w:adjustRightInd w:val="0"/>
        <w:snapToGrid w:val="0"/>
        <w:spacing w:line="288" w:lineRule="auto"/>
        <w:ind w:left="2238" w:leftChars="290" w:hanging="1600" w:hangingChars="500"/>
        <w:rPr>
          <w:rFonts w:hint="default" w:ascii="Times New Roman" w:hAnsi="Times New Roman" w:eastAsia="宋体" w:cs="Times New Roman"/>
          <w:color w:val="auto"/>
          <w:sz w:val="36"/>
          <w:highlight w:val="none"/>
          <w:u w:val="single"/>
        </w:rPr>
      </w:pPr>
      <w:r>
        <w:rPr>
          <w:rFonts w:hint="default" w:ascii="Times New Roman" w:hAnsi="Times New Roman" w:eastAsia="宋体" w:cs="Times New Roman"/>
          <w:color w:val="auto"/>
          <w:sz w:val="32"/>
          <w:szCs w:val="32"/>
          <w:highlight w:val="none"/>
        </w:rPr>
        <w:t>建设单位（盖章）：</w:t>
      </w:r>
      <w:r>
        <w:rPr>
          <w:rFonts w:hint="default" w:ascii="Times New Roman" w:hAnsi="Times New Roman" w:eastAsia="宋体" w:cs="Times New Roman"/>
          <w:color w:val="auto"/>
          <w:sz w:val="32"/>
          <w:szCs w:val="32"/>
          <w:highlight w:val="none"/>
          <w:u w:val="single"/>
        </w:rPr>
        <w:t>围场满族蒙古族自治县阳洁光伏发电有限责任公司</w:t>
      </w:r>
    </w:p>
    <w:p w14:paraId="296B3F9E">
      <w:pPr>
        <w:adjustRightInd w:val="0"/>
        <w:snapToGrid w:val="0"/>
        <w:spacing w:line="288" w:lineRule="auto"/>
        <w:ind w:firstLine="1040"/>
        <w:rPr>
          <w:rFonts w:hint="default" w:ascii="Times New Roman" w:hAnsi="Times New Roman" w:eastAsia="宋体" w:cs="Times New Roman"/>
          <w:color w:val="auto"/>
          <w:sz w:val="36"/>
          <w:highlight w:val="none"/>
        </w:rPr>
      </w:pPr>
    </w:p>
    <w:p w14:paraId="127457A9">
      <w:pPr>
        <w:adjustRightInd w:val="0"/>
        <w:snapToGrid w:val="0"/>
        <w:spacing w:line="288" w:lineRule="auto"/>
        <w:ind w:firstLine="1040"/>
        <w:rPr>
          <w:rFonts w:hint="default" w:ascii="Times New Roman" w:hAnsi="Times New Roman" w:eastAsia="宋体" w:cs="Times New Roman"/>
          <w:color w:val="auto"/>
          <w:sz w:val="36"/>
          <w:highlight w:val="none"/>
        </w:rPr>
      </w:pPr>
    </w:p>
    <w:p w14:paraId="145397E8">
      <w:pPr>
        <w:adjustRightInd w:val="0"/>
        <w:snapToGrid w:val="0"/>
        <w:spacing w:line="288" w:lineRule="auto"/>
        <w:ind w:firstLine="1040"/>
        <w:rPr>
          <w:rFonts w:hint="default" w:ascii="Times New Roman" w:hAnsi="Times New Roman" w:eastAsia="宋体" w:cs="Times New Roman"/>
          <w:color w:val="auto"/>
          <w:sz w:val="36"/>
          <w:highlight w:val="none"/>
        </w:rPr>
      </w:pPr>
    </w:p>
    <w:p w14:paraId="65F76AE2">
      <w:pPr>
        <w:adjustRightInd w:val="0"/>
        <w:snapToGrid w:val="0"/>
        <w:spacing w:line="288" w:lineRule="auto"/>
        <w:ind w:firstLine="1040"/>
        <w:rPr>
          <w:rFonts w:hint="default" w:ascii="Times New Roman" w:hAnsi="Times New Roman" w:eastAsia="宋体" w:cs="Times New Roman"/>
          <w:color w:val="auto"/>
          <w:sz w:val="36"/>
          <w:highlight w:val="none"/>
        </w:rPr>
      </w:pPr>
    </w:p>
    <w:p w14:paraId="5FCC4481">
      <w:pPr>
        <w:adjustRightInd w:val="0"/>
        <w:snapToGrid w:val="0"/>
        <w:spacing w:line="360" w:lineRule="auto"/>
        <w:ind w:left="440" w:leftChars="200" w:firstLine="640" w:firstLineChars="200"/>
        <w:rPr>
          <w:rFonts w:hint="default" w:ascii="Times New Roman" w:hAnsi="Times New Roman" w:eastAsia="宋体" w:cs="Times New Roman"/>
          <w:color w:val="auto"/>
          <w:sz w:val="32"/>
          <w:szCs w:val="32"/>
          <w:highlight w:val="none"/>
        </w:rPr>
      </w:pPr>
    </w:p>
    <w:p w14:paraId="3A6CF1FD">
      <w:pPr>
        <w:adjustRightInd w:val="0"/>
        <w:snapToGrid w:val="0"/>
        <w:spacing w:line="360" w:lineRule="auto"/>
        <w:ind w:firstLine="640" w:firstLineChars="200"/>
        <w:rPr>
          <w:rFonts w:hint="default" w:ascii="Times New Roman" w:hAnsi="Times New Roman" w:eastAsia="宋体" w:cs="Times New Roman"/>
          <w:color w:val="auto"/>
          <w:sz w:val="32"/>
          <w:szCs w:val="32"/>
          <w:highlight w:val="none"/>
          <w:u w:val="single"/>
        </w:rPr>
      </w:pPr>
      <w:r>
        <w:rPr>
          <w:rFonts w:hint="default" w:ascii="Times New Roman" w:hAnsi="Times New Roman" w:eastAsia="宋体" w:cs="Times New Roman"/>
          <w:color w:val="auto"/>
          <w:sz w:val="32"/>
          <w:szCs w:val="32"/>
          <w:highlight w:val="none"/>
        </w:rPr>
        <w:t>编制单位：</w:t>
      </w:r>
      <w:r>
        <w:rPr>
          <w:rFonts w:hint="default" w:ascii="Times New Roman" w:hAnsi="Times New Roman" w:eastAsia="宋体" w:cs="Times New Roman"/>
          <w:color w:val="auto"/>
          <w:sz w:val="32"/>
          <w:szCs w:val="32"/>
          <w:highlight w:val="none"/>
          <w:u w:val="single"/>
        </w:rPr>
        <w:t xml:space="preserve">              河北冀跃工程咨询有限公司                   </w:t>
      </w:r>
    </w:p>
    <w:p w14:paraId="327C8A24">
      <w:pPr>
        <w:adjustRightInd w:val="0"/>
        <w:snapToGrid w:val="0"/>
        <w:spacing w:line="360" w:lineRule="auto"/>
        <w:ind w:firstLine="640" w:firstLineChars="200"/>
        <w:rPr>
          <w:rFonts w:hint="default" w:ascii="Times New Roman" w:hAnsi="Times New Roman" w:eastAsia="宋体" w:cs="Times New Roman"/>
          <w:color w:val="auto"/>
          <w:sz w:val="32"/>
          <w:highlight w:val="none"/>
        </w:rPr>
        <w:sectPr>
          <w:footerReference r:id="rId4" w:type="default"/>
          <w:headerReference r:id="rId3" w:type="even"/>
          <w:pgSz w:w="11910" w:h="16840"/>
          <w:pgMar w:top="1580" w:right="1320" w:bottom="1240" w:left="1340" w:header="0" w:footer="1043" w:gutter="0"/>
          <w:pgNumType w:start="1"/>
          <w:cols w:space="720" w:num="1"/>
          <w:docGrid w:linePitch="299" w:charSpace="0"/>
        </w:sectPr>
      </w:pPr>
      <w:r>
        <w:rPr>
          <w:rFonts w:hint="default" w:ascii="Times New Roman" w:hAnsi="Times New Roman" w:eastAsia="宋体" w:cs="Times New Roman"/>
          <w:color w:val="auto"/>
          <w:sz w:val="32"/>
          <w:szCs w:val="32"/>
          <w:highlight w:val="none"/>
        </w:rPr>
        <w:t>编制日期：</w:t>
      </w:r>
      <w:r>
        <w:rPr>
          <w:rFonts w:hint="default" w:ascii="Times New Roman" w:hAnsi="Times New Roman" w:eastAsia="宋体" w:cs="Times New Roman"/>
          <w:color w:val="auto"/>
          <w:sz w:val="32"/>
          <w:szCs w:val="32"/>
          <w:highlight w:val="none"/>
          <w:u w:val="single"/>
        </w:rPr>
        <w:t xml:space="preserve">                               2024年</w:t>
      </w:r>
      <w:r>
        <w:rPr>
          <w:rFonts w:hint="default" w:ascii="Times New Roman" w:hAnsi="Times New Roman" w:eastAsia="宋体" w:cs="Times New Roman"/>
          <w:color w:val="auto"/>
          <w:sz w:val="32"/>
          <w:szCs w:val="32"/>
          <w:highlight w:val="none"/>
          <w:u w:val="single"/>
          <w:lang w:val="en-US" w:eastAsia="zh-CN"/>
        </w:rPr>
        <w:t>9</w:t>
      </w:r>
      <w:r>
        <w:rPr>
          <w:rFonts w:hint="default" w:ascii="Times New Roman" w:hAnsi="Times New Roman" w:eastAsia="宋体" w:cs="Times New Roman"/>
          <w:color w:val="auto"/>
          <w:sz w:val="32"/>
          <w:szCs w:val="32"/>
          <w:highlight w:val="none"/>
          <w:u w:val="single"/>
        </w:rPr>
        <w:t xml:space="preserve">月                                </w:t>
      </w:r>
    </w:p>
    <w:p w14:paraId="2119D1E6">
      <w:pPr>
        <w:adjustRightInd w:val="0"/>
        <w:snapToGrid w:val="0"/>
        <w:spacing w:line="360" w:lineRule="auto"/>
        <w:rPr>
          <w:rFonts w:hint="default" w:ascii="Times New Roman" w:hAnsi="Times New Roman" w:eastAsia="宋体" w:cs="Times New Roman"/>
          <w:color w:val="auto"/>
          <w:sz w:val="32"/>
          <w:highlight w:val="none"/>
        </w:rPr>
      </w:pPr>
    </w:p>
    <w:p w14:paraId="16ABCA5B">
      <w:pPr>
        <w:adjustRightInd w:val="0"/>
        <w:snapToGrid w:val="0"/>
        <w:spacing w:line="360" w:lineRule="auto"/>
        <w:rPr>
          <w:rFonts w:hint="default" w:ascii="Times New Roman" w:hAnsi="Times New Roman" w:eastAsia="宋体" w:cs="Times New Roman"/>
          <w:color w:val="auto"/>
          <w:sz w:val="32"/>
          <w:highlight w:val="none"/>
        </w:rPr>
        <w:sectPr>
          <w:pgSz w:w="11910" w:h="16840"/>
          <w:pgMar w:top="1580" w:right="1320" w:bottom="1240" w:left="1340" w:header="0" w:footer="1043" w:gutter="0"/>
          <w:pgNumType w:start="1"/>
          <w:cols w:space="720" w:num="1"/>
          <w:docGrid w:linePitch="299" w:charSpace="0"/>
        </w:sectPr>
      </w:pPr>
    </w:p>
    <w:sdt>
      <w:sdtPr>
        <w:rPr>
          <w:rFonts w:hint="default" w:ascii="Times New Roman" w:hAnsi="Times New Roman" w:eastAsia="宋体" w:cs="Times New Roman"/>
          <w:color w:val="auto"/>
          <w:sz w:val="30"/>
          <w:szCs w:val="30"/>
          <w:highlight w:val="none"/>
          <w:lang w:val="zh-CN"/>
        </w:rPr>
        <w:id w:val="1522118732"/>
        <w:docPartObj>
          <w:docPartGallery w:val="Table of Contents"/>
          <w:docPartUnique/>
        </w:docPartObj>
      </w:sdtPr>
      <w:sdtEndPr>
        <w:rPr>
          <w:rFonts w:hint="default" w:ascii="Times New Roman" w:hAnsi="Times New Roman" w:eastAsia="宋体" w:cs="Times New Roman"/>
          <w:b/>
          <w:bCs/>
          <w:color w:val="auto"/>
          <w:sz w:val="22"/>
          <w:szCs w:val="22"/>
          <w:highlight w:val="none"/>
          <w:lang w:val="zh-CN"/>
        </w:rPr>
      </w:sdtEndPr>
      <w:sdtContent>
        <w:p w14:paraId="7B1B7A6D">
          <w:pPr>
            <w:pStyle w:val="114"/>
            <w:spacing w:line="480" w:lineRule="exact"/>
            <w:jc w:val="center"/>
            <w:rPr>
              <w:rFonts w:hint="default" w:ascii="Times New Roman" w:hAnsi="Times New Roman" w:eastAsia="宋体" w:cs="Times New Roman"/>
              <w:b/>
              <w:color w:val="auto"/>
              <w:sz w:val="30"/>
              <w:szCs w:val="30"/>
              <w:highlight w:val="none"/>
            </w:rPr>
          </w:pPr>
          <w:r>
            <w:rPr>
              <w:rFonts w:hint="default" w:ascii="Times New Roman" w:hAnsi="Times New Roman" w:eastAsia="宋体" w:cs="Times New Roman"/>
              <w:b/>
              <w:color w:val="auto"/>
              <w:sz w:val="30"/>
              <w:szCs w:val="30"/>
              <w:highlight w:val="none"/>
              <w:lang w:val="zh-CN"/>
            </w:rPr>
            <w:t>目</w:t>
          </w:r>
          <w:r>
            <w:rPr>
              <w:rFonts w:hint="default" w:ascii="Times New Roman" w:hAnsi="Times New Roman" w:eastAsia="宋体" w:cs="Times New Roman"/>
              <w:b/>
              <w:color w:val="auto"/>
              <w:sz w:val="30"/>
              <w:szCs w:val="30"/>
              <w:highlight w:val="none"/>
            </w:rPr>
            <w:t xml:space="preserve">  </w:t>
          </w:r>
          <w:r>
            <w:rPr>
              <w:rFonts w:hint="default" w:ascii="Times New Roman" w:hAnsi="Times New Roman" w:eastAsia="宋体" w:cs="Times New Roman"/>
              <w:b/>
              <w:color w:val="auto"/>
              <w:sz w:val="30"/>
              <w:szCs w:val="30"/>
              <w:highlight w:val="none"/>
              <w:lang w:val="zh-CN"/>
            </w:rPr>
            <w:t>录</w:t>
          </w:r>
        </w:p>
        <w:p w14:paraId="683492D1">
          <w:pPr>
            <w:pStyle w:val="22"/>
            <w:tabs>
              <w:tab w:val="right" w:leader="dot" w:pos="9240"/>
            </w:tabs>
            <w:spacing w:line="480" w:lineRule="exact"/>
            <w:rPr>
              <w:rFonts w:hint="default" w:ascii="Times New Roman" w:hAnsi="Times New Roman" w:eastAsia="宋体" w:cs="Times New Roman"/>
              <w:color w:val="auto"/>
              <w:kern w:val="2"/>
              <w:sz w:val="24"/>
              <w:szCs w:val="24"/>
              <w:highlight w:val="none"/>
              <w:lang w:eastAsia="zh-CN"/>
            </w:rPr>
          </w:pPr>
          <w:r>
            <w:rPr>
              <w:rFonts w:hint="default" w:ascii="Times New Roman" w:hAnsi="Times New Roman" w:eastAsia="宋体" w:cs="Times New Roman"/>
              <w:b/>
              <w:bCs/>
              <w:color w:val="auto"/>
              <w:highlight w:val="none"/>
              <w:lang w:val="zh-CN"/>
            </w:rPr>
            <w:fldChar w:fldCharType="begin"/>
          </w:r>
          <w:r>
            <w:rPr>
              <w:rFonts w:hint="default" w:ascii="Times New Roman" w:hAnsi="Times New Roman" w:eastAsia="宋体" w:cs="Times New Roman"/>
              <w:b/>
              <w:bCs/>
              <w:color w:val="auto"/>
              <w:highlight w:val="none"/>
              <w:lang w:val="zh-CN"/>
            </w:rPr>
            <w:instrText xml:space="preserve"> TOC \o "1-3" \h \z \u </w:instrText>
          </w:r>
          <w:r>
            <w:rPr>
              <w:rFonts w:hint="default" w:ascii="Times New Roman" w:hAnsi="Times New Roman" w:eastAsia="宋体" w:cs="Times New Roman"/>
              <w:b/>
              <w:bCs/>
              <w:color w:val="auto"/>
              <w:highlight w:val="none"/>
              <w:lang w:val="zh-CN"/>
            </w:rPr>
            <w:fldChar w:fldCharType="separate"/>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"_Toc150930986" </w:instrText>
          </w:r>
          <w:r>
            <w:rPr>
              <w:rFonts w:hint="default" w:ascii="Times New Roman" w:hAnsi="Times New Roman" w:cs="Times New Roman"/>
              <w:color w:val="auto"/>
              <w:highlight w:val="none"/>
            </w:rPr>
            <w:fldChar w:fldCharType="separate"/>
          </w:r>
          <w:r>
            <w:rPr>
              <w:rStyle w:val="36"/>
              <w:rFonts w:hint="default" w:ascii="Times New Roman" w:hAnsi="Times New Roman" w:eastAsia="宋体" w:cs="Times New Roman"/>
              <w:color w:val="auto"/>
              <w:sz w:val="24"/>
              <w:szCs w:val="24"/>
              <w:highlight w:val="none"/>
            </w:rPr>
            <w:t>一、建设项目基本情况</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_Toc150930986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43F1596E">
          <w:pPr>
            <w:pStyle w:val="22"/>
            <w:tabs>
              <w:tab w:val="right" w:leader="dot" w:pos="9240"/>
            </w:tabs>
            <w:spacing w:line="480" w:lineRule="exact"/>
            <w:rPr>
              <w:rFonts w:hint="default" w:ascii="Times New Roman" w:hAnsi="Times New Roman" w:eastAsia="宋体" w:cs="Times New Roman"/>
              <w:color w:val="auto"/>
              <w:kern w:val="2"/>
              <w:sz w:val="24"/>
              <w:szCs w:val="24"/>
              <w:highlight w:val="none"/>
              <w:lang w:eastAsia="zh-CN"/>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"_Toc150930987" </w:instrText>
          </w:r>
          <w:r>
            <w:rPr>
              <w:rFonts w:hint="default" w:ascii="Times New Roman" w:hAnsi="Times New Roman" w:cs="Times New Roman"/>
              <w:color w:val="auto"/>
              <w:highlight w:val="none"/>
            </w:rPr>
            <w:fldChar w:fldCharType="separate"/>
          </w:r>
          <w:r>
            <w:rPr>
              <w:rStyle w:val="36"/>
              <w:rFonts w:hint="default" w:ascii="Times New Roman" w:hAnsi="Times New Roman" w:eastAsia="宋体" w:cs="Times New Roman"/>
              <w:color w:val="auto"/>
              <w:sz w:val="24"/>
              <w:szCs w:val="24"/>
              <w:highlight w:val="none"/>
            </w:rPr>
            <w:t>二、建设项目工程分析</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_Toc150930987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25</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1D00B451">
          <w:pPr>
            <w:pStyle w:val="22"/>
            <w:tabs>
              <w:tab w:val="right" w:leader="dot" w:pos="9240"/>
            </w:tabs>
            <w:spacing w:line="480" w:lineRule="exact"/>
            <w:rPr>
              <w:rFonts w:hint="default" w:ascii="Times New Roman" w:hAnsi="Times New Roman" w:eastAsia="宋体" w:cs="Times New Roman"/>
              <w:color w:val="auto"/>
              <w:kern w:val="2"/>
              <w:sz w:val="24"/>
              <w:szCs w:val="24"/>
              <w:highlight w:val="none"/>
              <w:lang w:eastAsia="zh-CN"/>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"_Toc150930988" </w:instrText>
          </w:r>
          <w:r>
            <w:rPr>
              <w:rFonts w:hint="default" w:ascii="Times New Roman" w:hAnsi="Times New Roman" w:cs="Times New Roman"/>
              <w:color w:val="auto"/>
              <w:highlight w:val="none"/>
            </w:rPr>
            <w:fldChar w:fldCharType="separate"/>
          </w:r>
          <w:r>
            <w:rPr>
              <w:rStyle w:val="36"/>
              <w:rFonts w:hint="default" w:ascii="Times New Roman" w:hAnsi="Times New Roman" w:eastAsia="宋体" w:cs="Times New Roman"/>
              <w:color w:val="auto"/>
              <w:sz w:val="24"/>
              <w:szCs w:val="24"/>
              <w:highlight w:val="none"/>
            </w:rPr>
            <w:t>三、生态环境现状、保护目标及评价标准</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_Toc150930988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34</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3F125BB8">
          <w:pPr>
            <w:pStyle w:val="22"/>
            <w:tabs>
              <w:tab w:val="right" w:leader="dot" w:pos="9240"/>
            </w:tabs>
            <w:spacing w:line="480" w:lineRule="exact"/>
            <w:rPr>
              <w:rFonts w:hint="default" w:ascii="Times New Roman" w:hAnsi="Times New Roman" w:eastAsia="宋体" w:cs="Times New Roman"/>
              <w:color w:val="auto"/>
              <w:kern w:val="2"/>
              <w:sz w:val="24"/>
              <w:szCs w:val="24"/>
              <w:highlight w:val="none"/>
              <w:lang w:eastAsia="zh-CN"/>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"_Toc150930989" </w:instrText>
          </w:r>
          <w:r>
            <w:rPr>
              <w:rFonts w:hint="default" w:ascii="Times New Roman" w:hAnsi="Times New Roman" w:cs="Times New Roman"/>
              <w:color w:val="auto"/>
              <w:highlight w:val="none"/>
            </w:rPr>
            <w:fldChar w:fldCharType="separate"/>
          </w:r>
          <w:r>
            <w:rPr>
              <w:rStyle w:val="36"/>
              <w:rFonts w:hint="default" w:ascii="Times New Roman" w:hAnsi="Times New Roman" w:eastAsia="宋体" w:cs="Times New Roman"/>
              <w:color w:val="auto"/>
              <w:sz w:val="24"/>
              <w:szCs w:val="24"/>
              <w:highlight w:val="none"/>
            </w:rPr>
            <w:t>四、生态环境影响分析</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_Toc150930989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48</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3E5588F2">
          <w:pPr>
            <w:pStyle w:val="22"/>
            <w:tabs>
              <w:tab w:val="right" w:leader="dot" w:pos="9240"/>
            </w:tabs>
            <w:spacing w:line="480" w:lineRule="exact"/>
            <w:rPr>
              <w:rFonts w:hint="default" w:ascii="Times New Roman" w:hAnsi="Times New Roman" w:eastAsia="宋体" w:cs="Times New Roman"/>
              <w:color w:val="auto"/>
              <w:kern w:val="2"/>
              <w:sz w:val="24"/>
              <w:szCs w:val="24"/>
              <w:highlight w:val="none"/>
              <w:lang w:eastAsia="zh-CN"/>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"_Toc150930990" </w:instrText>
          </w:r>
          <w:r>
            <w:rPr>
              <w:rFonts w:hint="default" w:ascii="Times New Roman" w:hAnsi="Times New Roman" w:cs="Times New Roman"/>
              <w:color w:val="auto"/>
              <w:highlight w:val="none"/>
            </w:rPr>
            <w:fldChar w:fldCharType="separate"/>
          </w:r>
          <w:r>
            <w:rPr>
              <w:rStyle w:val="36"/>
              <w:rFonts w:hint="default" w:ascii="Times New Roman" w:hAnsi="Times New Roman" w:eastAsia="宋体" w:cs="Times New Roman"/>
              <w:color w:val="auto"/>
              <w:sz w:val="24"/>
              <w:szCs w:val="24"/>
              <w:highlight w:val="none"/>
            </w:rPr>
            <w:t>五、主要生态环境保护措施</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_Toc150930990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60</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7273835A">
          <w:pPr>
            <w:pStyle w:val="22"/>
            <w:tabs>
              <w:tab w:val="right" w:leader="dot" w:pos="9240"/>
            </w:tabs>
            <w:spacing w:line="480" w:lineRule="exact"/>
            <w:rPr>
              <w:rFonts w:hint="default" w:ascii="Times New Roman" w:hAnsi="Times New Roman" w:eastAsia="宋体" w:cs="Times New Roman"/>
              <w:color w:val="auto"/>
              <w:kern w:val="2"/>
              <w:sz w:val="24"/>
              <w:szCs w:val="24"/>
              <w:highlight w:val="none"/>
              <w:lang w:eastAsia="zh-CN"/>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"_Toc150930991" </w:instrText>
          </w:r>
          <w:r>
            <w:rPr>
              <w:rFonts w:hint="default" w:ascii="Times New Roman" w:hAnsi="Times New Roman" w:cs="Times New Roman"/>
              <w:color w:val="auto"/>
              <w:highlight w:val="none"/>
            </w:rPr>
            <w:fldChar w:fldCharType="separate"/>
          </w:r>
          <w:r>
            <w:rPr>
              <w:rStyle w:val="36"/>
              <w:rFonts w:hint="default" w:ascii="Times New Roman" w:hAnsi="Times New Roman" w:eastAsia="宋体" w:cs="Times New Roman"/>
              <w:color w:val="auto"/>
              <w:sz w:val="24"/>
              <w:szCs w:val="24"/>
              <w:highlight w:val="none"/>
            </w:rPr>
            <w:t>六、环境保护措施监督检查清单</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_Toc150930991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72</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548312EC">
          <w:pPr>
            <w:pStyle w:val="22"/>
            <w:tabs>
              <w:tab w:val="right" w:leader="dot" w:pos="9240"/>
            </w:tabs>
            <w:spacing w:line="480" w:lineRule="exact"/>
            <w:rPr>
              <w:rFonts w:hint="default" w:ascii="Times New Roman" w:hAnsi="Times New Roman" w:eastAsia="宋体" w:cs="Times New Roman"/>
              <w:color w:val="auto"/>
              <w:kern w:val="2"/>
              <w:sz w:val="21"/>
              <w:szCs w:val="22"/>
              <w:highlight w:val="none"/>
              <w:lang w:eastAsia="zh-CN"/>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"_Toc150930992" </w:instrText>
          </w:r>
          <w:r>
            <w:rPr>
              <w:rFonts w:hint="default" w:ascii="Times New Roman" w:hAnsi="Times New Roman" w:cs="Times New Roman"/>
              <w:color w:val="auto"/>
              <w:highlight w:val="none"/>
            </w:rPr>
            <w:fldChar w:fldCharType="separate"/>
          </w:r>
          <w:r>
            <w:rPr>
              <w:rStyle w:val="36"/>
              <w:rFonts w:hint="default" w:ascii="Times New Roman" w:hAnsi="Times New Roman" w:eastAsia="宋体" w:cs="Times New Roman"/>
              <w:color w:val="auto"/>
              <w:sz w:val="24"/>
              <w:szCs w:val="24"/>
              <w:highlight w:val="none"/>
            </w:rPr>
            <w:t>七、结论</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_Toc150930992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75</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0EA5588D">
          <w:pPr>
            <w:spacing w:line="480" w:lineRule="exact"/>
            <w:rPr>
              <w:rFonts w:hint="default" w:ascii="Times New Roman" w:hAnsi="Times New Roman" w:eastAsia="宋体" w:cs="Times New Roman"/>
              <w:color w:val="auto"/>
              <w:highlight w:val="none"/>
            </w:rPr>
            <w:sectPr>
              <w:pgSz w:w="11910" w:h="16840"/>
              <w:pgMar w:top="1580" w:right="1320" w:bottom="1240" w:left="1340" w:header="0" w:footer="1043" w:gutter="0"/>
              <w:pgNumType w:start="1"/>
              <w:cols w:space="720" w:num="1"/>
              <w:docGrid w:linePitch="299" w:charSpace="0"/>
            </w:sectPr>
          </w:pPr>
          <w:r>
            <w:rPr>
              <w:rFonts w:hint="default" w:ascii="Times New Roman" w:hAnsi="Times New Roman" w:eastAsia="宋体" w:cs="Times New Roman"/>
              <w:b/>
              <w:bCs/>
              <w:color w:val="auto"/>
              <w:highlight w:val="none"/>
              <w:lang w:val="zh-CN"/>
            </w:rPr>
            <w:fldChar w:fldCharType="end"/>
          </w:r>
        </w:p>
      </w:sdtContent>
    </w:sdt>
    <w:p w14:paraId="337C59A0">
      <w:pPr>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br w:type="page"/>
      </w:r>
    </w:p>
    <w:p w14:paraId="4487103D">
      <w:pPr>
        <w:spacing w:line="480" w:lineRule="exact"/>
        <w:jc w:val="center"/>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附</w:t>
      </w:r>
      <w:r>
        <w:rPr>
          <w:rFonts w:hint="eastAsia" w:ascii="Times New Roman" w:hAnsi="Times New Roman" w:eastAsia="宋体" w:cs="Times New Roman"/>
          <w:b/>
          <w:bCs/>
          <w:color w:val="auto"/>
          <w:sz w:val="28"/>
          <w:szCs w:val="28"/>
          <w:highlight w:val="none"/>
          <w:lang w:val="en-US" w:eastAsia="zh-CN"/>
        </w:rPr>
        <w:t xml:space="preserve">    </w:t>
      </w:r>
      <w:r>
        <w:rPr>
          <w:rFonts w:hint="default" w:ascii="Times New Roman" w:hAnsi="Times New Roman" w:eastAsia="宋体" w:cs="Times New Roman"/>
          <w:b/>
          <w:bCs/>
          <w:color w:val="auto"/>
          <w:sz w:val="28"/>
          <w:szCs w:val="28"/>
          <w:highlight w:val="none"/>
        </w:rPr>
        <w:t>图</w:t>
      </w:r>
    </w:p>
    <w:p w14:paraId="0C86C815">
      <w:pPr>
        <w:spacing w:line="48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附图1   地理位置图</w:t>
      </w:r>
    </w:p>
    <w:p w14:paraId="29B691E4">
      <w:pPr>
        <w:spacing w:line="48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附图2   拟建项目路径图</w:t>
      </w:r>
    </w:p>
    <w:p w14:paraId="5C079D83">
      <w:pPr>
        <w:spacing w:line="48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附图3   拟建项目周边关系及监测布点图</w:t>
      </w:r>
    </w:p>
    <w:p w14:paraId="2B328195">
      <w:pPr>
        <w:spacing w:line="48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附图4   承德市环境管控单元分布图</w:t>
      </w:r>
    </w:p>
    <w:p w14:paraId="4BA2068C">
      <w:pPr>
        <w:spacing w:line="48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附图5  本项目杆塔一览图</w:t>
      </w:r>
    </w:p>
    <w:p w14:paraId="21E20566">
      <w:pPr>
        <w:spacing w:line="48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附图6  本项目杆塔基础图</w:t>
      </w:r>
    </w:p>
    <w:p w14:paraId="76F5DA0A">
      <w:pPr>
        <w:spacing w:line="48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附图7  本项目相序示意图</w:t>
      </w:r>
    </w:p>
    <w:p w14:paraId="50BAB67B">
      <w:pPr>
        <w:spacing w:line="48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附图8  预测杆塔图</w:t>
      </w:r>
    </w:p>
    <w:p w14:paraId="25F76879">
      <w:pPr>
        <w:spacing w:line="48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附图9   典型生态恢复措施布局图</w:t>
      </w:r>
    </w:p>
    <w:p w14:paraId="1F6FB0FE">
      <w:pPr>
        <w:spacing w:line="48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附图10  全国生态功能区划图</w:t>
      </w:r>
    </w:p>
    <w:p w14:paraId="1AE5BB3F">
      <w:pPr>
        <w:spacing w:line="48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附图11   河北省主体功能区划图</w:t>
      </w:r>
    </w:p>
    <w:p w14:paraId="7A4D117C">
      <w:pPr>
        <w:spacing w:line="48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附图12   </w:t>
      </w:r>
      <w:r>
        <w:rPr>
          <w:rFonts w:hint="default" w:ascii="Times New Roman" w:hAnsi="Times New Roman" w:eastAsia="宋体" w:cs="Times New Roman"/>
          <w:color w:val="auto"/>
          <w:highlight w:val="none"/>
        </w:rPr>
        <w:t xml:space="preserve"> </w:t>
      </w:r>
      <w:r>
        <w:rPr>
          <w:rFonts w:hint="default" w:ascii="Times New Roman" w:hAnsi="Times New Roman" w:eastAsia="宋体" w:cs="Times New Roman"/>
          <w:color w:val="auto"/>
          <w:sz w:val="24"/>
          <w:szCs w:val="24"/>
          <w:highlight w:val="none"/>
        </w:rPr>
        <w:t>河北省生态功能区划图</w:t>
      </w:r>
    </w:p>
    <w:p w14:paraId="79A4CBB0">
      <w:pPr>
        <w:pStyle w:val="38"/>
        <w:spacing w:line="48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附图13    承德市环境功能区划图</w:t>
      </w:r>
    </w:p>
    <w:p w14:paraId="422712B4">
      <w:pPr>
        <w:pStyle w:val="38"/>
        <w:spacing w:line="48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附图14    项目与承德市重点水源涵养生态功能保护区关系图</w:t>
      </w:r>
    </w:p>
    <w:p w14:paraId="1F9B2A5A">
      <w:pPr>
        <w:pStyle w:val="38"/>
        <w:spacing w:line="48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附图15    项目地利用现状图</w:t>
      </w:r>
    </w:p>
    <w:p w14:paraId="0C83FC6D">
      <w:pPr>
        <w:pStyle w:val="38"/>
        <w:spacing w:line="48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附图16    项目地表水系图</w:t>
      </w:r>
    </w:p>
    <w:p w14:paraId="42197402">
      <w:pPr>
        <w:pStyle w:val="38"/>
        <w:spacing w:line="48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附图17    项目生态评价范围图</w:t>
      </w:r>
    </w:p>
    <w:p w14:paraId="3E9C902C">
      <w:pPr>
        <w:pStyle w:val="38"/>
        <w:spacing w:line="48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附图18    项目生态评价范围地形地貌图</w:t>
      </w:r>
    </w:p>
    <w:p w14:paraId="24BFE87E">
      <w:pPr>
        <w:pStyle w:val="38"/>
        <w:spacing w:line="48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附图19    拟建项目周边植被类型图</w:t>
      </w:r>
    </w:p>
    <w:p w14:paraId="04A84478">
      <w:pPr>
        <w:pStyle w:val="38"/>
        <w:spacing w:line="48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附图20    围场县植被覆盖度空间分布图</w:t>
      </w:r>
    </w:p>
    <w:p w14:paraId="46FA709C">
      <w:pPr>
        <w:pStyle w:val="38"/>
        <w:spacing w:line="48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附图21    本项目与河北滦河上游国家级自然保护区功能区划图</w:t>
      </w:r>
    </w:p>
    <w:p w14:paraId="07721EC1">
      <w:pPr>
        <w:pStyle w:val="38"/>
        <w:spacing w:line="48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附图22  本项目平断面定位图</w:t>
      </w:r>
      <w:bookmarkStart w:id="22" w:name="_GoBack"/>
      <w:bookmarkEnd w:id="22"/>
    </w:p>
    <w:p w14:paraId="70054F4A">
      <w:pPr>
        <w:pStyle w:val="38"/>
        <w:spacing w:line="48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附图23  本项目生态样方样线分布图</w:t>
      </w:r>
    </w:p>
    <w:p w14:paraId="16BFCA2A">
      <w:pPr>
        <w:spacing w:line="480" w:lineRule="exact"/>
        <w:jc w:val="center"/>
        <w:rPr>
          <w:rFonts w:hint="default" w:ascii="Times New Roman" w:hAnsi="Times New Roman" w:eastAsia="宋体" w:cs="Times New Roman"/>
          <w:b/>
          <w:bCs/>
          <w:color w:val="auto"/>
          <w:sz w:val="24"/>
          <w:szCs w:val="24"/>
          <w:highlight w:val="none"/>
        </w:rPr>
      </w:pPr>
    </w:p>
    <w:p w14:paraId="5D174868">
      <w:pPr>
        <w:spacing w:line="480" w:lineRule="exact"/>
        <w:jc w:val="center"/>
        <w:rPr>
          <w:rFonts w:hint="default" w:ascii="Times New Roman" w:hAnsi="Times New Roman" w:eastAsia="宋体" w:cs="Times New Roman"/>
          <w:b/>
          <w:bCs/>
          <w:color w:val="auto"/>
          <w:sz w:val="24"/>
          <w:szCs w:val="24"/>
          <w:highlight w:val="none"/>
        </w:rPr>
      </w:pPr>
    </w:p>
    <w:p w14:paraId="24C8D5D4">
      <w:pPr>
        <w:spacing w:line="480" w:lineRule="exact"/>
        <w:jc w:val="center"/>
        <w:rPr>
          <w:rFonts w:hint="default" w:ascii="Times New Roman" w:hAnsi="Times New Roman" w:eastAsia="宋体" w:cs="Times New Roman"/>
          <w:b/>
          <w:bCs/>
          <w:color w:val="auto"/>
          <w:sz w:val="24"/>
          <w:szCs w:val="24"/>
          <w:highlight w:val="none"/>
        </w:rPr>
      </w:pPr>
    </w:p>
    <w:p w14:paraId="657056FC">
      <w:pPr>
        <w:spacing w:line="480" w:lineRule="exact"/>
        <w:jc w:val="center"/>
        <w:rPr>
          <w:rFonts w:hint="default" w:ascii="Times New Roman" w:hAnsi="Times New Roman" w:eastAsia="宋体" w:cs="Times New Roman"/>
          <w:b/>
          <w:bCs/>
          <w:color w:val="auto"/>
          <w:sz w:val="24"/>
          <w:szCs w:val="24"/>
          <w:highlight w:val="none"/>
        </w:rPr>
      </w:pPr>
    </w:p>
    <w:p w14:paraId="5A2164F2">
      <w:pPr>
        <w:spacing w:line="480" w:lineRule="exact"/>
        <w:jc w:val="center"/>
        <w:rPr>
          <w:rFonts w:hint="default" w:ascii="Times New Roman" w:hAnsi="Times New Roman" w:eastAsia="宋体" w:cs="Times New Roman"/>
          <w:b/>
          <w:bCs/>
          <w:color w:val="auto"/>
          <w:sz w:val="24"/>
          <w:szCs w:val="24"/>
          <w:highlight w:val="none"/>
        </w:rPr>
      </w:pPr>
    </w:p>
    <w:p w14:paraId="56BB5F89">
      <w:pPr>
        <w:spacing w:line="480" w:lineRule="exact"/>
        <w:jc w:val="center"/>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附</w:t>
      </w:r>
      <w:r>
        <w:rPr>
          <w:rFonts w:hint="eastAsia" w:ascii="Times New Roman" w:hAnsi="Times New Roman" w:eastAsia="宋体" w:cs="Times New Roman"/>
          <w:b/>
          <w:bCs/>
          <w:color w:val="auto"/>
          <w:sz w:val="28"/>
          <w:szCs w:val="28"/>
          <w:highlight w:val="none"/>
          <w:lang w:val="en-US" w:eastAsia="zh-CN"/>
        </w:rPr>
        <w:t xml:space="preserve">    </w:t>
      </w:r>
      <w:r>
        <w:rPr>
          <w:rFonts w:hint="default" w:ascii="Times New Roman" w:hAnsi="Times New Roman" w:eastAsia="宋体" w:cs="Times New Roman"/>
          <w:b/>
          <w:bCs/>
          <w:color w:val="auto"/>
          <w:sz w:val="28"/>
          <w:szCs w:val="28"/>
          <w:highlight w:val="none"/>
        </w:rPr>
        <w:t>件</w:t>
      </w:r>
    </w:p>
    <w:p w14:paraId="393BAE3C">
      <w:pPr>
        <w:spacing w:line="48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附件1  委托书</w:t>
      </w:r>
    </w:p>
    <w:p w14:paraId="4197FC1A">
      <w:pPr>
        <w:spacing w:line="48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附件2  营业执照</w:t>
      </w:r>
    </w:p>
    <w:p w14:paraId="7EAF5625">
      <w:pPr>
        <w:spacing w:line="48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附件3  项目核准文件</w:t>
      </w:r>
    </w:p>
    <w:p w14:paraId="2788CE71">
      <w:pPr>
        <w:spacing w:line="48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附件4  接入系统意见</w:t>
      </w:r>
    </w:p>
    <w:p w14:paraId="46648869">
      <w:pPr>
        <w:spacing w:line="480" w:lineRule="exact"/>
        <w:rPr>
          <w:rFonts w:hint="default" w:ascii="Times New Roman" w:hAnsi="Times New Roman" w:eastAsia="宋体" w:cs="Times New Roman"/>
          <w:iCs/>
          <w:color w:val="auto"/>
          <w:kern w:val="13"/>
          <w:sz w:val="24"/>
          <w:szCs w:val="24"/>
          <w:highlight w:val="none"/>
        </w:rPr>
      </w:pPr>
      <w:r>
        <w:rPr>
          <w:rFonts w:hint="default" w:ascii="Times New Roman" w:hAnsi="Times New Roman" w:eastAsia="宋体" w:cs="Times New Roman"/>
          <w:color w:val="auto"/>
          <w:sz w:val="24"/>
          <w:szCs w:val="24"/>
          <w:highlight w:val="none"/>
        </w:rPr>
        <w:t>附件5  主体环评批复</w:t>
      </w:r>
    </w:p>
    <w:p w14:paraId="19D2094D">
      <w:pPr>
        <w:spacing w:line="48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附件6  选线意见</w:t>
      </w:r>
    </w:p>
    <w:p w14:paraId="29BB8AB1">
      <w:pPr>
        <w:spacing w:line="48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附件7  项目现状监测报告</w:t>
      </w:r>
    </w:p>
    <w:p w14:paraId="1AC4793A">
      <w:pPr>
        <w:spacing w:line="480" w:lineRule="exact"/>
        <w:rPr>
          <w:rFonts w:hint="default" w:ascii="Times New Roman" w:hAnsi="Times New Roman" w:eastAsia="宋体" w:cs="Times New Roman"/>
          <w:iCs/>
          <w:color w:val="auto"/>
          <w:kern w:val="13"/>
          <w:sz w:val="24"/>
          <w:szCs w:val="24"/>
          <w:highlight w:val="none"/>
        </w:rPr>
      </w:pPr>
      <w:r>
        <w:rPr>
          <w:rFonts w:hint="default" w:ascii="Times New Roman" w:hAnsi="Times New Roman" w:eastAsia="宋体" w:cs="Times New Roman"/>
          <w:iCs/>
          <w:color w:val="auto"/>
          <w:kern w:val="13"/>
          <w:sz w:val="24"/>
          <w:szCs w:val="24"/>
          <w:highlight w:val="none"/>
        </w:rPr>
        <w:t>附件8  类比监测报告</w:t>
      </w:r>
    </w:p>
    <w:p w14:paraId="7E6B6023">
      <w:pPr>
        <w:rPr>
          <w:rFonts w:hint="default" w:ascii="Times New Roman" w:hAnsi="Times New Roman" w:eastAsia="宋体" w:cs="Times New Roman"/>
          <w:iCs/>
          <w:color w:val="auto"/>
          <w:kern w:val="13"/>
          <w:sz w:val="24"/>
          <w:szCs w:val="24"/>
          <w:highlight w:val="none"/>
        </w:rPr>
      </w:pPr>
    </w:p>
    <w:p w14:paraId="78541626">
      <w:pPr>
        <w:pStyle w:val="3"/>
        <w:rPr>
          <w:rFonts w:hint="default" w:ascii="Times New Roman" w:hAnsi="Times New Roman" w:cs="Times New Roman"/>
          <w:color w:val="auto"/>
          <w:highlight w:val="none"/>
        </w:rPr>
      </w:pPr>
    </w:p>
    <w:p w14:paraId="4CE29E53">
      <w:pPr>
        <w:adjustRightInd w:val="0"/>
        <w:snapToGrid w:val="0"/>
        <w:spacing w:line="288" w:lineRule="auto"/>
        <w:rPr>
          <w:rFonts w:hint="default" w:ascii="Times New Roman" w:hAnsi="Times New Roman" w:eastAsia="宋体" w:cs="Times New Roman"/>
          <w:color w:val="auto"/>
          <w:sz w:val="36"/>
          <w:szCs w:val="36"/>
          <w:highlight w:val="none"/>
        </w:rPr>
      </w:pPr>
    </w:p>
    <w:p w14:paraId="0A802899">
      <w:pPr>
        <w:adjustRightInd w:val="0"/>
        <w:snapToGrid w:val="0"/>
        <w:spacing w:line="288" w:lineRule="auto"/>
        <w:jc w:val="center"/>
        <w:rPr>
          <w:rFonts w:hint="default" w:ascii="Times New Roman" w:hAnsi="Times New Roman" w:eastAsia="宋体" w:cs="Times New Roman"/>
          <w:color w:val="auto"/>
          <w:sz w:val="36"/>
          <w:highlight w:val="none"/>
        </w:rPr>
        <w:sectPr>
          <w:pgSz w:w="11910" w:h="16840"/>
          <w:pgMar w:top="1580" w:right="1320" w:bottom="1240" w:left="1340" w:header="0" w:footer="1043" w:gutter="0"/>
          <w:pgNumType w:start="1"/>
          <w:cols w:space="720" w:num="1"/>
          <w:docGrid w:linePitch="299" w:charSpace="0"/>
        </w:sectPr>
      </w:pPr>
    </w:p>
    <w:p w14:paraId="42597A1E">
      <w:pPr>
        <w:pStyle w:val="12"/>
        <w:spacing w:line="550" w:lineRule="exact"/>
        <w:ind w:left="635" w:right="652"/>
        <w:jc w:val="center"/>
        <w:outlineLvl w:val="0"/>
        <w:rPr>
          <w:rFonts w:hint="default" w:ascii="Times New Roman" w:hAnsi="Times New Roman" w:eastAsia="宋体" w:cs="Times New Roman"/>
          <w:color w:val="auto"/>
          <w:highlight w:val="none"/>
        </w:rPr>
      </w:pPr>
      <w:bookmarkStart w:id="0" w:name="_Toc150930986"/>
      <w:r>
        <w:rPr>
          <w:rFonts w:hint="default" w:ascii="Times New Roman" w:hAnsi="Times New Roman" w:eastAsia="宋体" w:cs="Times New Roman"/>
          <w:color w:val="auto"/>
          <w:highlight w:val="none"/>
        </w:rPr>
        <w:t>一、建设项目基本情况</w:t>
      </w:r>
      <w:bookmarkEnd w:id="0"/>
    </w:p>
    <w:p w14:paraId="7DAEB5AC">
      <w:pPr>
        <w:pStyle w:val="12"/>
        <w:spacing w:before="3"/>
        <w:rPr>
          <w:rFonts w:hint="default" w:ascii="Times New Roman" w:hAnsi="Times New Roman" w:eastAsia="宋体" w:cs="Times New Roman"/>
          <w:color w:val="auto"/>
          <w:sz w:val="8"/>
          <w:highlight w:val="none"/>
        </w:rPr>
      </w:pPr>
    </w:p>
    <w:tbl>
      <w:tblPr>
        <w:tblStyle w:val="39"/>
        <w:tblW w:w="9067" w:type="dxa"/>
        <w:tblInd w:w="19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19"/>
        <w:gridCol w:w="1991"/>
        <w:gridCol w:w="2247"/>
        <w:gridCol w:w="3810"/>
      </w:tblGrid>
      <w:tr w14:paraId="3746F6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1019" w:type="dxa"/>
            <w:tcBorders>
              <w:bottom w:val="single" w:color="000000" w:sz="4" w:space="0"/>
              <w:right w:val="single" w:color="000000" w:sz="4" w:space="0"/>
            </w:tcBorders>
            <w:vAlign w:val="center"/>
          </w:tcPr>
          <w:p w14:paraId="327C9374">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建设项目名称</w:t>
            </w:r>
          </w:p>
        </w:tc>
        <w:tc>
          <w:tcPr>
            <w:tcW w:w="8048" w:type="dxa"/>
            <w:gridSpan w:val="3"/>
            <w:tcBorders>
              <w:left w:val="single" w:color="000000" w:sz="4" w:space="0"/>
              <w:bottom w:val="single" w:color="000000" w:sz="4" w:space="0"/>
            </w:tcBorders>
            <w:vAlign w:val="center"/>
          </w:tcPr>
          <w:p w14:paraId="7031884D">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华能围场“风光储氢热一体化”项目（光伏200MW）项目220kV送出线路工程项目</w:t>
            </w:r>
          </w:p>
        </w:tc>
      </w:tr>
      <w:tr w14:paraId="3B2EAF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1019" w:type="dxa"/>
            <w:tcBorders>
              <w:top w:val="single" w:color="000000" w:sz="4" w:space="0"/>
              <w:bottom w:val="single" w:color="000000" w:sz="4" w:space="0"/>
              <w:right w:val="single" w:color="000000" w:sz="4" w:space="0"/>
            </w:tcBorders>
            <w:vAlign w:val="center"/>
          </w:tcPr>
          <w:p w14:paraId="387A9206">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项目代码</w:t>
            </w:r>
          </w:p>
        </w:tc>
        <w:tc>
          <w:tcPr>
            <w:tcW w:w="8048" w:type="dxa"/>
            <w:gridSpan w:val="3"/>
            <w:tcBorders>
              <w:top w:val="single" w:color="000000" w:sz="4" w:space="0"/>
              <w:left w:val="single" w:color="000000" w:sz="4" w:space="0"/>
              <w:bottom w:val="single" w:color="000000" w:sz="4" w:space="0"/>
            </w:tcBorders>
            <w:vAlign w:val="center"/>
          </w:tcPr>
          <w:p w14:paraId="5140BA0F">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2401-130800-89-01-759066</w:t>
            </w:r>
          </w:p>
        </w:tc>
      </w:tr>
      <w:tr w14:paraId="479FF1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1019" w:type="dxa"/>
            <w:tcBorders>
              <w:top w:val="single" w:color="000000" w:sz="4" w:space="0"/>
              <w:bottom w:val="single" w:color="000000" w:sz="4" w:space="0"/>
              <w:right w:val="single" w:color="000000" w:sz="4" w:space="0"/>
            </w:tcBorders>
            <w:vAlign w:val="center"/>
          </w:tcPr>
          <w:p w14:paraId="08FDC118">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建设单位联系人</w:t>
            </w:r>
          </w:p>
        </w:tc>
        <w:tc>
          <w:tcPr>
            <w:tcW w:w="1991" w:type="dxa"/>
            <w:tcBorders>
              <w:top w:val="single" w:color="000000" w:sz="4" w:space="0"/>
              <w:left w:val="single" w:color="000000" w:sz="4" w:space="0"/>
              <w:bottom w:val="single" w:color="000000" w:sz="4" w:space="0"/>
              <w:right w:val="single" w:color="000000" w:sz="4" w:space="0"/>
            </w:tcBorders>
            <w:vAlign w:val="center"/>
          </w:tcPr>
          <w:p w14:paraId="09E55A83">
            <w:pPr>
              <w:pStyle w:val="41"/>
              <w:autoSpaceDE/>
              <w:autoSpaceDN/>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李海涛</w:t>
            </w:r>
          </w:p>
        </w:tc>
        <w:tc>
          <w:tcPr>
            <w:tcW w:w="2247" w:type="dxa"/>
            <w:tcBorders>
              <w:top w:val="single" w:color="000000" w:sz="4" w:space="0"/>
              <w:left w:val="single" w:color="000000" w:sz="4" w:space="0"/>
              <w:bottom w:val="single" w:color="000000" w:sz="4" w:space="0"/>
              <w:right w:val="single" w:color="000000" w:sz="4" w:space="0"/>
            </w:tcBorders>
            <w:vAlign w:val="center"/>
          </w:tcPr>
          <w:p w14:paraId="3ECE0E2F">
            <w:pPr>
              <w:pStyle w:val="41"/>
              <w:autoSpaceDE/>
              <w:autoSpaceDN/>
              <w:ind w:right="79"/>
              <w:jc w:val="center"/>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联系方式</w:t>
            </w:r>
          </w:p>
        </w:tc>
        <w:tc>
          <w:tcPr>
            <w:tcW w:w="3810" w:type="dxa"/>
            <w:tcBorders>
              <w:top w:val="single" w:color="000000" w:sz="4" w:space="0"/>
              <w:left w:val="single" w:color="000000" w:sz="4" w:space="0"/>
              <w:bottom w:val="single" w:color="000000" w:sz="4" w:space="0"/>
            </w:tcBorders>
            <w:vAlign w:val="center"/>
          </w:tcPr>
          <w:p w14:paraId="0202FC91">
            <w:pPr>
              <w:pStyle w:val="41"/>
              <w:autoSpaceDE/>
              <w:autoSpaceDN/>
              <w:jc w:val="center"/>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rPr>
              <w:t>18</w:t>
            </w:r>
            <w:r>
              <w:rPr>
                <w:rFonts w:hint="default" w:ascii="Times New Roman" w:hAnsi="Times New Roman" w:eastAsia="宋体" w:cs="Times New Roman"/>
                <w:color w:val="auto"/>
                <w:sz w:val="24"/>
                <w:szCs w:val="24"/>
                <w:highlight w:val="none"/>
              </w:rPr>
              <w:t>432846777</w:t>
            </w:r>
          </w:p>
        </w:tc>
      </w:tr>
      <w:tr w14:paraId="4F3C48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1019" w:type="dxa"/>
            <w:tcBorders>
              <w:top w:val="single" w:color="000000" w:sz="4" w:space="0"/>
              <w:bottom w:val="single" w:color="000000" w:sz="4" w:space="0"/>
              <w:right w:val="single" w:color="000000" w:sz="4" w:space="0"/>
            </w:tcBorders>
            <w:vAlign w:val="center"/>
          </w:tcPr>
          <w:p w14:paraId="5E0D6A32">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8048" w:type="dxa"/>
            <w:gridSpan w:val="3"/>
            <w:tcBorders>
              <w:top w:val="single" w:color="000000" w:sz="4" w:space="0"/>
              <w:left w:val="single" w:color="000000" w:sz="4" w:space="0"/>
              <w:bottom w:val="single" w:color="000000" w:sz="4" w:space="0"/>
            </w:tcBorders>
            <w:vAlign w:val="center"/>
          </w:tcPr>
          <w:p w14:paraId="43AFEDA2">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线路途经河北省承德市围场满族蒙古族自治县</w:t>
            </w:r>
            <w:r>
              <w:rPr>
                <w:rFonts w:hint="eastAsia" w:ascii="Times New Roman" w:hAnsi="Times New Roman" w:eastAsia="宋体" w:cs="Times New Roman"/>
                <w:color w:val="auto"/>
                <w:sz w:val="24"/>
                <w:szCs w:val="24"/>
                <w:highlight w:val="none"/>
                <w:lang w:eastAsia="zh-CN"/>
              </w:rPr>
              <w:t>城子镇、老窝铺乡、御道口镇</w:t>
            </w:r>
          </w:p>
        </w:tc>
      </w:tr>
      <w:tr w14:paraId="3197FD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1019" w:type="dxa"/>
            <w:tcBorders>
              <w:top w:val="single" w:color="000000" w:sz="4" w:space="0"/>
              <w:bottom w:val="single" w:color="000000" w:sz="4" w:space="0"/>
              <w:right w:val="single" w:color="000000" w:sz="4" w:space="0"/>
            </w:tcBorders>
            <w:vAlign w:val="center"/>
          </w:tcPr>
          <w:p w14:paraId="56A8D403">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地理坐标</w:t>
            </w:r>
          </w:p>
        </w:tc>
        <w:tc>
          <w:tcPr>
            <w:tcW w:w="8048" w:type="dxa"/>
            <w:gridSpan w:val="3"/>
            <w:tcBorders>
              <w:top w:val="single" w:color="000000" w:sz="4" w:space="0"/>
              <w:left w:val="single" w:color="000000" w:sz="4" w:space="0"/>
              <w:bottom w:val="single" w:color="000000" w:sz="4" w:space="0"/>
            </w:tcBorders>
            <w:vAlign w:val="center"/>
          </w:tcPr>
          <w:p w14:paraId="25DA5ABF">
            <w:pPr>
              <w:adjustRightInd w:val="0"/>
              <w:snapToGrid w:val="0"/>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（线路起点坐标：东经117°0′39.395″，北纬42°3′48.658″；</w:t>
            </w:r>
          </w:p>
          <w:p w14:paraId="44D81B31">
            <w:pPr>
              <w:adjustRightInd w:val="0"/>
              <w:snapToGrid w:val="0"/>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线路终点坐标：东经117°11′5.024″，北纬41°58′9.475″）</w:t>
            </w:r>
          </w:p>
        </w:tc>
      </w:tr>
      <w:tr w14:paraId="5CE811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7" w:hRule="atLeast"/>
        </w:trPr>
        <w:tc>
          <w:tcPr>
            <w:tcW w:w="1019" w:type="dxa"/>
            <w:tcBorders>
              <w:top w:val="single" w:color="000000" w:sz="4" w:space="0"/>
              <w:bottom w:val="single" w:color="000000" w:sz="4" w:space="0"/>
              <w:right w:val="single" w:color="000000" w:sz="4" w:space="0"/>
            </w:tcBorders>
            <w:vAlign w:val="center"/>
          </w:tcPr>
          <w:p w14:paraId="2EE1CAD0">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14:paraId="272E5858">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p>
        </w:tc>
        <w:tc>
          <w:tcPr>
            <w:tcW w:w="1991" w:type="dxa"/>
            <w:tcBorders>
              <w:top w:val="single" w:color="000000" w:sz="4" w:space="0"/>
              <w:left w:val="single" w:color="000000" w:sz="4" w:space="0"/>
              <w:bottom w:val="single" w:color="000000" w:sz="4" w:space="0"/>
              <w:right w:val="single" w:color="000000" w:sz="4" w:space="0"/>
            </w:tcBorders>
            <w:vAlign w:val="center"/>
          </w:tcPr>
          <w:p w14:paraId="37FFE616">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五十五、核与辐射161输变电工程</w:t>
            </w:r>
          </w:p>
        </w:tc>
        <w:tc>
          <w:tcPr>
            <w:tcW w:w="2247" w:type="dxa"/>
            <w:tcBorders>
              <w:top w:val="single" w:color="000000" w:sz="4" w:space="0"/>
              <w:left w:val="single" w:color="000000" w:sz="4" w:space="0"/>
              <w:bottom w:val="single" w:color="000000" w:sz="4" w:space="0"/>
              <w:right w:val="single" w:color="000000" w:sz="4" w:space="0"/>
            </w:tcBorders>
            <w:vAlign w:val="center"/>
          </w:tcPr>
          <w:p w14:paraId="6F2AA3B8">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用地（用海）面积（m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）/长度（km）</w:t>
            </w:r>
          </w:p>
        </w:tc>
        <w:tc>
          <w:tcPr>
            <w:tcW w:w="3810" w:type="dxa"/>
            <w:tcBorders>
              <w:top w:val="single" w:color="000000" w:sz="4" w:space="0"/>
              <w:left w:val="single" w:color="000000" w:sz="4" w:space="0"/>
              <w:bottom w:val="single" w:color="000000" w:sz="4" w:space="0"/>
            </w:tcBorders>
            <w:vAlign w:val="center"/>
          </w:tcPr>
          <w:p w14:paraId="51D7BFDB">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线路长22.99km，线路塔基永久占地</w:t>
            </w:r>
            <w:r>
              <w:rPr>
                <w:rFonts w:hint="eastAsia" w:ascii="Times New Roman" w:hAnsi="Times New Roman" w:eastAsia="宋体" w:cs="Times New Roman"/>
                <w:color w:val="auto"/>
                <w:sz w:val="24"/>
                <w:szCs w:val="24"/>
                <w:highlight w:val="none"/>
                <w:lang w:eastAsia="zh-CN"/>
              </w:rPr>
              <w:t>6202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，施工临时占地3</w:t>
            </w:r>
            <w:r>
              <w:rPr>
                <w:rFonts w:hint="eastAsia" w:ascii="Times New Roman" w:hAnsi="Times New Roman" w:eastAsia="宋体" w:cs="Times New Roman"/>
                <w:color w:val="auto"/>
                <w:sz w:val="24"/>
                <w:szCs w:val="24"/>
                <w:highlight w:val="none"/>
                <w:lang w:val="en-US" w:eastAsia="zh-CN"/>
              </w:rPr>
              <w:t>7625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p>
        </w:tc>
      </w:tr>
      <w:tr w14:paraId="384166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33" w:hRule="atLeast"/>
        </w:trPr>
        <w:tc>
          <w:tcPr>
            <w:tcW w:w="1019" w:type="dxa"/>
            <w:tcBorders>
              <w:top w:val="single" w:color="000000" w:sz="4" w:space="0"/>
              <w:bottom w:val="single" w:color="000000" w:sz="4" w:space="0"/>
              <w:right w:val="single" w:color="000000" w:sz="4" w:space="0"/>
            </w:tcBorders>
            <w:vAlign w:val="center"/>
          </w:tcPr>
          <w:p w14:paraId="4DFBAB09">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建设性质</w:t>
            </w:r>
          </w:p>
        </w:tc>
        <w:tc>
          <w:tcPr>
            <w:tcW w:w="1991" w:type="dxa"/>
            <w:tcBorders>
              <w:top w:val="single" w:color="000000" w:sz="4" w:space="0"/>
              <w:left w:val="single" w:color="000000" w:sz="4" w:space="0"/>
              <w:bottom w:val="single" w:color="000000" w:sz="4" w:space="0"/>
              <w:right w:val="single" w:color="000000" w:sz="4" w:space="0"/>
            </w:tcBorders>
            <w:vAlign w:val="center"/>
          </w:tcPr>
          <w:p w14:paraId="4ADD5C26">
            <w:pPr>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☑新建（迁建）</w:t>
            </w:r>
          </w:p>
          <w:p w14:paraId="2924FC84">
            <w:pPr>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□改建</w:t>
            </w:r>
          </w:p>
          <w:p w14:paraId="0AF81E36">
            <w:pPr>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□扩建</w:t>
            </w:r>
          </w:p>
          <w:p w14:paraId="6BABB151">
            <w:pPr>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□技术改造</w:t>
            </w:r>
          </w:p>
        </w:tc>
        <w:tc>
          <w:tcPr>
            <w:tcW w:w="2247" w:type="dxa"/>
            <w:tcBorders>
              <w:top w:val="single" w:color="000000" w:sz="4" w:space="0"/>
              <w:left w:val="single" w:color="000000" w:sz="4" w:space="0"/>
              <w:bottom w:val="single" w:color="000000" w:sz="4" w:space="0"/>
              <w:right w:val="single" w:color="000000" w:sz="4" w:space="0"/>
            </w:tcBorders>
            <w:vAlign w:val="center"/>
          </w:tcPr>
          <w:p w14:paraId="34BE5701">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14:paraId="051C8E78">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申报情形</w:t>
            </w:r>
          </w:p>
        </w:tc>
        <w:tc>
          <w:tcPr>
            <w:tcW w:w="3810" w:type="dxa"/>
            <w:tcBorders>
              <w:top w:val="single" w:color="000000" w:sz="4" w:space="0"/>
              <w:left w:val="single" w:color="000000" w:sz="4" w:space="0"/>
              <w:bottom w:val="single" w:color="000000" w:sz="4" w:space="0"/>
            </w:tcBorders>
            <w:vAlign w:val="center"/>
          </w:tcPr>
          <w:p w14:paraId="3392418D">
            <w:pPr>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☑首次申报项目</w:t>
            </w:r>
          </w:p>
          <w:p w14:paraId="0CE97B4B">
            <w:pPr>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□不予批准后再次申报项目</w:t>
            </w:r>
          </w:p>
          <w:p w14:paraId="742BA125">
            <w:pPr>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□超五年重新审核项目</w:t>
            </w:r>
          </w:p>
          <w:p w14:paraId="48D1EB6C">
            <w:pPr>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□重大变动重新报批项目</w:t>
            </w:r>
          </w:p>
        </w:tc>
      </w:tr>
      <w:tr w14:paraId="2FDE77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8" w:hRule="atLeast"/>
        </w:trPr>
        <w:tc>
          <w:tcPr>
            <w:tcW w:w="1019" w:type="dxa"/>
            <w:tcBorders>
              <w:top w:val="single" w:color="000000" w:sz="4" w:space="0"/>
              <w:bottom w:val="single" w:color="000000" w:sz="4" w:space="0"/>
              <w:right w:val="single" w:color="000000" w:sz="4" w:space="0"/>
            </w:tcBorders>
            <w:vAlign w:val="center"/>
          </w:tcPr>
          <w:p w14:paraId="3FF7B5F0">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项目审批（核准）部门</w:t>
            </w:r>
          </w:p>
        </w:tc>
        <w:tc>
          <w:tcPr>
            <w:tcW w:w="1991" w:type="dxa"/>
            <w:tcBorders>
              <w:top w:val="single" w:color="000000" w:sz="4" w:space="0"/>
              <w:left w:val="single" w:color="000000" w:sz="4" w:space="0"/>
              <w:bottom w:val="single" w:color="000000" w:sz="4" w:space="0"/>
              <w:right w:val="single" w:color="000000" w:sz="4" w:space="0"/>
            </w:tcBorders>
            <w:vAlign w:val="center"/>
          </w:tcPr>
          <w:p w14:paraId="1D0B89A3">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承德市行政审批局</w:t>
            </w:r>
          </w:p>
        </w:tc>
        <w:tc>
          <w:tcPr>
            <w:tcW w:w="2247" w:type="dxa"/>
            <w:tcBorders>
              <w:top w:val="single" w:color="000000" w:sz="4" w:space="0"/>
              <w:left w:val="single" w:color="000000" w:sz="4" w:space="0"/>
              <w:bottom w:val="single" w:color="000000" w:sz="4" w:space="0"/>
              <w:right w:val="single" w:color="000000" w:sz="4" w:space="0"/>
            </w:tcBorders>
            <w:vAlign w:val="center"/>
          </w:tcPr>
          <w:p w14:paraId="5EABF6B3">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项目审批（核准）文号</w:t>
            </w:r>
          </w:p>
        </w:tc>
        <w:tc>
          <w:tcPr>
            <w:tcW w:w="3810" w:type="dxa"/>
            <w:tcBorders>
              <w:top w:val="single" w:color="000000" w:sz="4" w:space="0"/>
              <w:left w:val="single" w:color="000000" w:sz="4" w:space="0"/>
              <w:bottom w:val="single" w:color="000000" w:sz="4" w:space="0"/>
            </w:tcBorders>
            <w:vAlign w:val="center"/>
          </w:tcPr>
          <w:p w14:paraId="06240B9F">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承审批核字〔2024〕11号</w:t>
            </w:r>
          </w:p>
        </w:tc>
      </w:tr>
      <w:tr w14:paraId="6A51F9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1019" w:type="dxa"/>
            <w:tcBorders>
              <w:top w:val="single" w:color="000000" w:sz="4" w:space="0"/>
              <w:bottom w:val="single" w:color="000000" w:sz="4" w:space="0"/>
              <w:right w:val="single" w:color="000000" w:sz="4" w:space="0"/>
            </w:tcBorders>
            <w:vAlign w:val="center"/>
          </w:tcPr>
          <w:p w14:paraId="04891E17">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总投资（万元）</w:t>
            </w:r>
          </w:p>
        </w:tc>
        <w:tc>
          <w:tcPr>
            <w:tcW w:w="1991" w:type="dxa"/>
            <w:tcBorders>
              <w:top w:val="single" w:color="000000" w:sz="4" w:space="0"/>
              <w:left w:val="single" w:color="000000" w:sz="4" w:space="0"/>
              <w:bottom w:val="single" w:color="000000" w:sz="4" w:space="0"/>
              <w:right w:val="single" w:color="000000" w:sz="4" w:space="0"/>
            </w:tcBorders>
            <w:vAlign w:val="center"/>
          </w:tcPr>
          <w:p w14:paraId="1B5403F7">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3829.44</w:t>
            </w:r>
          </w:p>
        </w:tc>
        <w:tc>
          <w:tcPr>
            <w:tcW w:w="2247" w:type="dxa"/>
            <w:tcBorders>
              <w:top w:val="single" w:color="000000" w:sz="4" w:space="0"/>
              <w:left w:val="single" w:color="000000" w:sz="4" w:space="0"/>
              <w:bottom w:val="single" w:color="000000" w:sz="4" w:space="0"/>
              <w:right w:val="single" w:color="000000" w:sz="4" w:space="0"/>
            </w:tcBorders>
            <w:vAlign w:val="center"/>
          </w:tcPr>
          <w:p w14:paraId="0128E9A2">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环保投资（万元）</w:t>
            </w:r>
          </w:p>
        </w:tc>
        <w:tc>
          <w:tcPr>
            <w:tcW w:w="3810" w:type="dxa"/>
            <w:tcBorders>
              <w:top w:val="single" w:color="000000" w:sz="4" w:space="0"/>
              <w:left w:val="single" w:color="000000" w:sz="4" w:space="0"/>
              <w:bottom w:val="single" w:color="000000" w:sz="4" w:space="0"/>
            </w:tcBorders>
            <w:vAlign w:val="center"/>
          </w:tcPr>
          <w:p w14:paraId="1997A998">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240</w:t>
            </w:r>
          </w:p>
        </w:tc>
      </w:tr>
      <w:tr w14:paraId="299FA7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1019" w:type="dxa"/>
            <w:tcBorders>
              <w:top w:val="single" w:color="000000" w:sz="4" w:space="0"/>
              <w:bottom w:val="single" w:color="000000" w:sz="4" w:space="0"/>
              <w:right w:val="single" w:color="000000" w:sz="4" w:space="0"/>
            </w:tcBorders>
            <w:vAlign w:val="center"/>
          </w:tcPr>
          <w:p w14:paraId="65DC6059">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环保投资占比（%）</w:t>
            </w:r>
          </w:p>
        </w:tc>
        <w:tc>
          <w:tcPr>
            <w:tcW w:w="1991" w:type="dxa"/>
            <w:tcBorders>
              <w:top w:val="single" w:color="000000" w:sz="4" w:space="0"/>
              <w:left w:val="single" w:color="000000" w:sz="4" w:space="0"/>
              <w:bottom w:val="single" w:color="000000" w:sz="4" w:space="0"/>
              <w:right w:val="single" w:color="000000" w:sz="4" w:space="0"/>
            </w:tcBorders>
            <w:vAlign w:val="center"/>
          </w:tcPr>
          <w:p w14:paraId="52692021">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6.27</w:t>
            </w:r>
          </w:p>
        </w:tc>
        <w:tc>
          <w:tcPr>
            <w:tcW w:w="2247" w:type="dxa"/>
            <w:tcBorders>
              <w:top w:val="single" w:color="000000" w:sz="4" w:space="0"/>
              <w:left w:val="single" w:color="000000" w:sz="4" w:space="0"/>
              <w:bottom w:val="single" w:color="000000" w:sz="4" w:space="0"/>
              <w:right w:val="single" w:color="000000" w:sz="4" w:space="0"/>
            </w:tcBorders>
            <w:vAlign w:val="center"/>
          </w:tcPr>
          <w:p w14:paraId="26027E1D">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施工工期</w:t>
            </w:r>
          </w:p>
        </w:tc>
        <w:tc>
          <w:tcPr>
            <w:tcW w:w="3810" w:type="dxa"/>
            <w:tcBorders>
              <w:top w:val="single" w:color="000000" w:sz="4" w:space="0"/>
              <w:left w:val="single" w:color="000000" w:sz="4" w:space="0"/>
              <w:bottom w:val="single" w:color="000000" w:sz="4" w:space="0"/>
            </w:tcBorders>
            <w:vAlign w:val="center"/>
          </w:tcPr>
          <w:p w14:paraId="48ACD622">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4个月</w:t>
            </w:r>
          </w:p>
        </w:tc>
      </w:tr>
      <w:tr w14:paraId="1E99D5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8" w:hRule="atLeast"/>
        </w:trPr>
        <w:tc>
          <w:tcPr>
            <w:tcW w:w="1019" w:type="dxa"/>
            <w:tcBorders>
              <w:top w:val="single" w:color="000000" w:sz="4" w:space="0"/>
              <w:bottom w:val="single" w:color="000000" w:sz="4" w:space="0"/>
              <w:right w:val="single" w:color="000000" w:sz="4" w:space="0"/>
            </w:tcBorders>
            <w:vAlign w:val="center"/>
          </w:tcPr>
          <w:p w14:paraId="6CEF6837">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是否开工建设</w:t>
            </w:r>
          </w:p>
        </w:tc>
        <w:tc>
          <w:tcPr>
            <w:tcW w:w="8048" w:type="dxa"/>
            <w:gridSpan w:val="3"/>
            <w:tcBorders>
              <w:top w:val="single" w:color="000000" w:sz="4" w:space="0"/>
              <w:left w:val="single" w:color="000000" w:sz="4" w:space="0"/>
              <w:bottom w:val="single" w:color="000000" w:sz="4" w:space="0"/>
            </w:tcBorders>
            <w:vAlign w:val="center"/>
          </w:tcPr>
          <w:p w14:paraId="377DE8D0">
            <w:pPr>
              <w:adjustRightInd w:val="0"/>
              <w:snapToGrid w:val="0"/>
              <w:ind w:firstLine="105"/>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☑否</w:t>
            </w:r>
          </w:p>
          <w:p w14:paraId="74593D84">
            <w:pPr>
              <w:adjustRightInd w:val="0"/>
              <w:snapToGrid w:val="0"/>
              <w:ind w:firstLine="9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□是：</w:t>
            </w:r>
          </w:p>
        </w:tc>
      </w:tr>
      <w:tr w14:paraId="0204D5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2" w:hRule="atLeast"/>
        </w:trPr>
        <w:tc>
          <w:tcPr>
            <w:tcW w:w="1019" w:type="dxa"/>
            <w:tcBorders>
              <w:top w:val="single" w:color="000000" w:sz="4" w:space="0"/>
              <w:bottom w:val="single" w:color="000000" w:sz="4" w:space="0"/>
              <w:right w:val="single" w:color="000000" w:sz="4" w:space="0"/>
            </w:tcBorders>
            <w:vAlign w:val="center"/>
          </w:tcPr>
          <w:p w14:paraId="0EA0AD14">
            <w:pPr>
              <w:pStyle w:val="41"/>
              <w:spacing w:line="400" w:lineRule="exact"/>
              <w:ind w:right="79"/>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专项评价设置情况</w:t>
            </w:r>
          </w:p>
        </w:tc>
        <w:tc>
          <w:tcPr>
            <w:tcW w:w="8048" w:type="dxa"/>
            <w:gridSpan w:val="3"/>
            <w:tcBorders>
              <w:top w:val="single" w:color="000000" w:sz="4" w:space="0"/>
              <w:left w:val="single" w:color="000000" w:sz="4" w:space="0"/>
              <w:bottom w:val="single" w:color="000000" w:sz="4" w:space="0"/>
            </w:tcBorders>
            <w:vAlign w:val="center"/>
          </w:tcPr>
          <w:p w14:paraId="451C8B5E">
            <w:pPr>
              <w:pStyle w:val="41"/>
              <w:spacing w:line="400" w:lineRule="exact"/>
              <w:ind w:right="7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电磁环境、生态环境影响专项。</w:t>
            </w:r>
          </w:p>
          <w:p w14:paraId="731B6A57">
            <w:pPr>
              <w:pStyle w:val="41"/>
              <w:keepNext w:val="0"/>
              <w:keepLines w:val="0"/>
              <w:pageBreakBefore w:val="0"/>
              <w:widowControl w:val="0"/>
              <w:kinsoku/>
              <w:wordWrap/>
              <w:overflowPunct/>
              <w:topLinePunct w:val="0"/>
              <w:autoSpaceDE w:val="0"/>
              <w:autoSpaceDN w:val="0"/>
              <w:bidi w:val="0"/>
              <w:adjustRightInd/>
              <w:snapToGrid/>
              <w:spacing w:line="360" w:lineRule="auto"/>
              <w:ind w:right="79"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根据《环境影响评价技术导则  输变电》(HJ24-2020)附录B2.1要求，输变电建设项目环境影响报告表的格式和要求应设电磁环境影响专题评价，其评价等级、评价内容及格式按照导则有关电磁辐射环境影响评价要求进行。</w:t>
            </w:r>
          </w:p>
          <w:p w14:paraId="7DCB7999">
            <w:pPr>
              <w:pStyle w:val="41"/>
              <w:keepNext w:val="0"/>
              <w:keepLines w:val="0"/>
              <w:pageBreakBefore w:val="0"/>
              <w:widowControl w:val="0"/>
              <w:kinsoku/>
              <w:wordWrap/>
              <w:overflowPunct/>
              <w:topLinePunct w:val="0"/>
              <w:autoSpaceDE w:val="0"/>
              <w:autoSpaceDN w:val="0"/>
              <w:bidi w:val="0"/>
              <w:adjustRightInd/>
              <w:snapToGrid/>
              <w:spacing w:line="360" w:lineRule="auto"/>
              <w:ind w:right="79"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穿越河北滦河上游国家级自然保护区，在保护区内线路长度9094.58m（塔基23基），根据《建设项目环境影响报告表编制技术指南（生态影响类）》（试行）总体要求中表1专项评价设置原则表：涉及环境敏感区（不包括饮用水水源保护区、以居住、医疗卫生、文化教育、科研、行政办公为主要功能的区域，以及文物保护单位）的项目，因此本项目需编制生态影响专项评价。</w:t>
            </w:r>
          </w:p>
          <w:p w14:paraId="7844BEC6">
            <w:pPr>
              <w:keepNext w:val="0"/>
              <w:keepLines w:val="0"/>
              <w:pageBreakBefore w:val="0"/>
              <w:widowControl w:val="0"/>
              <w:kinsoku/>
              <w:wordWrap/>
              <w:overflowPunct/>
              <w:topLinePunct w:val="0"/>
              <w:bidi w:val="0"/>
              <w:spacing w:line="440" w:lineRule="exact"/>
              <w:jc w:val="center"/>
              <w:textAlignment w:val="auto"/>
              <w:rPr>
                <w:rFonts w:hint="default" w:ascii="Times New Roman" w:hAnsi="Times New Roman" w:eastAsia="宋体" w:cs="Times New Roman"/>
                <w:b/>
                <w:bCs/>
                <w:color w:val="auto"/>
                <w:sz w:val="21"/>
                <w:szCs w:val="21"/>
                <w:highlight w:val="none"/>
                <w:lang w:val="en-US" w:eastAsia="zh-CN"/>
              </w:rPr>
            </w:pPr>
          </w:p>
          <w:p w14:paraId="5C720A70">
            <w:pPr>
              <w:keepNext w:val="0"/>
              <w:keepLines w:val="0"/>
              <w:pageBreakBefore w:val="0"/>
              <w:widowControl w:val="0"/>
              <w:kinsoku/>
              <w:wordWrap/>
              <w:overflowPunct/>
              <w:topLinePunct w:val="0"/>
              <w:bidi w:val="0"/>
              <w:spacing w:line="440" w:lineRule="exact"/>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表1-1</w:t>
            </w:r>
            <w:r>
              <w:rPr>
                <w:rFonts w:hint="eastAsia"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val="en-US" w:eastAsia="zh-CN"/>
              </w:rPr>
              <w:t>专项评价设置原则表</w:t>
            </w:r>
          </w:p>
          <w:tbl>
            <w:tblPr>
              <w:tblStyle w:val="32"/>
              <w:tblW w:w="4937" w:type="pct"/>
              <w:jc w:val="center"/>
              <w:tblLayout w:type="fixed"/>
              <w:tblCellMar>
                <w:top w:w="0" w:type="dxa"/>
                <w:left w:w="108" w:type="dxa"/>
                <w:bottom w:w="0" w:type="dxa"/>
                <w:right w:w="108" w:type="dxa"/>
              </w:tblCellMar>
            </w:tblPr>
            <w:tblGrid>
              <w:gridCol w:w="1252"/>
              <w:gridCol w:w="6680"/>
            </w:tblGrid>
            <w:tr w14:paraId="315455E1">
              <w:trPr>
                <w:trHeight w:val="454" w:hRule="atLeast"/>
                <w:tblHeader/>
                <w:jc w:val="center"/>
              </w:trPr>
              <w:tc>
                <w:tcPr>
                  <w:tcW w:w="788" w:type="pct"/>
                  <w:tcBorders>
                    <w:top w:val="single" w:color="auto" w:sz="4" w:space="0"/>
                    <w:left w:val="single" w:color="auto" w:sz="4" w:space="0"/>
                    <w:bottom w:val="single" w:color="auto" w:sz="4" w:space="0"/>
                    <w:right w:val="single" w:color="auto" w:sz="4" w:space="0"/>
                  </w:tcBorders>
                  <w:noWrap w:val="0"/>
                  <w:vAlign w:val="center"/>
                </w:tcPr>
                <w:p w14:paraId="0C30F12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专项评价的类别</w:t>
                  </w:r>
                </w:p>
              </w:tc>
              <w:tc>
                <w:tcPr>
                  <w:tcW w:w="4211" w:type="pct"/>
                  <w:tcBorders>
                    <w:top w:val="single" w:color="auto" w:sz="4" w:space="0"/>
                    <w:left w:val="nil"/>
                    <w:bottom w:val="single" w:color="auto" w:sz="4" w:space="0"/>
                    <w:right w:val="single" w:color="auto" w:sz="4" w:space="0"/>
                  </w:tcBorders>
                  <w:noWrap w:val="0"/>
                  <w:vAlign w:val="center"/>
                </w:tcPr>
                <w:p w14:paraId="625E923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涉及项目类别</w:t>
                  </w:r>
                </w:p>
              </w:tc>
            </w:tr>
            <w:tr w14:paraId="5BD776F4">
              <w:tblPrEx>
                <w:tblCellMar>
                  <w:top w:w="0" w:type="dxa"/>
                  <w:left w:w="108" w:type="dxa"/>
                  <w:bottom w:w="0" w:type="dxa"/>
                  <w:right w:w="108" w:type="dxa"/>
                </w:tblCellMar>
              </w:tblPrEx>
              <w:trPr>
                <w:trHeight w:val="1745" w:hRule="atLeast"/>
                <w:jc w:val="center"/>
              </w:trPr>
              <w:tc>
                <w:tcPr>
                  <w:tcW w:w="788" w:type="pct"/>
                  <w:tcBorders>
                    <w:top w:val="nil"/>
                    <w:left w:val="single" w:color="auto" w:sz="4" w:space="0"/>
                    <w:bottom w:val="single" w:color="auto" w:sz="4" w:space="0"/>
                    <w:right w:val="single" w:color="auto" w:sz="4" w:space="0"/>
                  </w:tcBorders>
                  <w:noWrap w:val="0"/>
                  <w:vAlign w:val="center"/>
                </w:tcPr>
                <w:p w14:paraId="3EEF639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w:t>
                  </w:r>
                </w:p>
              </w:tc>
              <w:tc>
                <w:tcPr>
                  <w:tcW w:w="4211" w:type="pct"/>
                  <w:tcBorders>
                    <w:top w:val="nil"/>
                    <w:left w:val="nil"/>
                    <w:bottom w:val="single" w:color="auto" w:sz="4" w:space="0"/>
                    <w:right w:val="single" w:color="auto" w:sz="4" w:space="0"/>
                  </w:tcBorders>
                  <w:noWrap w:val="0"/>
                  <w:vAlign w:val="center"/>
                </w:tcPr>
                <w:p w14:paraId="7FA07859">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水力发电：引水式发电、涉及调峰发电的项目；</w:t>
                  </w:r>
                </w:p>
                <w:p w14:paraId="63C74936">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人工湖、人工湿地：全部；</w:t>
                  </w:r>
                </w:p>
                <w:p w14:paraId="34D9B8D8">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水库：全部；</w:t>
                  </w:r>
                </w:p>
                <w:p w14:paraId="44827654">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引水工程：</w:t>
                  </w:r>
                  <w:bookmarkStart w:id="1" w:name="_Hlk54001413"/>
                  <w:r>
                    <w:rPr>
                      <w:rFonts w:hint="default" w:ascii="Times New Roman" w:hAnsi="Times New Roman" w:eastAsia="宋体" w:cs="Times New Roman"/>
                      <w:color w:val="auto"/>
                      <w:sz w:val="21"/>
                      <w:szCs w:val="21"/>
                      <w:highlight w:val="none"/>
                    </w:rPr>
                    <w:t>全部（配套的管线工程等</w:t>
                  </w:r>
                  <w:bookmarkEnd w:id="1"/>
                  <w:r>
                    <w:rPr>
                      <w:rFonts w:hint="default" w:ascii="Times New Roman" w:hAnsi="Times New Roman" w:eastAsia="宋体" w:cs="Times New Roman"/>
                      <w:color w:val="auto"/>
                      <w:sz w:val="21"/>
                      <w:szCs w:val="21"/>
                      <w:highlight w:val="none"/>
                    </w:rPr>
                    <w:t>除外）；</w:t>
                  </w:r>
                </w:p>
                <w:p w14:paraId="2B327ED8">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防洪除涝工程：包含水库的项目；</w:t>
                  </w:r>
                </w:p>
                <w:p w14:paraId="428CD2A4">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河湖整治：涉及清淤且底泥存在重金属污染的项目</w:t>
                  </w:r>
                </w:p>
              </w:tc>
            </w:tr>
            <w:tr w14:paraId="284E12A1">
              <w:tblPrEx>
                <w:tblCellMar>
                  <w:top w:w="0" w:type="dxa"/>
                  <w:left w:w="108" w:type="dxa"/>
                  <w:bottom w:w="0" w:type="dxa"/>
                  <w:right w:w="108" w:type="dxa"/>
                </w:tblCellMar>
              </w:tblPrEx>
              <w:trPr>
                <w:trHeight w:val="894" w:hRule="atLeast"/>
                <w:jc w:val="center"/>
              </w:trPr>
              <w:tc>
                <w:tcPr>
                  <w:tcW w:w="788" w:type="pct"/>
                  <w:tcBorders>
                    <w:top w:val="nil"/>
                    <w:left w:val="single" w:color="auto" w:sz="4" w:space="0"/>
                    <w:bottom w:val="single" w:color="auto" w:sz="4" w:space="0"/>
                    <w:right w:val="single" w:color="auto" w:sz="4" w:space="0"/>
                  </w:tcBorders>
                  <w:noWrap w:val="0"/>
                  <w:vAlign w:val="center"/>
                </w:tcPr>
                <w:p w14:paraId="5676969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地下水</w:t>
                  </w:r>
                </w:p>
              </w:tc>
              <w:tc>
                <w:tcPr>
                  <w:tcW w:w="4211" w:type="pct"/>
                  <w:tcBorders>
                    <w:top w:val="nil"/>
                    <w:left w:val="nil"/>
                    <w:bottom w:val="single" w:color="auto" w:sz="4" w:space="0"/>
                    <w:right w:val="single" w:color="auto" w:sz="4" w:space="0"/>
                  </w:tcBorders>
                  <w:noWrap w:val="0"/>
                  <w:vAlign w:val="center"/>
                </w:tcPr>
                <w:p w14:paraId="4B9C0B6C">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陆地石油和天然气开采：全部；</w:t>
                  </w:r>
                </w:p>
                <w:p w14:paraId="3FD02F67">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地下水（含矿泉水）开采：全部；</w:t>
                  </w:r>
                </w:p>
                <w:p w14:paraId="003C0AC6">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水利、水电、交通等：含穿越可溶岩地层隧道的项目</w:t>
                  </w:r>
                </w:p>
              </w:tc>
            </w:tr>
            <w:tr w14:paraId="7ECF805D">
              <w:tblPrEx>
                <w:tblCellMar>
                  <w:top w:w="0" w:type="dxa"/>
                  <w:left w:w="108" w:type="dxa"/>
                  <w:bottom w:w="0" w:type="dxa"/>
                  <w:right w:w="108" w:type="dxa"/>
                </w:tblCellMar>
              </w:tblPrEx>
              <w:trPr>
                <w:trHeight w:val="694" w:hRule="atLeast"/>
                <w:jc w:val="center"/>
              </w:trPr>
              <w:tc>
                <w:tcPr>
                  <w:tcW w:w="788" w:type="pct"/>
                  <w:tcBorders>
                    <w:top w:val="nil"/>
                    <w:left w:val="single" w:color="auto" w:sz="4" w:space="0"/>
                    <w:bottom w:val="single" w:color="auto" w:sz="4" w:space="0"/>
                    <w:right w:val="single" w:color="auto" w:sz="4" w:space="0"/>
                  </w:tcBorders>
                  <w:noWrap w:val="0"/>
                  <w:vAlign w:val="center"/>
                </w:tcPr>
                <w:p w14:paraId="353DB37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w:t>
                  </w:r>
                </w:p>
              </w:tc>
              <w:tc>
                <w:tcPr>
                  <w:tcW w:w="4211" w:type="pct"/>
                  <w:tcBorders>
                    <w:top w:val="nil"/>
                    <w:left w:val="nil"/>
                    <w:bottom w:val="single" w:color="auto" w:sz="4" w:space="0"/>
                    <w:right w:val="single" w:color="auto" w:sz="4" w:space="0"/>
                  </w:tcBorders>
                  <w:noWrap w:val="0"/>
                  <w:vAlign w:val="center"/>
                </w:tcPr>
                <w:p w14:paraId="79C081AB">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涉及环境敏感区（不包括饮用水水源保护区，以居住、医疗卫生、文化教育、科研、行政办公为主要功能的区域，以及文物保护单位）的项目</w:t>
                  </w:r>
                </w:p>
              </w:tc>
            </w:tr>
            <w:tr w14:paraId="7BA708DC">
              <w:tblPrEx>
                <w:tblCellMar>
                  <w:top w:w="0" w:type="dxa"/>
                  <w:left w:w="108" w:type="dxa"/>
                  <w:bottom w:w="0" w:type="dxa"/>
                  <w:right w:w="108" w:type="dxa"/>
                </w:tblCellMar>
              </w:tblPrEx>
              <w:trPr>
                <w:trHeight w:val="832" w:hRule="atLeast"/>
                <w:jc w:val="center"/>
              </w:trPr>
              <w:tc>
                <w:tcPr>
                  <w:tcW w:w="788" w:type="pct"/>
                  <w:tcBorders>
                    <w:top w:val="nil"/>
                    <w:left w:val="single" w:color="auto" w:sz="4" w:space="0"/>
                    <w:bottom w:val="single" w:color="auto" w:sz="4" w:space="0"/>
                    <w:right w:val="single" w:color="auto" w:sz="4" w:space="0"/>
                  </w:tcBorders>
                  <w:noWrap w:val="0"/>
                  <w:vAlign w:val="center"/>
                </w:tcPr>
                <w:p w14:paraId="2F7867E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w:t>
                  </w:r>
                </w:p>
              </w:tc>
              <w:tc>
                <w:tcPr>
                  <w:tcW w:w="4211" w:type="pct"/>
                  <w:tcBorders>
                    <w:top w:val="nil"/>
                    <w:left w:val="nil"/>
                    <w:bottom w:val="single" w:color="auto" w:sz="4" w:space="0"/>
                    <w:right w:val="single" w:color="auto" w:sz="4" w:space="0"/>
                  </w:tcBorders>
                  <w:noWrap w:val="0"/>
                  <w:vAlign w:val="center"/>
                </w:tcPr>
                <w:p w14:paraId="7183FECC">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油气、液体化工码头：全部；</w:t>
                  </w:r>
                </w:p>
                <w:p w14:paraId="03D4627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干散货（含煤炭、矿石）、件杂、多用途、通用码头：涉及粉尘、挥发性有机物排放的项目</w:t>
                  </w:r>
                </w:p>
              </w:tc>
            </w:tr>
            <w:tr w14:paraId="53583A03">
              <w:tblPrEx>
                <w:tblCellMar>
                  <w:top w:w="0" w:type="dxa"/>
                  <w:left w:w="108" w:type="dxa"/>
                  <w:bottom w:w="0" w:type="dxa"/>
                  <w:right w:w="108" w:type="dxa"/>
                </w:tblCellMar>
              </w:tblPrEx>
              <w:trPr>
                <w:trHeight w:val="702" w:hRule="atLeast"/>
                <w:jc w:val="center"/>
              </w:trPr>
              <w:tc>
                <w:tcPr>
                  <w:tcW w:w="788" w:type="pct"/>
                  <w:tcBorders>
                    <w:top w:val="nil"/>
                    <w:left w:val="single" w:color="auto" w:sz="4" w:space="0"/>
                    <w:bottom w:val="single" w:color="auto" w:sz="4" w:space="0"/>
                    <w:right w:val="single" w:color="auto" w:sz="4" w:space="0"/>
                  </w:tcBorders>
                  <w:noWrap w:val="0"/>
                  <w:vAlign w:val="center"/>
                </w:tcPr>
                <w:p w14:paraId="6FAB46F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4211" w:type="pct"/>
                  <w:tcBorders>
                    <w:top w:val="nil"/>
                    <w:left w:val="nil"/>
                    <w:bottom w:val="single" w:color="auto" w:sz="4" w:space="0"/>
                    <w:right w:val="single" w:color="auto" w:sz="4" w:space="0"/>
                  </w:tcBorders>
                  <w:noWrap w:val="0"/>
                  <w:vAlign w:val="center"/>
                </w:tcPr>
                <w:p w14:paraId="11A14D3C">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公路、铁路、机场等交通运输业涉及环境敏感区（以居住、医疗卫生、文化教育、科研、行政办公为主要功能的区域）的项目；</w:t>
                  </w:r>
                </w:p>
                <w:p w14:paraId="1C84C32B">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城市道路（不含维护，不含支路、人行天桥、人行地道）：全部</w:t>
                  </w:r>
                </w:p>
              </w:tc>
            </w:tr>
            <w:tr w14:paraId="29B4EF45">
              <w:tblPrEx>
                <w:tblCellMar>
                  <w:top w:w="0" w:type="dxa"/>
                  <w:left w:w="108" w:type="dxa"/>
                  <w:bottom w:w="0" w:type="dxa"/>
                  <w:right w:w="108" w:type="dxa"/>
                </w:tblCellMar>
              </w:tblPrEx>
              <w:trPr>
                <w:trHeight w:val="1137" w:hRule="atLeast"/>
                <w:jc w:val="center"/>
              </w:trPr>
              <w:tc>
                <w:tcPr>
                  <w:tcW w:w="788" w:type="pct"/>
                  <w:tcBorders>
                    <w:top w:val="single" w:color="auto" w:sz="4" w:space="0"/>
                    <w:left w:val="single" w:color="auto" w:sz="4" w:space="0"/>
                    <w:bottom w:val="single" w:color="auto" w:sz="4" w:space="0"/>
                    <w:right w:val="single" w:color="auto" w:sz="4" w:space="0"/>
                  </w:tcBorders>
                  <w:noWrap w:val="0"/>
                  <w:vAlign w:val="center"/>
                </w:tcPr>
                <w:p w14:paraId="1AC4151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环境风险</w:t>
                  </w:r>
                </w:p>
              </w:tc>
              <w:tc>
                <w:tcPr>
                  <w:tcW w:w="4211" w:type="pct"/>
                  <w:tcBorders>
                    <w:top w:val="single" w:color="auto" w:sz="4" w:space="0"/>
                    <w:left w:val="nil"/>
                    <w:bottom w:val="single" w:color="auto" w:sz="4" w:space="0"/>
                    <w:right w:val="single" w:color="auto" w:sz="4" w:space="0"/>
                  </w:tcBorders>
                  <w:noWrap w:val="0"/>
                  <w:vAlign w:val="center"/>
                </w:tcPr>
                <w:p w14:paraId="5B2C0A6A">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石油和天然气开采：全部；</w:t>
                  </w:r>
                </w:p>
                <w:p w14:paraId="2B2512BC">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油气、液体化工码头：全部；</w:t>
                  </w:r>
                </w:p>
                <w:p w14:paraId="08677793">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原油、成品油、天然气管线（不含城镇天然气管线、企业厂区内管线），危险化学品输送管线（不含企业厂区内管线）：全部</w:t>
                  </w:r>
                </w:p>
              </w:tc>
            </w:tr>
          </w:tbl>
          <w:p w14:paraId="37D47116">
            <w:pPr>
              <w:pStyle w:val="2"/>
              <w:spacing w:line="360" w:lineRule="exact"/>
              <w:ind w:firstLine="0" w:firstLineChars="0"/>
              <w:rPr>
                <w:rFonts w:hint="default"/>
              </w:rPr>
            </w:pPr>
            <w:r>
              <w:rPr>
                <w:rFonts w:hint="eastAsia" w:hAnsi="Times New Roman" w:cs="Times New Roman"/>
                <w:color w:val="auto"/>
                <w:sz w:val="21"/>
                <w:szCs w:val="21"/>
                <w:highlight w:val="none"/>
                <w:lang w:val="en-US" w:eastAsia="zh-CN"/>
              </w:rPr>
              <w:t>注：“涉及环境敏感区”是指建设项目位于、穿（跨）越（无害化通过的除外）环境敏感区，或环境影响范围涵盖环境敏感区。</w:t>
            </w:r>
          </w:p>
        </w:tc>
      </w:tr>
      <w:tr w14:paraId="25BBCD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1019" w:type="dxa"/>
            <w:tcBorders>
              <w:top w:val="single" w:color="000000" w:sz="4" w:space="0"/>
              <w:bottom w:val="single" w:color="000000" w:sz="4" w:space="0"/>
              <w:right w:val="single" w:color="000000" w:sz="4" w:space="0"/>
            </w:tcBorders>
            <w:vAlign w:val="center"/>
          </w:tcPr>
          <w:p w14:paraId="0E77A20C">
            <w:pPr>
              <w:pStyle w:val="41"/>
              <w:spacing w:line="400" w:lineRule="exact"/>
              <w:ind w:right="79"/>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规划情况</w:t>
            </w:r>
          </w:p>
        </w:tc>
        <w:tc>
          <w:tcPr>
            <w:tcW w:w="8048" w:type="dxa"/>
            <w:gridSpan w:val="3"/>
            <w:tcBorders>
              <w:top w:val="single" w:color="000000" w:sz="4" w:space="0"/>
              <w:left w:val="single" w:color="000000" w:sz="4" w:space="0"/>
              <w:bottom w:val="single" w:color="000000" w:sz="4" w:space="0"/>
            </w:tcBorders>
            <w:vAlign w:val="center"/>
          </w:tcPr>
          <w:p w14:paraId="1E906D3F">
            <w:pPr>
              <w:pStyle w:val="41"/>
              <w:spacing w:line="400" w:lineRule="exact"/>
              <w:ind w:right="79"/>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无</w:t>
            </w:r>
          </w:p>
        </w:tc>
      </w:tr>
      <w:tr w14:paraId="0750D3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1019" w:type="dxa"/>
            <w:tcBorders>
              <w:top w:val="single" w:color="000000" w:sz="4" w:space="0"/>
              <w:bottom w:val="single" w:color="000000" w:sz="4" w:space="0"/>
              <w:right w:val="single" w:color="000000" w:sz="4" w:space="0"/>
            </w:tcBorders>
            <w:vAlign w:val="center"/>
          </w:tcPr>
          <w:p w14:paraId="30D7ADE1">
            <w:pPr>
              <w:pStyle w:val="41"/>
              <w:spacing w:line="400" w:lineRule="exact"/>
              <w:ind w:right="79"/>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规划环境影响评价情况</w:t>
            </w:r>
          </w:p>
        </w:tc>
        <w:tc>
          <w:tcPr>
            <w:tcW w:w="8048" w:type="dxa"/>
            <w:gridSpan w:val="3"/>
            <w:tcBorders>
              <w:top w:val="single" w:color="000000" w:sz="4" w:space="0"/>
              <w:left w:val="single" w:color="000000" w:sz="4" w:space="0"/>
              <w:bottom w:val="single" w:color="000000" w:sz="4" w:space="0"/>
            </w:tcBorders>
            <w:vAlign w:val="center"/>
          </w:tcPr>
          <w:p w14:paraId="5D364DBA">
            <w:pPr>
              <w:pStyle w:val="41"/>
              <w:spacing w:line="400" w:lineRule="exact"/>
              <w:ind w:right="79"/>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无</w:t>
            </w:r>
          </w:p>
        </w:tc>
      </w:tr>
      <w:tr w14:paraId="233EF8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1019" w:type="dxa"/>
            <w:tcBorders>
              <w:top w:val="single" w:color="000000" w:sz="4" w:space="0"/>
              <w:bottom w:val="single" w:color="000000" w:sz="4" w:space="0"/>
              <w:right w:val="single" w:color="000000" w:sz="4" w:space="0"/>
            </w:tcBorders>
            <w:vAlign w:val="center"/>
          </w:tcPr>
          <w:p w14:paraId="42C43F2C">
            <w:pPr>
              <w:pStyle w:val="41"/>
              <w:spacing w:line="400" w:lineRule="exact"/>
              <w:ind w:right="79"/>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规划及规划环境影响评价符合性分析</w:t>
            </w:r>
          </w:p>
        </w:tc>
        <w:tc>
          <w:tcPr>
            <w:tcW w:w="8048" w:type="dxa"/>
            <w:gridSpan w:val="3"/>
            <w:tcBorders>
              <w:top w:val="single" w:color="000000" w:sz="4" w:space="0"/>
              <w:left w:val="single" w:color="000000" w:sz="4" w:space="0"/>
              <w:bottom w:val="single" w:color="000000" w:sz="4" w:space="0"/>
            </w:tcBorders>
            <w:vAlign w:val="center"/>
          </w:tcPr>
          <w:p w14:paraId="7DB8526C">
            <w:pPr>
              <w:pStyle w:val="41"/>
              <w:spacing w:line="400" w:lineRule="exact"/>
              <w:ind w:right="79"/>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无</w:t>
            </w:r>
          </w:p>
        </w:tc>
      </w:tr>
      <w:tr w14:paraId="2EC59B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1" w:hRule="atLeast"/>
        </w:trPr>
        <w:tc>
          <w:tcPr>
            <w:tcW w:w="1019" w:type="dxa"/>
            <w:tcBorders>
              <w:top w:val="single" w:color="000000" w:sz="4" w:space="0"/>
              <w:right w:val="single" w:color="000000" w:sz="4" w:space="0"/>
            </w:tcBorders>
            <w:vAlign w:val="center"/>
          </w:tcPr>
          <w:p w14:paraId="41CEB131">
            <w:pPr>
              <w:pStyle w:val="41"/>
              <w:spacing w:line="400" w:lineRule="exact"/>
              <w:ind w:right="79"/>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其他符合性分析</w:t>
            </w:r>
          </w:p>
        </w:tc>
        <w:tc>
          <w:tcPr>
            <w:tcW w:w="8048" w:type="dxa"/>
            <w:gridSpan w:val="3"/>
            <w:tcBorders>
              <w:top w:val="single" w:color="000000" w:sz="4" w:space="0"/>
              <w:left w:val="single" w:color="000000" w:sz="4" w:space="0"/>
            </w:tcBorders>
            <w:vAlign w:val="center"/>
          </w:tcPr>
          <w:p w14:paraId="317074FA">
            <w:pPr>
              <w:pStyle w:val="41"/>
              <w:spacing w:line="480" w:lineRule="exact"/>
              <w:ind w:firstLine="482"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一、市场准入符合性分析</w:t>
            </w:r>
          </w:p>
          <w:p w14:paraId="42445BEF">
            <w:pPr>
              <w:pStyle w:val="41"/>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国家发展改革委商务部关于印发《市场准入负面清单(2022年版)》的通知(发改体改规[2022]397号)”，应严格落实“全国一张清单”管理要求，坚决维护市场准入负面清单制度的统一性、严肃性和权威性，确保"一单尽列、单外无单"。按照党中央、国务院要求编制的涉及行业性、领域性、区域性等方面，需要用负面清单管理思路或管理模式出台相关措施的，应纳入全国统一的市场准入负面清单。产业结构调整指导目录、政府核准的投资项目目录纳入市场准入负面清单，地方对两个目录有细化规定的，从其规定。地方国家重点生态功能区和农产品主产区产业准入负面清单(或禁止限制目录)及地方按照党中央、国务院要求制定的地方性产业结构禁止准入目录，统一纳入市场准入负面清单。</w:t>
            </w:r>
          </w:p>
          <w:p w14:paraId="5387B3BE">
            <w:pPr>
              <w:pStyle w:val="41"/>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根据《市场准入负面清单（2022年版）》，禁止准入类共6项，许可准入类共20项，禁止准入类涉及生态环境保护的3项，许可准入类本项目涉及1项，如下表所示。</w:t>
            </w:r>
          </w:p>
          <w:p w14:paraId="18076AA6">
            <w:pPr>
              <w:pStyle w:val="41"/>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表1-</w:t>
            </w:r>
            <w:r>
              <w:rPr>
                <w:rFonts w:hint="eastAsia" w:ascii="Times New Roman" w:hAnsi="Times New Roman" w:eastAsia="宋体" w:cs="Times New Roman"/>
                <w:b/>
                <w:color w:val="auto"/>
                <w:sz w:val="21"/>
                <w:szCs w:val="21"/>
                <w:highlight w:val="none"/>
                <w:lang w:val="en-US" w:eastAsia="zh-CN"/>
              </w:rPr>
              <w:t>2</w:t>
            </w:r>
            <w:r>
              <w:rPr>
                <w:rFonts w:hint="default" w:ascii="Times New Roman" w:hAnsi="Times New Roman" w:eastAsia="宋体" w:cs="Times New Roman"/>
                <w:b/>
                <w:color w:val="auto"/>
                <w:sz w:val="21"/>
                <w:szCs w:val="21"/>
                <w:highlight w:val="none"/>
              </w:rPr>
              <w:t xml:space="preserve">  《市场准入负面清单（2022年版）》禁止准入类与许可准入类事项</w:t>
            </w:r>
          </w:p>
          <w:tbl>
            <w:tblPr>
              <w:tblStyle w:val="39"/>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2"/>
              <w:gridCol w:w="2448"/>
              <w:gridCol w:w="1061"/>
              <w:gridCol w:w="3833"/>
            </w:tblGrid>
            <w:tr w14:paraId="7B224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425" w:type="pct"/>
                  <w:vAlign w:val="center"/>
                </w:tcPr>
                <w:p w14:paraId="6F9327FC">
                  <w:pPr>
                    <w:pStyle w:val="118"/>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highlight w:val="none"/>
                    </w:rPr>
                    <w:t>项目号</w:t>
                  </w:r>
                </w:p>
              </w:tc>
              <w:tc>
                <w:tcPr>
                  <w:tcW w:w="1526" w:type="pct"/>
                  <w:vAlign w:val="center"/>
                </w:tcPr>
                <w:p w14:paraId="7B71EBE6">
                  <w:pPr>
                    <w:pStyle w:val="118"/>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highlight w:val="none"/>
                    </w:rPr>
                    <w:t>禁止或许可事项</w:t>
                  </w:r>
                </w:p>
              </w:tc>
              <w:tc>
                <w:tcPr>
                  <w:tcW w:w="661" w:type="pct"/>
                  <w:vAlign w:val="center"/>
                </w:tcPr>
                <w:p w14:paraId="5C73D269">
                  <w:pPr>
                    <w:pStyle w:val="118"/>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highlight w:val="none"/>
                    </w:rPr>
                    <w:t>事项编码</w:t>
                  </w:r>
                </w:p>
              </w:tc>
              <w:tc>
                <w:tcPr>
                  <w:tcW w:w="2385" w:type="pct"/>
                  <w:vAlign w:val="center"/>
                </w:tcPr>
                <w:p w14:paraId="625BE9B9">
                  <w:pPr>
                    <w:pStyle w:val="118"/>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highlight w:val="none"/>
                    </w:rPr>
                    <w:t>禁止或许可准入措施描述</w:t>
                  </w:r>
                </w:p>
              </w:tc>
            </w:tr>
            <w:tr w14:paraId="226A3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trPr>
              <w:tc>
                <w:tcPr>
                  <w:tcW w:w="5000" w:type="pct"/>
                  <w:gridSpan w:val="4"/>
                  <w:vAlign w:val="center"/>
                </w:tcPr>
                <w:p w14:paraId="6D1A3B84">
                  <w:pPr>
                    <w:pStyle w:val="118"/>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highlight w:val="none"/>
                    </w:rPr>
                    <w:t>一、禁止准入类</w:t>
                  </w:r>
                </w:p>
              </w:tc>
            </w:tr>
            <w:tr w14:paraId="5F9F0D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425" w:type="pct"/>
                  <w:vAlign w:val="center"/>
                </w:tcPr>
                <w:p w14:paraId="5FA4CD5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526" w:type="pct"/>
                  <w:vAlign w:val="center"/>
                </w:tcPr>
                <w:p w14:paraId="5066A4E6">
                  <w:pPr>
                    <w:pStyle w:val="118"/>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highlight w:val="none"/>
                    </w:rPr>
                    <w:t>法律法规、国务院决定等明确设立且与市场准入相关的禁止性规定</w:t>
                  </w:r>
                </w:p>
              </w:tc>
              <w:tc>
                <w:tcPr>
                  <w:tcW w:w="661" w:type="pct"/>
                  <w:vAlign w:val="center"/>
                </w:tcPr>
                <w:p w14:paraId="0CD0F60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100001</w:t>
                  </w:r>
                </w:p>
              </w:tc>
              <w:tc>
                <w:tcPr>
                  <w:tcW w:w="2385" w:type="pct"/>
                  <w:vAlign w:val="center"/>
                </w:tcPr>
                <w:p w14:paraId="477B48A7">
                  <w:pPr>
                    <w:pStyle w:val="118"/>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highlight w:val="none"/>
                    </w:rPr>
                    <w:t>法律法规、国务院决定等明确设立，且与</w:t>
                  </w:r>
                  <w:r>
                    <w:rPr>
                      <w:rFonts w:hint="default" w:ascii="Times New Roman" w:hAnsi="Times New Roman" w:eastAsia="宋体" w:cs="Times New Roman"/>
                      <w:b w:val="0"/>
                      <w:color w:val="auto"/>
                      <w:spacing w:val="-1"/>
                      <w:highlight w:val="none"/>
                    </w:rPr>
                    <w:t>市场准入相关的禁止性规定（见附件）</w:t>
                  </w:r>
                </w:p>
              </w:tc>
            </w:tr>
            <w:tr w14:paraId="433B88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4" w:hRule="atLeast"/>
              </w:trPr>
              <w:tc>
                <w:tcPr>
                  <w:tcW w:w="425" w:type="pct"/>
                  <w:vAlign w:val="center"/>
                </w:tcPr>
                <w:p w14:paraId="73E52B9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526" w:type="pct"/>
                  <w:vAlign w:val="center"/>
                </w:tcPr>
                <w:p w14:paraId="39C5FD13">
                  <w:pPr>
                    <w:pStyle w:val="118"/>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highlight w:val="none"/>
                    </w:rPr>
                    <w:t>国家产业政策明令淘汰</w:t>
                  </w:r>
                  <w:r>
                    <w:rPr>
                      <w:rFonts w:hint="default" w:ascii="Times New Roman" w:hAnsi="Times New Roman" w:eastAsia="宋体" w:cs="Times New Roman"/>
                      <w:b w:val="0"/>
                      <w:color w:val="auto"/>
                      <w:spacing w:val="-1"/>
                      <w:highlight w:val="none"/>
                    </w:rPr>
                    <w:t>和限制的产品、技术、</w:t>
                  </w:r>
                  <w:r>
                    <w:rPr>
                      <w:rFonts w:hint="default" w:ascii="Times New Roman" w:hAnsi="Times New Roman" w:eastAsia="宋体" w:cs="Times New Roman"/>
                      <w:b w:val="0"/>
                      <w:color w:val="auto"/>
                      <w:highlight w:val="none"/>
                    </w:rPr>
                    <w:t>工艺、设备及行为</w:t>
                  </w:r>
                </w:p>
              </w:tc>
              <w:tc>
                <w:tcPr>
                  <w:tcW w:w="661" w:type="pct"/>
                  <w:vAlign w:val="center"/>
                </w:tcPr>
                <w:p w14:paraId="7B8A84C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100002</w:t>
                  </w:r>
                </w:p>
              </w:tc>
              <w:tc>
                <w:tcPr>
                  <w:tcW w:w="2385" w:type="pct"/>
                  <w:vAlign w:val="center"/>
                </w:tcPr>
                <w:p w14:paraId="0C160146">
                  <w:pPr>
                    <w:pStyle w:val="118"/>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highlight w:val="none"/>
                    </w:rPr>
                    <w:t>《产业结构调整指导目录》中的淘汰类项</w:t>
                  </w:r>
                  <w:r>
                    <w:rPr>
                      <w:rFonts w:hint="default" w:ascii="Times New Roman" w:hAnsi="Times New Roman" w:eastAsia="宋体" w:cs="Times New Roman"/>
                      <w:b w:val="0"/>
                      <w:color w:val="auto"/>
                      <w:spacing w:val="-3"/>
                      <w:highlight w:val="none"/>
                    </w:rPr>
                    <w:t>目，禁止投资；限制类项目，禁止新建</w:t>
                  </w:r>
                  <w:r>
                    <w:rPr>
                      <w:rFonts w:hint="default" w:ascii="Times New Roman" w:hAnsi="Times New Roman" w:eastAsia="宋体" w:cs="Times New Roman"/>
                      <w:b w:val="0"/>
                      <w:color w:val="auto"/>
                      <w:highlight w:val="none"/>
                    </w:rPr>
                    <w:t>禁止投资建设《汽车产业投资管理规定》所列的汽车投资禁止类事项</w:t>
                  </w:r>
                </w:p>
              </w:tc>
            </w:tr>
            <w:tr w14:paraId="56A1E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trPr>
              <w:tc>
                <w:tcPr>
                  <w:tcW w:w="425" w:type="pct"/>
                  <w:vAlign w:val="center"/>
                </w:tcPr>
                <w:p w14:paraId="5DF0D84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526" w:type="pct"/>
                  <w:vAlign w:val="center"/>
                </w:tcPr>
                <w:p w14:paraId="7BA577E6">
                  <w:pPr>
                    <w:pStyle w:val="118"/>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highlight w:val="none"/>
                    </w:rPr>
                    <w:t>不符合主体功能区建设 要求的各类开发活动</w:t>
                  </w:r>
                </w:p>
              </w:tc>
              <w:tc>
                <w:tcPr>
                  <w:tcW w:w="661" w:type="pct"/>
                  <w:vAlign w:val="center"/>
                </w:tcPr>
                <w:p w14:paraId="15F5B28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100003</w:t>
                  </w:r>
                </w:p>
              </w:tc>
              <w:tc>
                <w:tcPr>
                  <w:tcW w:w="2385" w:type="pct"/>
                  <w:vAlign w:val="center"/>
                </w:tcPr>
                <w:p w14:paraId="0DCEEE8A">
                  <w:pPr>
                    <w:pStyle w:val="118"/>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spacing w:val="-1"/>
                      <w:highlight w:val="none"/>
                    </w:rPr>
                    <w:t>地方国家重点生态功能区产业准入负面清</w:t>
                  </w:r>
                  <w:r>
                    <w:rPr>
                      <w:rFonts w:hint="default" w:ascii="Times New Roman" w:hAnsi="Times New Roman" w:eastAsia="宋体" w:cs="Times New Roman"/>
                      <w:b w:val="0"/>
                      <w:color w:val="auto"/>
                      <w:highlight w:val="none"/>
                    </w:rPr>
                    <w:t>单（或禁止限制目录）、农产品主产区产业准入负面清单（或禁止限制目录）所列有关</w:t>
                  </w:r>
                  <w:r>
                    <w:rPr>
                      <w:rFonts w:hint="default" w:ascii="Times New Roman" w:hAnsi="Times New Roman" w:eastAsia="宋体" w:cs="Times New Roman"/>
                      <w:b w:val="0"/>
                      <w:color w:val="auto"/>
                      <w:spacing w:val="-4"/>
                      <w:highlight w:val="none"/>
                    </w:rPr>
                    <w:t>事项</w:t>
                  </w:r>
                </w:p>
              </w:tc>
            </w:tr>
            <w:tr w14:paraId="3E34C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000" w:type="pct"/>
                  <w:gridSpan w:val="4"/>
                  <w:vAlign w:val="center"/>
                </w:tcPr>
                <w:p w14:paraId="1BA258C9">
                  <w:pPr>
                    <w:pStyle w:val="118"/>
                    <w:spacing w:line="240" w:lineRule="auto"/>
                    <w:jc w:val="left"/>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highlight w:val="none"/>
                    </w:rPr>
                    <w:t>注：该表只列出涉及生态环境保护的</w:t>
                  </w:r>
                  <w:r>
                    <w:rPr>
                      <w:rFonts w:hint="default" w:ascii="Times New Roman" w:hAnsi="Times New Roman" w:eastAsia="宋体" w:cs="Times New Roman"/>
                      <w:b w:val="0"/>
                      <w:color w:val="auto"/>
                      <w:spacing w:val="-27"/>
                      <w:highlight w:val="none"/>
                    </w:rPr>
                    <w:t xml:space="preserve"> </w:t>
                  </w:r>
                  <w:r>
                    <w:rPr>
                      <w:rFonts w:hint="default" w:ascii="Times New Roman" w:hAnsi="Times New Roman" w:eastAsia="宋体" w:cs="Times New Roman"/>
                      <w:b w:val="0"/>
                      <w:color w:val="auto"/>
                      <w:highlight w:val="none"/>
                    </w:rPr>
                    <w:t>3 项禁止准入类事项。</w:t>
                  </w:r>
                </w:p>
              </w:tc>
            </w:tr>
            <w:tr w14:paraId="779AD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5000" w:type="pct"/>
                  <w:gridSpan w:val="4"/>
                  <w:vAlign w:val="center"/>
                </w:tcPr>
                <w:p w14:paraId="09C221E4">
                  <w:pPr>
                    <w:pStyle w:val="118"/>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highlight w:val="none"/>
                    </w:rPr>
                    <w:t>二、许可准入类</w:t>
                  </w:r>
                </w:p>
              </w:tc>
            </w:tr>
            <w:tr w14:paraId="10AD8B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425" w:type="pct"/>
                  <w:vAlign w:val="center"/>
                </w:tcPr>
                <w:p w14:paraId="0B12AE8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526" w:type="pct"/>
                  <w:vAlign w:val="center"/>
                </w:tcPr>
                <w:p w14:paraId="66BF2F1D">
                  <w:pPr>
                    <w:pStyle w:val="118"/>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spacing w:val="-1"/>
                      <w:highlight w:val="none"/>
                    </w:rPr>
                    <w:t>未获得许可，不得从事</w:t>
                  </w:r>
                  <w:r>
                    <w:rPr>
                      <w:rFonts w:hint="default" w:ascii="Times New Roman" w:hAnsi="Times New Roman" w:eastAsia="宋体" w:cs="Times New Roman"/>
                      <w:b w:val="0"/>
                      <w:color w:val="auto"/>
                      <w:highlight w:val="none"/>
                    </w:rPr>
                    <w:t>电力和市政公用领域特定业务。</w:t>
                  </w:r>
                </w:p>
              </w:tc>
              <w:tc>
                <w:tcPr>
                  <w:tcW w:w="661" w:type="pct"/>
                  <w:vAlign w:val="center"/>
                </w:tcPr>
                <w:p w14:paraId="4F7F47D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204001</w:t>
                  </w:r>
                </w:p>
              </w:tc>
              <w:tc>
                <w:tcPr>
                  <w:tcW w:w="2385" w:type="pct"/>
                  <w:vAlign w:val="center"/>
                </w:tcPr>
                <w:p w14:paraId="60F42147">
                  <w:pPr>
                    <w:pStyle w:val="118"/>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highlight w:val="none"/>
                    </w:rPr>
                    <w:t>电力业务、承装（修、试）电力设施许可；燃气经营许可</w:t>
                  </w:r>
                </w:p>
              </w:tc>
            </w:tr>
          </w:tbl>
          <w:p w14:paraId="6CD2ED2A">
            <w:pPr>
              <w:pStyle w:val="41"/>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下面分别对上述禁止准入类和许可准入类事项进行分析判定。</w:t>
            </w:r>
          </w:p>
          <w:p w14:paraId="72E1553F">
            <w:pPr>
              <w:pStyle w:val="41"/>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（1）法律法规、国务院决定等明确设立且与市场准入相关的禁止性规定的分析</w:t>
            </w:r>
          </w:p>
          <w:p w14:paraId="49904ECB">
            <w:pPr>
              <w:pStyle w:val="41"/>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国民经济行业分类》（GB/T4754-2017），本项目行业类别为D4420电力供应，根据《市场准入负面清单（2022年版）》中与市场准入相关的禁止性规定，电力供应未列入禁止性规定，项目不属于法律法规、国务院决定等明确设立且与市场准入相关的禁止性事项。</w:t>
            </w:r>
          </w:p>
          <w:p w14:paraId="402B93CB">
            <w:pPr>
              <w:pStyle w:val="41"/>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（2）国家产业政策明令淘汰和限制的产品、技术、工艺、设备及行为的分析</w:t>
            </w:r>
          </w:p>
          <w:p w14:paraId="62D1A89D">
            <w:pPr>
              <w:pStyle w:val="41"/>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①根据《产业结构调整指导目录（2024年本）》，本项目不属于第二类限制类、第三类淘汰类项目，属于第一类鼓励类项目。</w:t>
            </w:r>
          </w:p>
          <w:p w14:paraId="203E6F05">
            <w:pPr>
              <w:pStyle w:val="41"/>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②本项目已于2024年2月5日取得承德市行政审批局关于华能围场“风光储氢热一体化”项目（光伏200MW）项目220kV送出线路工程项目核准的批复（承审批核字〔2024〕11号），项目代码2401-130800-89-01-759066。</w:t>
            </w:r>
          </w:p>
          <w:p w14:paraId="1635E072">
            <w:pPr>
              <w:pStyle w:val="41"/>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因此本项目不属于《市场准入负面清单（2022年版）》禁止准入类中国家产业政策明令淘汰和限制的产品、技术、工艺、设备及行为。</w:t>
            </w:r>
          </w:p>
          <w:p w14:paraId="2BF02FC9">
            <w:pPr>
              <w:pStyle w:val="41"/>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（3）禁止不符合主体功能区建设要求的各类开发活动要求的分析</w:t>
            </w:r>
          </w:p>
          <w:p w14:paraId="3865F89A">
            <w:pPr>
              <w:adjustRightInd w:val="0"/>
              <w:snapToGrid w:val="0"/>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①对照《河北省主体功能区规划》，项目所在区域属于“限制开发区域—国家重点生态功能区—坝上高原山地区”。</w:t>
            </w:r>
          </w:p>
          <w:p w14:paraId="3AFF09D5">
            <w:pPr>
              <w:adjustRightInd w:val="0"/>
              <w:snapToGrid w:val="0"/>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区域现状：本区自然条件差异较大，西部和北部的坝上高原地区为内流区，东部和南部的燕山山区为外流区，是滦河、潮河和白河的发源地。区域面积31591平方公里，2011年人口163.71万人，地区生产总值274.23亿元，分别占全省的16.83%、2.26%和1.12%。人均地区生产总值16751元，公路网密度0.39公里/平方公里。</w:t>
            </w:r>
          </w:p>
          <w:p w14:paraId="6528FAB5">
            <w:pPr>
              <w:adjustRightInd w:val="0"/>
              <w:snapToGrid w:val="0"/>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rPr>
              <w:t>发展方向：公共基础设施。继续实施倾斜政策，大力支持坝上地区教育、医疗、文化、旅游等公共服务设施和农村交通、水利、电力、通讯等基础设施建设，重点推广风能、太阳能、沼气等清洁能源利用。</w:t>
            </w:r>
          </w:p>
          <w:p w14:paraId="7026D2C9">
            <w:pPr>
              <w:adjustRightInd w:val="0"/>
              <w:snapToGrid w:val="0"/>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本项目为新能源光伏发电配套电力送出工程，符合本区域发展方向。</w:t>
            </w:r>
            <w:r>
              <w:rPr>
                <w:rFonts w:hint="default" w:ascii="Times New Roman" w:hAnsi="Times New Roman" w:eastAsia="宋体" w:cs="Times New Roman"/>
                <w:color w:val="auto"/>
                <w:sz w:val="24"/>
                <w:szCs w:val="24"/>
                <w:highlight w:val="none"/>
              </w:rPr>
              <w:t>因此本项目建设符合主体功能区建设要求的各类开发活动要求。</w:t>
            </w:r>
          </w:p>
          <w:p w14:paraId="1C714B7A">
            <w:pPr>
              <w:pStyle w:val="41"/>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（4）许可准入类符合性分析</w:t>
            </w:r>
          </w:p>
          <w:p w14:paraId="416954DF">
            <w:pPr>
              <w:pStyle w:val="41"/>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w:t>
            </w:r>
            <w:r>
              <w:rPr>
                <w:rFonts w:hint="eastAsia" w:ascii="Times New Roman" w:hAnsi="Times New Roman" w:eastAsia="宋体" w:cs="Times New Roman"/>
                <w:color w:val="auto"/>
                <w:sz w:val="24"/>
                <w:highlight w:val="none"/>
                <w:lang w:eastAsia="zh-CN"/>
              </w:rPr>
              <w:t>新能源光伏发电配套电力送出工程</w:t>
            </w:r>
            <w:r>
              <w:rPr>
                <w:rFonts w:hint="default" w:ascii="Times New Roman" w:hAnsi="Times New Roman" w:eastAsia="宋体" w:cs="Times New Roman"/>
                <w:color w:val="auto"/>
                <w:sz w:val="24"/>
                <w:szCs w:val="24"/>
                <w:highlight w:val="none"/>
              </w:rPr>
              <w:t>，本项目已于2024年2月5日取得承德市行政审批局关于本项目核准的批复（承审批核字〔2024〕11号），项目代码2401-130800-89-01-759066。因此本项目属于许可准入类项目。</w:t>
            </w:r>
          </w:p>
          <w:p w14:paraId="00E9C8C8">
            <w:pPr>
              <w:pStyle w:val="41"/>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（5）总结</w:t>
            </w:r>
          </w:p>
          <w:p w14:paraId="23C84500">
            <w:pPr>
              <w:pStyle w:val="41"/>
              <w:spacing w:line="480" w:lineRule="exact"/>
              <w:ind w:firstLine="480"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综上所述，本项目属于《市场准入负面清单（2022年版）》许可准入类项目。综上，本项目建设符合市场准入要求。</w:t>
            </w:r>
          </w:p>
          <w:p w14:paraId="550BC826">
            <w:pPr>
              <w:pStyle w:val="41"/>
              <w:spacing w:line="480" w:lineRule="exact"/>
              <w:ind w:firstLine="482"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二、“三线一单”符合性分析</w:t>
            </w:r>
          </w:p>
          <w:p w14:paraId="400A3328">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1、与《关于以改善环境质量为核心加强环境影响评价管理的通知》（环环评[2016]150号）的符合性</w:t>
            </w:r>
          </w:p>
          <w:p w14:paraId="6259637D">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（1）生态保护红线</w:t>
            </w:r>
          </w:p>
          <w:p w14:paraId="1A4AAA13">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生态保护红线是生态空间范围内具有特殊重要生态功能必须实行强制性严格保护的区域。除受自然条件限制、确实无法避让的铁路、公路、航道、防洪、管道、干渠、通讯、输变电等重要基础设施项目外，在生态保护红线范围内，严控各类开发建设活动，依法不予审批新建工业项目和矿产开发项目的环评文件。</w:t>
            </w:r>
          </w:p>
          <w:p w14:paraId="3D6B5173">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本项目为</w:t>
            </w:r>
            <w:r>
              <w:rPr>
                <w:rFonts w:hint="eastAsia" w:ascii="Times New Roman" w:hAnsi="Times New Roman" w:eastAsia="宋体" w:cs="Times New Roman"/>
                <w:color w:val="auto"/>
                <w:sz w:val="24"/>
                <w:highlight w:val="none"/>
                <w:lang w:eastAsia="zh-CN"/>
              </w:rPr>
              <w:t>新能源光伏发电配套电力送出工程</w:t>
            </w:r>
            <w:r>
              <w:rPr>
                <w:rFonts w:hint="default" w:ascii="Times New Roman" w:hAnsi="Times New Roman" w:eastAsia="宋体" w:cs="Times New Roman"/>
                <w:color w:val="auto"/>
                <w:sz w:val="24"/>
                <w:highlight w:val="none"/>
              </w:rPr>
              <w:t>，本项目送出线路位于河北省承德市围场满族蒙古族自治县境内，项目部分线路占用</w:t>
            </w:r>
            <w:r>
              <w:rPr>
                <w:rFonts w:hint="default" w:ascii="Times New Roman" w:hAnsi="Times New Roman" w:eastAsia="宋体" w:cs="Times New Roman"/>
                <w:color w:val="auto"/>
                <w:sz w:val="24"/>
                <w:szCs w:val="24"/>
                <w:highlight w:val="none"/>
              </w:rPr>
              <w:t>河北滦河上游国家级自然保护区和</w:t>
            </w:r>
            <w:r>
              <w:rPr>
                <w:rFonts w:hint="default" w:ascii="Times New Roman" w:hAnsi="Times New Roman" w:eastAsia="宋体" w:cs="Times New Roman"/>
                <w:color w:val="auto"/>
                <w:sz w:val="24"/>
                <w:highlight w:val="none"/>
              </w:rPr>
              <w:t>生态保护红线，国家林业和草原局出具了《关于同意</w:t>
            </w:r>
            <w:r>
              <w:rPr>
                <w:rFonts w:hint="default" w:ascii="Times New Roman" w:hAnsi="Times New Roman" w:eastAsia="宋体" w:cs="Times New Roman"/>
                <w:color w:val="auto"/>
                <w:sz w:val="24"/>
                <w:szCs w:val="24"/>
                <w:highlight w:val="none"/>
              </w:rPr>
              <w:t>华能围场“风光储氢热一体化”项目（光伏200MW）项目220kV送出线路工程穿越河北滦河上游国家级自然保护区实验区的行政许可决定</w:t>
            </w:r>
            <w:r>
              <w:rPr>
                <w:rFonts w:hint="default" w:ascii="Times New Roman" w:hAnsi="Times New Roman" w:eastAsia="宋体" w:cs="Times New Roman"/>
                <w:color w:val="auto"/>
                <w:sz w:val="24"/>
                <w:highlight w:val="none"/>
              </w:rPr>
              <w:t>》（林保许准（冀）[2024]10号），围场满族蒙古族自治县自然资源和规划局出具《</w:t>
            </w:r>
            <w:r>
              <w:rPr>
                <w:rFonts w:hint="default" w:ascii="Times New Roman" w:hAnsi="Times New Roman" w:eastAsia="宋体" w:cs="Times New Roman"/>
                <w:color w:val="auto"/>
                <w:sz w:val="24"/>
                <w:szCs w:val="24"/>
                <w:highlight w:val="none"/>
              </w:rPr>
              <w:t>华能围场“风光储氢热一体化”项目（光伏200MW）项目220kV送出线路工程不可避让生态保护红线报告</w:t>
            </w:r>
            <w:r>
              <w:rPr>
                <w:rFonts w:hint="default" w:ascii="Times New Roman" w:hAnsi="Times New Roman" w:eastAsia="宋体" w:cs="Times New Roman"/>
                <w:color w:val="auto"/>
                <w:sz w:val="24"/>
                <w:highlight w:val="none"/>
              </w:rPr>
              <w:t>》的审查意见和关于</w:t>
            </w:r>
            <w:r>
              <w:rPr>
                <w:rFonts w:hint="default" w:ascii="Times New Roman" w:hAnsi="Times New Roman" w:eastAsia="宋体" w:cs="Times New Roman"/>
                <w:color w:val="auto"/>
                <w:sz w:val="24"/>
                <w:szCs w:val="24"/>
                <w:highlight w:val="none"/>
              </w:rPr>
              <w:t>华能围场“风光储氢热一体化”项目（光伏200MW）项目220kV送出线路工程路径的说明：该工程已纳入县国土空间总体规划，部分线路涉及穿越生态保护红线，编制了不可避让论证报告并通过专家论证，原则同意该线路预选址。</w:t>
            </w:r>
          </w:p>
          <w:p w14:paraId="59208B9B">
            <w:pPr>
              <w:snapToGrid w:val="0"/>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（2）环境质量底线</w:t>
            </w:r>
          </w:p>
          <w:p w14:paraId="5098A98D">
            <w:pPr>
              <w:snapToGrid w:val="0"/>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p w14:paraId="0BAD63D0">
            <w:pPr>
              <w:pStyle w:val="41"/>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根据《2023年承德市生态环境状况公报》中</w:t>
            </w:r>
            <w:r>
              <w:rPr>
                <w:rFonts w:hint="default" w:ascii="Times New Roman" w:hAnsi="Times New Roman" w:eastAsia="宋体" w:cs="Times New Roman"/>
                <w:color w:val="auto"/>
                <w:spacing w:val="4"/>
                <w:sz w:val="24"/>
                <w:szCs w:val="24"/>
                <w:highlight w:val="none"/>
              </w:rPr>
              <w:t>的监测数据，承德市环境空气6项基本因子满足《环境空气质量标准》(GB3095-2012）及2018年修改单中的二级标准</w:t>
            </w:r>
            <w:r>
              <w:rPr>
                <w:rFonts w:hint="default" w:ascii="Times New Roman" w:hAnsi="Times New Roman" w:eastAsia="宋体" w:cs="Times New Roman"/>
                <w:color w:val="auto"/>
                <w:sz w:val="24"/>
                <w:szCs w:val="24"/>
                <w:highlight w:val="none"/>
              </w:rPr>
              <w:t>。</w:t>
            </w:r>
          </w:p>
          <w:p w14:paraId="15DAD105">
            <w:pPr>
              <w:pStyle w:val="41"/>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本项目为</w:t>
            </w:r>
            <w:r>
              <w:rPr>
                <w:rFonts w:hint="eastAsia" w:ascii="Times New Roman" w:hAnsi="Times New Roman" w:eastAsia="宋体" w:cs="Times New Roman"/>
                <w:color w:val="auto"/>
                <w:sz w:val="24"/>
                <w:szCs w:val="24"/>
                <w:highlight w:val="none"/>
                <w:lang w:eastAsia="zh-CN"/>
              </w:rPr>
              <w:t>新能源光伏发电配套电力送出工程</w:t>
            </w:r>
            <w:r>
              <w:rPr>
                <w:rFonts w:hint="default" w:ascii="Times New Roman" w:hAnsi="Times New Roman" w:eastAsia="宋体" w:cs="Times New Roman"/>
                <w:color w:val="auto"/>
                <w:sz w:val="24"/>
                <w:highlight w:val="none"/>
              </w:rPr>
              <w:t>，本项目不新增劳动定员，不新增固废和废水，主要为运营期的电磁环境、声环境影响。</w:t>
            </w:r>
          </w:p>
          <w:p w14:paraId="069177F9">
            <w:pPr>
              <w:pStyle w:val="41"/>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拟建线路现状电磁环境监测值均满足《电磁环境控制限值》（GB8702-2014）中电场强度4kV/m、磁感应强度100µT的限值要求。运行期线路对周围的电磁影响满足《电磁环境控制限值》（GB8702-2014）中相关限值要求，其中架空输电线路线下的耕地、园地、道路等场所，其频率50Hz的电场强度控制限值为10kV/m。</w:t>
            </w:r>
          </w:p>
          <w:p w14:paraId="15B4460E">
            <w:pPr>
              <w:pStyle w:val="41"/>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线路沿线声环境质量符合《声环境质量标准》（GB3096-2008）中1类声环境功能区标准要求。运营期噪声经分析不会对周边声环境产生明显影响，项目运行符合声环境质量底线的要求。</w:t>
            </w:r>
          </w:p>
          <w:p w14:paraId="3FF03C36">
            <w:pPr>
              <w:pStyle w:val="41"/>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本项目线路永久占地为塔基基础占地，永久占地面积较小，不会突破土壤环境质量底线。</w:t>
            </w:r>
          </w:p>
          <w:p w14:paraId="7E42B523">
            <w:pPr>
              <w:snapToGrid w:val="0"/>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rPr>
              <w:t>综上，项目的建设与运行符合环境质量底线的要求。</w:t>
            </w:r>
          </w:p>
          <w:p w14:paraId="602BF187">
            <w:pPr>
              <w:snapToGrid w:val="0"/>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（3）资源利用上线</w:t>
            </w:r>
          </w:p>
          <w:p w14:paraId="10DDC4F4">
            <w:pPr>
              <w:snapToGrid w:val="0"/>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p w14:paraId="26D97040">
            <w:pPr>
              <w:snapToGrid w:val="0"/>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本项目为</w:t>
            </w:r>
            <w:r>
              <w:rPr>
                <w:rFonts w:hint="eastAsia" w:ascii="Times New Roman" w:hAnsi="Times New Roman" w:eastAsia="宋体" w:cs="Times New Roman"/>
                <w:color w:val="auto"/>
                <w:sz w:val="24"/>
                <w:highlight w:val="none"/>
                <w:lang w:eastAsia="zh-CN"/>
              </w:rPr>
              <w:t>新能源光伏发电配套电力送出工程</w:t>
            </w:r>
            <w:r>
              <w:rPr>
                <w:rFonts w:hint="default" w:ascii="Times New Roman" w:hAnsi="Times New Roman" w:eastAsia="宋体" w:cs="Times New Roman"/>
                <w:color w:val="auto"/>
                <w:sz w:val="24"/>
                <w:highlight w:val="none"/>
              </w:rPr>
              <w:t>，项目不属于高污染、高能耗项目。同时项目建成后将为地区经济发展提供一定的电力资源保障，建成运行后通过内部管理强化、设备的优化选用和管理、污染治理等多方面采取合理可行的防治措施，以“节能、降耗、减污”为目标，有效的控制污染。减少能耗，不会突破资源利用上线。</w:t>
            </w:r>
          </w:p>
          <w:p w14:paraId="7EB41625">
            <w:pPr>
              <w:snapToGrid w:val="0"/>
              <w:spacing w:line="480" w:lineRule="exact"/>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（4）环境准入负面清单</w:t>
            </w:r>
          </w:p>
          <w:p w14:paraId="5DC293E8">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p w14:paraId="0CB11EE6">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本项目行业类别为“五十五、核与辐射”中“161输变电工程”，不属于禁批项目、耗能类型，</w:t>
            </w:r>
            <w:r>
              <w:rPr>
                <w:rFonts w:hint="default" w:ascii="Times New Roman" w:hAnsi="Times New Roman" w:eastAsia="宋体" w:cs="Times New Roman"/>
                <w:color w:val="auto"/>
                <w:sz w:val="24"/>
                <w:szCs w:val="24"/>
                <w:highlight w:val="none"/>
              </w:rPr>
              <w:t>根据《产业结构调整指导目录（2024年本）》，本项目不属于第二类限制类、第三类淘汰类项目</w:t>
            </w:r>
            <w:r>
              <w:rPr>
                <w:rFonts w:hint="default" w:ascii="Times New Roman" w:hAnsi="Times New Roman" w:eastAsia="宋体" w:cs="Times New Roman"/>
                <w:color w:val="auto"/>
                <w:sz w:val="24"/>
                <w:highlight w:val="none"/>
              </w:rPr>
              <w:t>。对照《市场准入负面清单（2022年版)》，本项目不属于禁止类。对照《康保县等坝上六县国家重点生态功能区产业准入负面清单（试行））》（冀发改规划[2017]248号）中围场县国家重点生态功能区产业准入负面清单，本项目不属于限制类和禁止类。</w:t>
            </w:r>
          </w:p>
          <w:p w14:paraId="01FB1B73">
            <w:pPr>
              <w:pStyle w:val="41"/>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szCs w:val="24"/>
                <w:highlight w:val="none"/>
              </w:rPr>
              <w:t>与《承德市</w:t>
            </w:r>
            <w:r>
              <w:rPr>
                <w:rFonts w:hint="default" w:ascii="Times New Roman" w:hAnsi="Times New Roman" w:cs="Times New Roman"/>
                <w:color w:val="auto"/>
                <w:sz w:val="24"/>
                <w:szCs w:val="24"/>
                <w:highlight w:val="none"/>
              </w:rPr>
              <w:t>“</w:t>
            </w:r>
            <w:r>
              <w:rPr>
                <w:rFonts w:hint="default" w:ascii="Times New Roman" w:hAnsi="Times New Roman" w:eastAsia="宋体" w:cs="Times New Roman"/>
                <w:color w:val="auto"/>
                <w:sz w:val="24"/>
                <w:szCs w:val="24"/>
                <w:highlight w:val="none"/>
              </w:rPr>
              <w:t>三线一单</w:t>
            </w:r>
            <w:r>
              <w:rPr>
                <w:rFonts w:hint="default" w:ascii="Times New Roman" w:hAnsi="Times New Roman" w:cs="Times New Roman"/>
                <w:color w:val="auto"/>
                <w:sz w:val="24"/>
                <w:szCs w:val="24"/>
                <w:highlight w:val="none"/>
              </w:rPr>
              <w:t>”</w:t>
            </w:r>
            <w:r>
              <w:rPr>
                <w:rFonts w:hint="default" w:ascii="Times New Roman" w:hAnsi="Times New Roman" w:eastAsia="宋体" w:cs="Times New Roman"/>
                <w:color w:val="auto"/>
                <w:sz w:val="24"/>
                <w:szCs w:val="24"/>
                <w:highlight w:val="none"/>
              </w:rPr>
              <w:t>生态环境准入清单》（承德市生态环境局，</w:t>
            </w:r>
            <w:r>
              <w:rPr>
                <w:rFonts w:hint="default" w:ascii="Times New Roman" w:hAnsi="Times New Roman" w:cs="Times New Roman"/>
                <w:color w:val="auto"/>
                <w:sz w:val="24"/>
                <w:szCs w:val="24"/>
                <w:highlight w:val="none"/>
              </w:rPr>
              <w:t>2021</w:t>
            </w:r>
            <w:r>
              <w:rPr>
                <w:rFonts w:hint="default" w:ascii="Times New Roman" w:hAnsi="Times New Roman" w:eastAsia="宋体" w:cs="Times New Roman"/>
                <w:color w:val="auto"/>
                <w:sz w:val="24"/>
                <w:szCs w:val="24"/>
                <w:highlight w:val="none"/>
              </w:rPr>
              <w:t>年</w:t>
            </w:r>
            <w:r>
              <w:rPr>
                <w:rFonts w:hint="default" w:ascii="Times New Roman" w:hAnsi="Times New Roman" w:cs="Times New Roman"/>
                <w:color w:val="auto"/>
                <w:sz w:val="24"/>
                <w:szCs w:val="24"/>
                <w:highlight w:val="none"/>
              </w:rPr>
              <w:t>6</w:t>
            </w:r>
            <w:r>
              <w:rPr>
                <w:rFonts w:hint="default" w:ascii="Times New Roman" w:hAnsi="Times New Roman" w:eastAsia="宋体" w:cs="Times New Roman"/>
                <w:color w:val="auto"/>
                <w:sz w:val="24"/>
                <w:szCs w:val="24"/>
                <w:highlight w:val="none"/>
              </w:rPr>
              <w:t>月</w:t>
            </w:r>
            <w:r>
              <w:rPr>
                <w:rFonts w:hint="default" w:ascii="Times New Roman" w:hAnsi="Times New Roman" w:cs="Times New Roman"/>
                <w:color w:val="auto"/>
                <w:sz w:val="24"/>
                <w:szCs w:val="24"/>
                <w:highlight w:val="none"/>
              </w:rPr>
              <w:t>21</w:t>
            </w:r>
            <w:r>
              <w:rPr>
                <w:rFonts w:hint="default" w:ascii="Times New Roman" w:hAnsi="Times New Roman" w:eastAsia="宋体" w:cs="Times New Roman"/>
                <w:color w:val="auto"/>
                <w:sz w:val="24"/>
                <w:szCs w:val="24"/>
                <w:highlight w:val="none"/>
              </w:rPr>
              <w:t>日发布）</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《承德市生态环境准入清单（2023年版）》符合性分析</w:t>
            </w:r>
          </w:p>
          <w:p w14:paraId="1958BF9B">
            <w:pPr>
              <w:pStyle w:val="41"/>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根据《承德市人民政府关于加快实施</w:t>
            </w:r>
            <w:r>
              <w:rPr>
                <w:rFonts w:hint="default" w:ascii="Times New Roman" w:hAnsi="Times New Roman" w:cs="Times New Roman"/>
                <w:color w:val="auto"/>
                <w:sz w:val="24"/>
                <w:szCs w:val="24"/>
                <w:highlight w:val="none"/>
              </w:rPr>
              <w:t>“</w:t>
            </w:r>
            <w:r>
              <w:rPr>
                <w:rFonts w:hint="default" w:ascii="Times New Roman" w:hAnsi="Times New Roman" w:eastAsia="宋体" w:cs="Times New Roman"/>
                <w:color w:val="auto"/>
                <w:sz w:val="24"/>
                <w:szCs w:val="24"/>
                <w:highlight w:val="none"/>
              </w:rPr>
              <w:t>三线一单</w:t>
            </w:r>
            <w:r>
              <w:rPr>
                <w:rFonts w:hint="default" w:ascii="Times New Roman" w:hAnsi="Times New Roman" w:cs="Times New Roman"/>
                <w:color w:val="auto"/>
                <w:sz w:val="24"/>
                <w:szCs w:val="24"/>
                <w:highlight w:val="none"/>
              </w:rPr>
              <w:t>”</w:t>
            </w:r>
            <w:r>
              <w:rPr>
                <w:rFonts w:hint="default" w:ascii="Times New Roman" w:hAnsi="Times New Roman" w:eastAsia="宋体" w:cs="Times New Roman"/>
                <w:color w:val="auto"/>
                <w:sz w:val="24"/>
                <w:szCs w:val="24"/>
                <w:highlight w:val="none"/>
              </w:rPr>
              <w:t>生态环境分区管控的意见》：</w:t>
            </w:r>
          </w:p>
          <w:p w14:paraId="7CBB52F5">
            <w:pPr>
              <w:pStyle w:val="41"/>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a.生态环境管控单元划分</w:t>
            </w:r>
          </w:p>
          <w:p w14:paraId="396A73F2">
            <w:pPr>
              <w:pStyle w:val="41"/>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环境管控单元包括优先保护、重点管控和一般管控单元三类。</w:t>
            </w:r>
          </w:p>
          <w:p w14:paraId="43EED6F7">
            <w:pPr>
              <w:pStyle w:val="41"/>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优先保护单元：主要包括生态保护红线，各类自然保护地、饮用水水源保护区及其他重要生态功能区等一般生态空间。</w:t>
            </w:r>
          </w:p>
          <w:p w14:paraId="3CB9A995">
            <w:pPr>
              <w:pStyle w:val="41"/>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重点管控单元：主要包括城市规划区、省级以上产业园区和开发强度高、污染物排放强度大、环境问题较为突出的区域等。</w:t>
            </w:r>
          </w:p>
          <w:p w14:paraId="39AB8987">
            <w:pPr>
              <w:pStyle w:val="41"/>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一般管控单元：优先保护单元和重点管控单元之外的其他区域。</w:t>
            </w:r>
          </w:p>
          <w:p w14:paraId="04C7D611">
            <w:pPr>
              <w:pStyle w:val="41"/>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b.生态环境管控要求</w:t>
            </w:r>
          </w:p>
          <w:p w14:paraId="016BEB60">
            <w:pPr>
              <w:pStyle w:val="41"/>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突出区域特征、发展定位和生态环境保护要求，立足经济绿色转型和高质量发展，以建设首都水源涵养功能区和生态环境支撑区为主导，统筹山水林田湖草沙生态系统整体保护，加大生态修复和环境治理力度，促进环境质量持续改善，实施生态空间分区管控。</w:t>
            </w:r>
          </w:p>
          <w:p w14:paraId="243160E6">
            <w:pPr>
              <w:pStyle w:val="41"/>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构建</w:t>
            </w:r>
            <w:r>
              <w:rPr>
                <w:rFonts w:hint="default" w:ascii="Times New Roman" w:hAnsi="Times New Roman" w:cs="Times New Roman"/>
                <w:color w:val="auto"/>
                <w:sz w:val="24"/>
                <w:szCs w:val="24"/>
                <w:highlight w:val="none"/>
              </w:rPr>
              <w:t>“1+1+169”</w:t>
            </w:r>
            <w:r>
              <w:rPr>
                <w:rFonts w:hint="default" w:ascii="Times New Roman" w:hAnsi="Times New Roman" w:eastAsia="宋体" w:cs="Times New Roman"/>
                <w:color w:val="auto"/>
                <w:sz w:val="24"/>
                <w:szCs w:val="24"/>
                <w:highlight w:val="none"/>
              </w:rPr>
              <w:t>生态环境分区管控体系，实施生态环境准入清单管理。</w:t>
            </w:r>
            <w:r>
              <w:rPr>
                <w:rFonts w:hint="default" w:ascii="Times New Roman" w:hAnsi="Times New Roman" w:cs="Times New Roman"/>
                <w:color w:val="auto"/>
                <w:sz w:val="24"/>
                <w:szCs w:val="24"/>
                <w:highlight w:val="none"/>
              </w:rPr>
              <w:t>“1”</w:t>
            </w:r>
            <w:r>
              <w:rPr>
                <w:rFonts w:hint="default" w:ascii="Times New Roman" w:hAnsi="Times New Roman" w:eastAsia="宋体" w:cs="Times New Roman"/>
                <w:color w:val="auto"/>
                <w:sz w:val="24"/>
                <w:szCs w:val="24"/>
                <w:highlight w:val="none"/>
              </w:rPr>
              <w:t>为河北省生态环境准入总体清单，适用于全省范围；</w:t>
            </w:r>
            <w:r>
              <w:rPr>
                <w:rFonts w:hint="default" w:ascii="Times New Roman" w:hAnsi="Times New Roman" w:cs="Times New Roman"/>
                <w:color w:val="auto"/>
                <w:sz w:val="24"/>
                <w:szCs w:val="24"/>
                <w:highlight w:val="none"/>
              </w:rPr>
              <w:t>“1”</w:t>
            </w:r>
            <w:r>
              <w:rPr>
                <w:rFonts w:hint="default" w:ascii="Times New Roman" w:hAnsi="Times New Roman" w:eastAsia="宋体" w:cs="Times New Roman"/>
                <w:color w:val="auto"/>
                <w:sz w:val="24"/>
                <w:szCs w:val="24"/>
                <w:highlight w:val="none"/>
              </w:rPr>
              <w:t>为承德市生态环境准入清单，适用于市域范围；</w:t>
            </w:r>
            <w:r>
              <w:rPr>
                <w:rFonts w:hint="default" w:ascii="Times New Roman" w:hAnsi="Times New Roman" w:cs="Times New Roman"/>
                <w:color w:val="auto"/>
                <w:sz w:val="24"/>
                <w:szCs w:val="24"/>
                <w:highlight w:val="none"/>
              </w:rPr>
              <w:t>“169”</w:t>
            </w:r>
            <w:r>
              <w:rPr>
                <w:rFonts w:hint="default" w:ascii="Times New Roman" w:hAnsi="Times New Roman" w:eastAsia="宋体" w:cs="Times New Roman"/>
                <w:color w:val="auto"/>
                <w:sz w:val="24"/>
                <w:szCs w:val="24"/>
                <w:highlight w:val="none"/>
              </w:rPr>
              <w:t>为生态环境管控单元准入清单，适用于环境管控单元范围。</w:t>
            </w:r>
          </w:p>
          <w:p w14:paraId="155F12AD">
            <w:pPr>
              <w:pStyle w:val="41"/>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c.分类管控要求</w:t>
            </w:r>
          </w:p>
          <w:p w14:paraId="7B5C41E3">
            <w:pPr>
              <w:pStyle w:val="41"/>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优先保护单元：严格落实生态保护红线管理要求，除有限人为活动外，依法依规禁止其他城镇和建设活动。一般生态空间突出生态保护，严禁不符合主体功能定位的各类开发活动，严禁任意改变用途。</w:t>
            </w:r>
          </w:p>
          <w:p w14:paraId="1D588B27">
            <w:pPr>
              <w:pStyle w:val="41"/>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重点管控单元：</w:t>
            </w:r>
          </w:p>
          <w:p w14:paraId="68DF25C4">
            <w:pPr>
              <w:pStyle w:val="41"/>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城镇重点管控单元：优化工业布局，有序实施高污染、高排放工业企业整改或搬迁退出；强化交通污染源管控；完善污水治理设施；加快城镇河流水系环境整治；加强工业污染场地环境风险防控和开发再利用监管。</w:t>
            </w:r>
          </w:p>
          <w:p w14:paraId="53B8BECC">
            <w:pPr>
              <w:pStyle w:val="41"/>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省级以上产业园区重点管控单元：严格产业准入，完善园区设施建设，推动设施提标改造；实施污染物总量控制，落实排污许可证制度；强化资源利用效率和地下水开采管控。</w:t>
            </w:r>
          </w:p>
          <w:p w14:paraId="717C75D8">
            <w:pPr>
              <w:pStyle w:val="41"/>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农业农村重点管控单元：优化规模化畜禽养殖布局，加快农村生态环境综合整治，逐步推进农村污水和生活垃圾治理；减少化肥农药施用量，优化农业种植结构，推动秸秆综合利用。</w:t>
            </w:r>
          </w:p>
          <w:p w14:paraId="4EC1C239">
            <w:pPr>
              <w:pStyle w:val="41"/>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一般管控单元：严格执行国家和省关于产业准入、总量控制和污染物排放标准等管控要求。</w:t>
            </w:r>
          </w:p>
          <w:p w14:paraId="7A44EE21">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本项目位于河北省承德市围场县老窝铺乡、城子镇</w:t>
            </w:r>
            <w:r>
              <w:rPr>
                <w:rFonts w:hint="eastAsia" w:ascii="Times New Roman" w:hAnsi="Times New Roman" w:eastAsia="宋体" w:cs="Times New Roman"/>
                <w:color w:val="auto"/>
                <w:sz w:val="24"/>
                <w:szCs w:val="24"/>
                <w:highlight w:val="none"/>
                <w:lang w:eastAsia="zh-CN"/>
              </w:rPr>
              <w:t>、御道口镇</w:t>
            </w:r>
            <w:r>
              <w:rPr>
                <w:rFonts w:hint="default" w:ascii="Times New Roman" w:hAnsi="Times New Roman" w:eastAsia="宋体" w:cs="Times New Roman"/>
                <w:color w:val="auto"/>
                <w:sz w:val="24"/>
                <w:szCs w:val="24"/>
                <w:highlight w:val="none"/>
              </w:rPr>
              <w:t>。根据《承德市</w:t>
            </w:r>
            <w:r>
              <w:rPr>
                <w:rFonts w:hint="default" w:ascii="Times New Roman" w:hAnsi="Times New Roman" w:cs="Times New Roman"/>
                <w:color w:val="auto"/>
                <w:sz w:val="24"/>
                <w:szCs w:val="24"/>
                <w:highlight w:val="none"/>
              </w:rPr>
              <w:t>“</w:t>
            </w:r>
            <w:r>
              <w:rPr>
                <w:rFonts w:hint="default" w:ascii="Times New Roman" w:hAnsi="Times New Roman" w:eastAsia="宋体" w:cs="Times New Roman"/>
                <w:color w:val="auto"/>
                <w:sz w:val="24"/>
                <w:szCs w:val="24"/>
                <w:highlight w:val="none"/>
              </w:rPr>
              <w:t>三线一单</w:t>
            </w:r>
            <w:r>
              <w:rPr>
                <w:rFonts w:hint="default" w:ascii="Times New Roman" w:hAnsi="Times New Roman" w:cs="Times New Roman"/>
                <w:color w:val="auto"/>
                <w:sz w:val="24"/>
                <w:szCs w:val="24"/>
                <w:highlight w:val="none"/>
              </w:rPr>
              <w:t>”</w:t>
            </w:r>
            <w:r>
              <w:rPr>
                <w:rFonts w:hint="default" w:ascii="Times New Roman" w:hAnsi="Times New Roman" w:eastAsia="宋体" w:cs="Times New Roman"/>
                <w:color w:val="auto"/>
                <w:sz w:val="24"/>
                <w:szCs w:val="24"/>
                <w:highlight w:val="none"/>
              </w:rPr>
              <w:t>生态环境准入清单》（承德市生态环境局，</w:t>
            </w:r>
            <w:r>
              <w:rPr>
                <w:rFonts w:hint="default" w:ascii="Times New Roman" w:hAnsi="Times New Roman" w:cs="Times New Roman"/>
                <w:color w:val="auto"/>
                <w:sz w:val="24"/>
                <w:szCs w:val="24"/>
                <w:highlight w:val="none"/>
              </w:rPr>
              <w:t>2021</w:t>
            </w:r>
            <w:r>
              <w:rPr>
                <w:rFonts w:hint="default" w:ascii="Times New Roman" w:hAnsi="Times New Roman" w:eastAsia="宋体" w:cs="Times New Roman"/>
                <w:color w:val="auto"/>
                <w:sz w:val="24"/>
                <w:szCs w:val="24"/>
                <w:highlight w:val="none"/>
              </w:rPr>
              <w:t>年</w:t>
            </w:r>
            <w:r>
              <w:rPr>
                <w:rFonts w:hint="default" w:ascii="Times New Roman" w:hAnsi="Times New Roman" w:cs="Times New Roman"/>
                <w:color w:val="auto"/>
                <w:sz w:val="24"/>
                <w:szCs w:val="24"/>
                <w:highlight w:val="none"/>
              </w:rPr>
              <w:t>6</w:t>
            </w:r>
            <w:r>
              <w:rPr>
                <w:rFonts w:hint="default" w:ascii="Times New Roman" w:hAnsi="Times New Roman" w:eastAsia="宋体" w:cs="Times New Roman"/>
                <w:color w:val="auto"/>
                <w:sz w:val="24"/>
                <w:szCs w:val="24"/>
                <w:highlight w:val="none"/>
              </w:rPr>
              <w:t>月</w:t>
            </w:r>
            <w:r>
              <w:rPr>
                <w:rFonts w:hint="default" w:ascii="Times New Roman" w:hAnsi="Times New Roman" w:cs="Times New Roman"/>
                <w:color w:val="auto"/>
                <w:sz w:val="24"/>
                <w:szCs w:val="24"/>
                <w:highlight w:val="none"/>
              </w:rPr>
              <w:t>21</w:t>
            </w:r>
            <w:r>
              <w:rPr>
                <w:rFonts w:hint="default" w:ascii="Times New Roman" w:hAnsi="Times New Roman" w:eastAsia="宋体" w:cs="Times New Roman"/>
                <w:color w:val="auto"/>
                <w:sz w:val="24"/>
                <w:szCs w:val="24"/>
                <w:highlight w:val="none"/>
              </w:rPr>
              <w:t>日发布）、《承德市生态环境准入清单（2023年版）》，项目所属区域的编码为ZH13082810002（优先保护单元，坝上高原防风固沙生态保护红线、河北滦河上游国家级自然保护区）、ZH1308281001</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（优先保护单元，水环境优先保护区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大气一般管控区）、ZH1308281001</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（优先保护单元，燕山水源涵养-生物多样性维护生态保护红线）</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ZH1308281001</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（优先保护单元，一般生态空间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水环境其他区域</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大气一般管控区）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ZH13082810013（优先保护单元，一般生态空间、水环境优先保护区、大气一般管控区）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ZH13082830001（</w:t>
            </w:r>
            <w:r>
              <w:rPr>
                <w:rFonts w:hint="default" w:ascii="Times New Roman" w:hAnsi="Times New Roman" w:cs="Times New Roman"/>
                <w:color w:val="auto"/>
                <w:sz w:val="24"/>
                <w:szCs w:val="24"/>
                <w:highlight w:val="none"/>
              </w:rPr>
              <w:t>一般</w:t>
            </w:r>
            <w:r>
              <w:rPr>
                <w:rFonts w:hint="default" w:ascii="Times New Roman" w:hAnsi="Times New Roman" w:eastAsia="宋体" w:cs="Times New Roman"/>
                <w:color w:val="auto"/>
                <w:sz w:val="24"/>
                <w:szCs w:val="24"/>
                <w:highlight w:val="none"/>
              </w:rPr>
              <w:t>管控单元，水环境其他区域、大气一般管控区），</w:t>
            </w:r>
            <w:r>
              <w:rPr>
                <w:rFonts w:hint="default" w:ascii="Times New Roman" w:hAnsi="Times New Roman" w:eastAsia="宋体" w:cs="Times New Roman"/>
                <w:color w:val="auto"/>
                <w:sz w:val="24"/>
                <w:szCs w:val="24"/>
                <w:highlight w:val="none"/>
                <w:lang w:eastAsia="zh-CN"/>
              </w:rPr>
              <w:t>各个单元的塔基情况见表</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项目与环境管控单元准入清单符合性分析如下：</w:t>
            </w:r>
          </w:p>
          <w:p w14:paraId="1EBCAE03">
            <w:pPr>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表1-</w:t>
            </w:r>
            <w:r>
              <w:rPr>
                <w:rFonts w:hint="eastAsia" w:ascii="Times New Roman" w:hAnsi="Times New Roman"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rPr>
              <w:t xml:space="preserve">  围场县生态环境分区</w:t>
            </w:r>
            <w:r>
              <w:rPr>
                <w:rFonts w:hint="default" w:ascii="Times New Roman" w:hAnsi="Times New Roman" w:eastAsia="宋体" w:cs="Times New Roman"/>
                <w:b/>
                <w:bCs/>
                <w:color w:val="auto"/>
                <w:sz w:val="21"/>
                <w:szCs w:val="21"/>
                <w:highlight w:val="none"/>
                <w:lang w:eastAsia="zh-CN"/>
              </w:rPr>
              <w:t>内塔基情况</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8"/>
              <w:gridCol w:w="1791"/>
              <w:gridCol w:w="1326"/>
              <w:gridCol w:w="3385"/>
            </w:tblGrid>
            <w:tr w14:paraId="42624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pct"/>
                  <w:vAlign w:val="center"/>
                </w:tcPr>
                <w:p w14:paraId="2B17AC6A">
                  <w:pPr>
                    <w:jc w:val="center"/>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管控单元名称</w:t>
                  </w:r>
                </w:p>
              </w:tc>
              <w:tc>
                <w:tcPr>
                  <w:tcW w:w="1116" w:type="pct"/>
                  <w:vAlign w:val="center"/>
                </w:tcPr>
                <w:p w14:paraId="2360E5E1">
                  <w:pPr>
                    <w:jc w:val="center"/>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eastAsia="zh-CN"/>
                    </w:rPr>
                    <w:t>管控单元编号</w:t>
                  </w:r>
                </w:p>
              </w:tc>
              <w:tc>
                <w:tcPr>
                  <w:tcW w:w="826" w:type="pct"/>
                  <w:vAlign w:val="center"/>
                </w:tcPr>
                <w:p w14:paraId="7BF88C86">
                  <w:pPr>
                    <w:jc w:val="center"/>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塔基数量</w:t>
                  </w:r>
                </w:p>
              </w:tc>
              <w:tc>
                <w:tcPr>
                  <w:tcW w:w="2110" w:type="pct"/>
                  <w:vAlign w:val="center"/>
                </w:tcPr>
                <w:p w14:paraId="4D08B07E">
                  <w:pPr>
                    <w:jc w:val="center"/>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塔基编号</w:t>
                  </w:r>
                </w:p>
              </w:tc>
            </w:tr>
            <w:tr w14:paraId="3F3A0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pct"/>
                  <w:vMerge w:val="restart"/>
                  <w:vAlign w:val="center"/>
                </w:tcPr>
                <w:p w14:paraId="02DF4E12">
                  <w:pPr>
                    <w:jc w:val="center"/>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优先保护单元</w:t>
                  </w:r>
                </w:p>
              </w:tc>
              <w:tc>
                <w:tcPr>
                  <w:tcW w:w="1116" w:type="pct"/>
                  <w:vAlign w:val="center"/>
                </w:tcPr>
                <w:p w14:paraId="29F7BC3D">
                  <w:pPr>
                    <w:jc w:val="center"/>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ZH13082810002</w:t>
                  </w:r>
                </w:p>
              </w:tc>
              <w:tc>
                <w:tcPr>
                  <w:tcW w:w="826" w:type="pct"/>
                  <w:vAlign w:val="center"/>
                </w:tcPr>
                <w:p w14:paraId="68F68F1C">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17</w:t>
                  </w:r>
                </w:p>
              </w:tc>
              <w:tc>
                <w:tcPr>
                  <w:tcW w:w="2110" w:type="pct"/>
                  <w:vAlign w:val="center"/>
                </w:tcPr>
                <w:p w14:paraId="56900F85">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N10~</w:t>
                  </w:r>
                  <w:r>
                    <w:rPr>
                      <w:rFonts w:hint="eastAsia" w:ascii="Times New Roman" w:hAnsi="Times New Roman" w:eastAsia="宋体" w:cs="Times New Roman"/>
                      <w:b w:val="0"/>
                      <w:bCs w:val="0"/>
                      <w:color w:val="auto"/>
                      <w:sz w:val="21"/>
                      <w:szCs w:val="21"/>
                      <w:highlight w:val="none"/>
                      <w:vertAlign w:val="baseline"/>
                      <w:lang w:val="en-US" w:eastAsia="zh-CN"/>
                    </w:rPr>
                    <w:t>N</w:t>
                  </w:r>
                  <w:r>
                    <w:rPr>
                      <w:rFonts w:hint="default" w:ascii="Times New Roman" w:hAnsi="Times New Roman" w:eastAsia="宋体" w:cs="Times New Roman"/>
                      <w:b w:val="0"/>
                      <w:bCs w:val="0"/>
                      <w:color w:val="auto"/>
                      <w:sz w:val="21"/>
                      <w:szCs w:val="21"/>
                      <w:highlight w:val="none"/>
                      <w:vertAlign w:val="baseline"/>
                      <w:lang w:val="en-US" w:eastAsia="zh-CN"/>
                    </w:rPr>
                    <w:t>26</w:t>
                  </w:r>
                </w:p>
              </w:tc>
            </w:tr>
            <w:tr w14:paraId="4F3B4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pct"/>
                  <w:vMerge w:val="continue"/>
                  <w:vAlign w:val="center"/>
                </w:tcPr>
                <w:p w14:paraId="493B9A3E">
                  <w:pPr>
                    <w:jc w:val="center"/>
                    <w:rPr>
                      <w:rFonts w:hint="default" w:ascii="Times New Roman" w:hAnsi="Times New Roman" w:eastAsia="宋体" w:cs="Times New Roman"/>
                      <w:b w:val="0"/>
                      <w:bCs w:val="0"/>
                      <w:color w:val="auto"/>
                      <w:sz w:val="21"/>
                      <w:szCs w:val="21"/>
                      <w:highlight w:val="none"/>
                      <w:vertAlign w:val="baseline"/>
                      <w:lang w:eastAsia="zh-CN"/>
                    </w:rPr>
                  </w:pPr>
                </w:p>
              </w:tc>
              <w:tc>
                <w:tcPr>
                  <w:tcW w:w="1116" w:type="pct"/>
                  <w:vAlign w:val="center"/>
                </w:tcPr>
                <w:p w14:paraId="776B8B03">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eastAsia="zh-CN"/>
                    </w:rPr>
                    <w:t>ZH130828100</w:t>
                  </w:r>
                  <w:r>
                    <w:rPr>
                      <w:rFonts w:hint="default" w:ascii="Times New Roman" w:hAnsi="Times New Roman" w:eastAsia="宋体" w:cs="Times New Roman"/>
                      <w:b w:val="0"/>
                      <w:bCs w:val="0"/>
                      <w:color w:val="auto"/>
                      <w:sz w:val="21"/>
                      <w:szCs w:val="21"/>
                      <w:highlight w:val="none"/>
                      <w:vertAlign w:val="baseline"/>
                      <w:lang w:val="en-US" w:eastAsia="zh-CN"/>
                    </w:rPr>
                    <w:t>10</w:t>
                  </w:r>
                </w:p>
              </w:tc>
              <w:tc>
                <w:tcPr>
                  <w:tcW w:w="826" w:type="pct"/>
                  <w:vAlign w:val="center"/>
                </w:tcPr>
                <w:p w14:paraId="659ED1E7">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w:t>
                  </w:r>
                </w:p>
              </w:tc>
              <w:tc>
                <w:tcPr>
                  <w:tcW w:w="2110" w:type="pct"/>
                  <w:vAlign w:val="center"/>
                </w:tcPr>
                <w:p w14:paraId="2EE1F6AA">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N4</w:t>
                  </w:r>
                </w:p>
              </w:tc>
            </w:tr>
            <w:tr w14:paraId="7DD90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pct"/>
                  <w:vMerge w:val="continue"/>
                  <w:vAlign w:val="center"/>
                </w:tcPr>
                <w:p w14:paraId="1CA3452E">
                  <w:pPr>
                    <w:jc w:val="center"/>
                    <w:rPr>
                      <w:rFonts w:hint="default" w:ascii="Times New Roman" w:hAnsi="Times New Roman" w:eastAsia="宋体" w:cs="Times New Roman"/>
                      <w:b w:val="0"/>
                      <w:bCs w:val="0"/>
                      <w:color w:val="auto"/>
                      <w:sz w:val="21"/>
                      <w:szCs w:val="21"/>
                      <w:highlight w:val="none"/>
                      <w:vertAlign w:val="baseline"/>
                      <w:lang w:eastAsia="zh-CN"/>
                    </w:rPr>
                  </w:pPr>
                </w:p>
              </w:tc>
              <w:tc>
                <w:tcPr>
                  <w:tcW w:w="1116" w:type="pct"/>
                  <w:vAlign w:val="center"/>
                </w:tcPr>
                <w:p w14:paraId="46AACE0A">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eastAsia="zh-CN"/>
                    </w:rPr>
                    <w:t>ZH130828100</w:t>
                  </w:r>
                  <w:r>
                    <w:rPr>
                      <w:rFonts w:hint="default" w:ascii="Times New Roman" w:hAnsi="Times New Roman" w:eastAsia="宋体" w:cs="Times New Roman"/>
                      <w:b w:val="0"/>
                      <w:bCs w:val="0"/>
                      <w:color w:val="auto"/>
                      <w:sz w:val="21"/>
                      <w:szCs w:val="21"/>
                      <w:highlight w:val="none"/>
                      <w:vertAlign w:val="baseline"/>
                      <w:lang w:val="en-US" w:eastAsia="zh-CN"/>
                    </w:rPr>
                    <w:t>11</w:t>
                  </w:r>
                </w:p>
              </w:tc>
              <w:tc>
                <w:tcPr>
                  <w:tcW w:w="826" w:type="pct"/>
                  <w:vAlign w:val="center"/>
                </w:tcPr>
                <w:p w14:paraId="15A941D7">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13</w:t>
                  </w:r>
                </w:p>
              </w:tc>
              <w:tc>
                <w:tcPr>
                  <w:tcW w:w="2110" w:type="pct"/>
                  <w:vAlign w:val="center"/>
                </w:tcPr>
                <w:p w14:paraId="6511B76B">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N27~N32、N36~N38、N42、N47~</w:t>
                  </w:r>
                  <w:r>
                    <w:rPr>
                      <w:rFonts w:hint="eastAsia" w:ascii="Times New Roman" w:hAnsi="Times New Roman" w:eastAsia="宋体" w:cs="Times New Roman"/>
                      <w:b w:val="0"/>
                      <w:bCs w:val="0"/>
                      <w:color w:val="auto"/>
                      <w:sz w:val="21"/>
                      <w:szCs w:val="21"/>
                      <w:highlight w:val="none"/>
                      <w:vertAlign w:val="baseline"/>
                      <w:lang w:val="en-US" w:eastAsia="zh-CN"/>
                    </w:rPr>
                    <w:t>N</w:t>
                  </w:r>
                  <w:r>
                    <w:rPr>
                      <w:rFonts w:hint="default" w:ascii="Times New Roman" w:hAnsi="Times New Roman" w:eastAsia="宋体" w:cs="Times New Roman"/>
                      <w:b w:val="0"/>
                      <w:bCs w:val="0"/>
                      <w:color w:val="auto"/>
                      <w:sz w:val="21"/>
                      <w:szCs w:val="21"/>
                      <w:highlight w:val="none"/>
                      <w:vertAlign w:val="baseline"/>
                      <w:lang w:val="en-US" w:eastAsia="zh-CN"/>
                    </w:rPr>
                    <w:t>49</w:t>
                  </w:r>
                </w:p>
              </w:tc>
            </w:tr>
            <w:tr w14:paraId="404C5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pct"/>
                  <w:vMerge w:val="continue"/>
                  <w:vAlign w:val="center"/>
                </w:tcPr>
                <w:p w14:paraId="3C72A768">
                  <w:pPr>
                    <w:jc w:val="center"/>
                    <w:rPr>
                      <w:rFonts w:hint="default" w:ascii="Times New Roman" w:hAnsi="Times New Roman" w:eastAsia="宋体" w:cs="Times New Roman"/>
                      <w:b w:val="0"/>
                      <w:bCs w:val="0"/>
                      <w:color w:val="auto"/>
                      <w:sz w:val="21"/>
                      <w:szCs w:val="21"/>
                      <w:highlight w:val="none"/>
                      <w:vertAlign w:val="baseline"/>
                      <w:lang w:eastAsia="zh-CN"/>
                    </w:rPr>
                  </w:pPr>
                </w:p>
              </w:tc>
              <w:tc>
                <w:tcPr>
                  <w:tcW w:w="1116" w:type="pct"/>
                  <w:vAlign w:val="center"/>
                </w:tcPr>
                <w:p w14:paraId="54D24F9F">
                  <w:pPr>
                    <w:jc w:val="center"/>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ZH130828100</w:t>
                  </w:r>
                  <w:r>
                    <w:rPr>
                      <w:rFonts w:hint="default" w:ascii="Times New Roman" w:hAnsi="Times New Roman" w:eastAsia="宋体" w:cs="Times New Roman"/>
                      <w:b w:val="0"/>
                      <w:bCs w:val="0"/>
                      <w:color w:val="auto"/>
                      <w:sz w:val="21"/>
                      <w:szCs w:val="21"/>
                      <w:highlight w:val="none"/>
                      <w:vertAlign w:val="baseline"/>
                      <w:lang w:val="en-US" w:eastAsia="zh-CN"/>
                    </w:rPr>
                    <w:t>1</w:t>
                  </w:r>
                  <w:r>
                    <w:rPr>
                      <w:rFonts w:hint="default" w:ascii="Times New Roman" w:hAnsi="Times New Roman" w:eastAsia="宋体" w:cs="Times New Roman"/>
                      <w:b w:val="0"/>
                      <w:bCs w:val="0"/>
                      <w:color w:val="auto"/>
                      <w:sz w:val="21"/>
                      <w:szCs w:val="21"/>
                      <w:highlight w:val="none"/>
                      <w:vertAlign w:val="baseline"/>
                      <w:lang w:eastAsia="zh-CN"/>
                    </w:rPr>
                    <w:t>2</w:t>
                  </w:r>
                </w:p>
              </w:tc>
              <w:tc>
                <w:tcPr>
                  <w:tcW w:w="826" w:type="pct"/>
                  <w:vAlign w:val="center"/>
                </w:tcPr>
                <w:p w14:paraId="1573B287">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13</w:t>
                  </w:r>
                </w:p>
              </w:tc>
              <w:tc>
                <w:tcPr>
                  <w:tcW w:w="2110" w:type="pct"/>
                  <w:vAlign w:val="center"/>
                </w:tcPr>
                <w:p w14:paraId="58D8EFCA">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N33~N35、N39~N41、N45~N46、N50~</w:t>
                  </w:r>
                  <w:r>
                    <w:rPr>
                      <w:rFonts w:hint="eastAsia" w:ascii="Times New Roman" w:hAnsi="Times New Roman" w:eastAsia="宋体" w:cs="Times New Roman"/>
                      <w:b w:val="0"/>
                      <w:bCs w:val="0"/>
                      <w:color w:val="auto"/>
                      <w:sz w:val="21"/>
                      <w:szCs w:val="21"/>
                      <w:highlight w:val="none"/>
                      <w:vertAlign w:val="baseline"/>
                      <w:lang w:val="en-US" w:eastAsia="zh-CN"/>
                    </w:rPr>
                    <w:t>N</w:t>
                  </w:r>
                  <w:r>
                    <w:rPr>
                      <w:rFonts w:hint="default" w:ascii="Times New Roman" w:hAnsi="Times New Roman" w:eastAsia="宋体" w:cs="Times New Roman"/>
                      <w:b w:val="0"/>
                      <w:bCs w:val="0"/>
                      <w:color w:val="auto"/>
                      <w:sz w:val="21"/>
                      <w:szCs w:val="21"/>
                      <w:highlight w:val="none"/>
                      <w:vertAlign w:val="baseline"/>
                      <w:lang w:val="en-US" w:eastAsia="zh-CN"/>
                    </w:rPr>
                    <w:t>54</w:t>
                  </w:r>
                </w:p>
              </w:tc>
            </w:tr>
            <w:tr w14:paraId="17F80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pct"/>
                  <w:vMerge w:val="continue"/>
                  <w:vAlign w:val="center"/>
                </w:tcPr>
                <w:p w14:paraId="0700B2A4">
                  <w:pPr>
                    <w:jc w:val="center"/>
                    <w:rPr>
                      <w:rFonts w:hint="default" w:ascii="Times New Roman" w:hAnsi="Times New Roman" w:eastAsia="宋体" w:cs="Times New Roman"/>
                      <w:b w:val="0"/>
                      <w:bCs w:val="0"/>
                      <w:color w:val="auto"/>
                      <w:sz w:val="21"/>
                      <w:szCs w:val="21"/>
                      <w:highlight w:val="none"/>
                      <w:vertAlign w:val="baseline"/>
                      <w:lang w:eastAsia="zh-CN"/>
                    </w:rPr>
                  </w:pPr>
                </w:p>
              </w:tc>
              <w:tc>
                <w:tcPr>
                  <w:tcW w:w="1116" w:type="pct"/>
                  <w:vAlign w:val="center"/>
                </w:tcPr>
                <w:p w14:paraId="26116C02">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eastAsia="zh-CN"/>
                    </w:rPr>
                    <w:t>ZH130828100</w:t>
                  </w:r>
                  <w:r>
                    <w:rPr>
                      <w:rFonts w:hint="default" w:ascii="Times New Roman" w:hAnsi="Times New Roman" w:eastAsia="宋体" w:cs="Times New Roman"/>
                      <w:b w:val="0"/>
                      <w:bCs w:val="0"/>
                      <w:color w:val="auto"/>
                      <w:sz w:val="21"/>
                      <w:szCs w:val="21"/>
                      <w:highlight w:val="none"/>
                      <w:vertAlign w:val="baseline"/>
                      <w:lang w:val="en-US" w:eastAsia="zh-CN"/>
                    </w:rPr>
                    <w:t>13</w:t>
                  </w:r>
                </w:p>
              </w:tc>
              <w:tc>
                <w:tcPr>
                  <w:tcW w:w="826" w:type="pct"/>
                  <w:vAlign w:val="center"/>
                </w:tcPr>
                <w:p w14:paraId="7E01EBEB">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8</w:t>
                  </w:r>
                </w:p>
              </w:tc>
              <w:tc>
                <w:tcPr>
                  <w:tcW w:w="2110" w:type="pct"/>
                  <w:vAlign w:val="center"/>
                </w:tcPr>
                <w:p w14:paraId="1236CCEA">
                  <w:pPr>
                    <w:jc w:val="center"/>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val="en-US" w:eastAsia="zh-CN"/>
                    </w:rPr>
                    <w:t>N1~N3、N5~</w:t>
                  </w:r>
                  <w:r>
                    <w:rPr>
                      <w:rFonts w:hint="eastAsia" w:ascii="Times New Roman" w:hAnsi="Times New Roman" w:eastAsia="宋体" w:cs="Times New Roman"/>
                      <w:b w:val="0"/>
                      <w:bCs w:val="0"/>
                      <w:color w:val="auto"/>
                      <w:sz w:val="21"/>
                      <w:szCs w:val="21"/>
                      <w:highlight w:val="none"/>
                      <w:vertAlign w:val="baseline"/>
                      <w:lang w:val="en-US" w:eastAsia="zh-CN"/>
                    </w:rPr>
                    <w:t>N</w:t>
                  </w:r>
                  <w:r>
                    <w:rPr>
                      <w:rFonts w:hint="default" w:ascii="Times New Roman" w:hAnsi="Times New Roman" w:eastAsia="宋体" w:cs="Times New Roman"/>
                      <w:b w:val="0"/>
                      <w:bCs w:val="0"/>
                      <w:color w:val="auto"/>
                      <w:sz w:val="21"/>
                      <w:szCs w:val="21"/>
                      <w:highlight w:val="none"/>
                      <w:vertAlign w:val="baseline"/>
                      <w:lang w:val="en-US" w:eastAsia="zh-CN"/>
                    </w:rPr>
                    <w:t>9</w:t>
                  </w:r>
                </w:p>
              </w:tc>
            </w:tr>
            <w:tr w14:paraId="3CD1F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pct"/>
                  <w:vAlign w:val="center"/>
                </w:tcPr>
                <w:p w14:paraId="1EAA2569">
                  <w:pPr>
                    <w:jc w:val="center"/>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一般管控单元</w:t>
                  </w:r>
                </w:p>
              </w:tc>
              <w:tc>
                <w:tcPr>
                  <w:tcW w:w="1116" w:type="pct"/>
                  <w:vAlign w:val="center"/>
                </w:tcPr>
                <w:p w14:paraId="3F54EDB3">
                  <w:pPr>
                    <w:jc w:val="center"/>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ZH13082830001</w:t>
                  </w:r>
                </w:p>
              </w:tc>
              <w:tc>
                <w:tcPr>
                  <w:tcW w:w="826" w:type="pct"/>
                  <w:vAlign w:val="center"/>
                </w:tcPr>
                <w:p w14:paraId="57CE87CB">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5</w:t>
                  </w:r>
                </w:p>
              </w:tc>
              <w:tc>
                <w:tcPr>
                  <w:tcW w:w="2110" w:type="pct"/>
                  <w:vAlign w:val="center"/>
                </w:tcPr>
                <w:p w14:paraId="0BE84417">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N43~N44、N55~N57</w:t>
                  </w:r>
                </w:p>
              </w:tc>
            </w:tr>
          </w:tbl>
          <w:p w14:paraId="417057A2">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表1-</w:t>
            </w:r>
            <w:r>
              <w:rPr>
                <w:rFonts w:hint="eastAsia" w:ascii="Times New Roman" w:hAnsi="Times New Roman" w:eastAsia="宋体"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rPr>
              <w:t xml:space="preserve">  围场县生态环境分区管控对照检查表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750"/>
              <w:gridCol w:w="579"/>
              <w:gridCol w:w="881"/>
              <w:gridCol w:w="469"/>
              <w:gridCol w:w="2172"/>
              <w:gridCol w:w="2012"/>
              <w:gridCol w:w="250"/>
            </w:tblGrid>
            <w:tr w14:paraId="23B39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tcBorders>
                    <w:bottom w:val="single" w:color="auto" w:sz="4" w:space="0"/>
                  </w:tcBorders>
                  <w:tcMar>
                    <w:top w:w="0" w:type="dxa"/>
                    <w:left w:w="0" w:type="dxa"/>
                    <w:bottom w:w="0" w:type="dxa"/>
                    <w:right w:w="0" w:type="dxa"/>
                  </w:tcMar>
                  <w:vAlign w:val="center"/>
                </w:tcPr>
                <w:p w14:paraId="0DDEAE35">
                  <w:pPr>
                    <w:pStyle w:val="123"/>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编号</w:t>
                  </w:r>
                </w:p>
              </w:tc>
              <w:tc>
                <w:tcPr>
                  <w:tcW w:w="467" w:type="pct"/>
                  <w:tcMar>
                    <w:top w:w="0" w:type="dxa"/>
                    <w:left w:w="0" w:type="dxa"/>
                    <w:bottom w:w="0" w:type="dxa"/>
                    <w:right w:w="0" w:type="dxa"/>
                  </w:tcMar>
                  <w:vAlign w:val="center"/>
                </w:tcPr>
                <w:p w14:paraId="32CDDE41">
                  <w:pPr>
                    <w:pStyle w:val="123"/>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涉及乡镇</w:t>
                  </w:r>
                </w:p>
              </w:tc>
              <w:tc>
                <w:tcPr>
                  <w:tcW w:w="360" w:type="pct"/>
                  <w:tcMar>
                    <w:top w:w="0" w:type="dxa"/>
                    <w:left w:w="0" w:type="dxa"/>
                    <w:bottom w:w="0" w:type="dxa"/>
                    <w:right w:w="0" w:type="dxa"/>
                  </w:tcMar>
                  <w:vAlign w:val="center"/>
                </w:tcPr>
                <w:p w14:paraId="1ED42388">
                  <w:pPr>
                    <w:pStyle w:val="123"/>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管控类型</w:t>
                  </w:r>
                </w:p>
              </w:tc>
              <w:tc>
                <w:tcPr>
                  <w:tcW w:w="549" w:type="pct"/>
                  <w:tcMar>
                    <w:top w:w="0" w:type="dxa"/>
                    <w:left w:w="0" w:type="dxa"/>
                    <w:bottom w:w="0" w:type="dxa"/>
                    <w:right w:w="0" w:type="dxa"/>
                  </w:tcMar>
                  <w:vAlign w:val="center"/>
                </w:tcPr>
                <w:p w14:paraId="4B63C98F">
                  <w:pPr>
                    <w:pStyle w:val="123"/>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环境要素类别</w:t>
                  </w:r>
                </w:p>
              </w:tc>
              <w:tc>
                <w:tcPr>
                  <w:tcW w:w="292" w:type="pct"/>
                  <w:tcMar>
                    <w:top w:w="0" w:type="dxa"/>
                    <w:left w:w="0" w:type="dxa"/>
                    <w:bottom w:w="0" w:type="dxa"/>
                    <w:right w:w="0" w:type="dxa"/>
                  </w:tcMar>
                  <w:vAlign w:val="center"/>
                </w:tcPr>
                <w:p w14:paraId="4E3852C8">
                  <w:pPr>
                    <w:pStyle w:val="123"/>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维度</w:t>
                  </w:r>
                </w:p>
              </w:tc>
              <w:tc>
                <w:tcPr>
                  <w:tcW w:w="1354" w:type="pct"/>
                  <w:tcMar>
                    <w:top w:w="0" w:type="dxa"/>
                    <w:left w:w="0" w:type="dxa"/>
                    <w:bottom w:w="0" w:type="dxa"/>
                    <w:right w:w="0" w:type="dxa"/>
                  </w:tcMar>
                  <w:vAlign w:val="center"/>
                </w:tcPr>
                <w:p w14:paraId="61CCA8B5">
                  <w:pPr>
                    <w:pStyle w:val="123"/>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管控措施</w:t>
                  </w:r>
                </w:p>
              </w:tc>
              <w:tc>
                <w:tcPr>
                  <w:tcW w:w="1254" w:type="pct"/>
                  <w:tcMar>
                    <w:top w:w="0" w:type="dxa"/>
                    <w:left w:w="0" w:type="dxa"/>
                    <w:bottom w:w="0" w:type="dxa"/>
                    <w:right w:w="0" w:type="dxa"/>
                  </w:tcMar>
                  <w:vAlign w:val="center"/>
                </w:tcPr>
                <w:p w14:paraId="037110BC">
                  <w:pPr>
                    <w:pStyle w:val="123"/>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项目情况</w:t>
                  </w:r>
                </w:p>
              </w:tc>
              <w:tc>
                <w:tcPr>
                  <w:tcW w:w="155" w:type="pct"/>
                  <w:tcMar>
                    <w:top w:w="0" w:type="dxa"/>
                    <w:left w:w="0" w:type="dxa"/>
                    <w:bottom w:w="0" w:type="dxa"/>
                    <w:right w:w="0" w:type="dxa"/>
                  </w:tcMar>
                  <w:vAlign w:val="center"/>
                </w:tcPr>
                <w:p w14:paraId="239B9BC5">
                  <w:pPr>
                    <w:pStyle w:val="123"/>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符合性</w:t>
                  </w:r>
                </w:p>
              </w:tc>
            </w:tr>
            <w:tr w14:paraId="160BE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restart"/>
                  <w:tcMar>
                    <w:top w:w="0" w:type="dxa"/>
                    <w:left w:w="0" w:type="dxa"/>
                    <w:bottom w:w="0" w:type="dxa"/>
                    <w:right w:w="0" w:type="dxa"/>
                  </w:tcMar>
                  <w:vAlign w:val="center"/>
                </w:tcPr>
                <w:p w14:paraId="3B204C87">
                  <w:pPr>
                    <w:pStyle w:val="123"/>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ZH13082810002</w:t>
                  </w:r>
                </w:p>
              </w:tc>
              <w:tc>
                <w:tcPr>
                  <w:tcW w:w="467" w:type="pct"/>
                  <w:vMerge w:val="restart"/>
                  <w:tcMar>
                    <w:top w:w="0" w:type="dxa"/>
                    <w:left w:w="0" w:type="dxa"/>
                    <w:bottom w:w="0" w:type="dxa"/>
                    <w:right w:w="0" w:type="dxa"/>
                  </w:tcMar>
                  <w:vAlign w:val="center"/>
                </w:tcPr>
                <w:p w14:paraId="6124B454">
                  <w:pPr>
                    <w:pStyle w:val="123"/>
                    <w:spacing w:line="320" w:lineRule="exact"/>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老窝铺乡、城子镇</w:t>
                  </w:r>
                  <w:r>
                    <w:rPr>
                      <w:rFonts w:hint="eastAsia" w:cs="Times New Roman"/>
                      <w:color w:val="auto"/>
                      <w:highlight w:val="none"/>
                      <w:lang w:eastAsia="zh-CN"/>
                    </w:rPr>
                    <w:t>、御道口镇</w:t>
                  </w:r>
                </w:p>
              </w:tc>
              <w:tc>
                <w:tcPr>
                  <w:tcW w:w="360" w:type="pct"/>
                  <w:vMerge w:val="restart"/>
                  <w:tcMar>
                    <w:top w:w="0" w:type="dxa"/>
                    <w:left w:w="0" w:type="dxa"/>
                    <w:bottom w:w="0" w:type="dxa"/>
                    <w:right w:w="0" w:type="dxa"/>
                  </w:tcMar>
                  <w:vAlign w:val="center"/>
                </w:tcPr>
                <w:p w14:paraId="5826D9D3">
                  <w:pPr>
                    <w:pStyle w:val="123"/>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优先保护单元</w:t>
                  </w:r>
                </w:p>
              </w:tc>
              <w:tc>
                <w:tcPr>
                  <w:tcW w:w="549" w:type="pct"/>
                  <w:vMerge w:val="restart"/>
                  <w:tcMar>
                    <w:top w:w="0" w:type="dxa"/>
                    <w:left w:w="0" w:type="dxa"/>
                    <w:bottom w:w="0" w:type="dxa"/>
                    <w:right w:w="0" w:type="dxa"/>
                  </w:tcMar>
                  <w:vAlign w:val="center"/>
                </w:tcPr>
                <w:p w14:paraId="657F4F4A">
                  <w:pPr>
                    <w:pStyle w:val="123"/>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坝上高原防风固沙生态保护红线</w:t>
                  </w:r>
                </w:p>
                <w:p w14:paraId="6011A957">
                  <w:pPr>
                    <w:pStyle w:val="123"/>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河北滦河上游国家级自然保护区</w:t>
                  </w:r>
                </w:p>
              </w:tc>
              <w:tc>
                <w:tcPr>
                  <w:tcW w:w="292" w:type="pct"/>
                  <w:tcMar>
                    <w:top w:w="0" w:type="dxa"/>
                    <w:left w:w="0" w:type="dxa"/>
                    <w:bottom w:w="0" w:type="dxa"/>
                    <w:right w:w="0" w:type="dxa"/>
                  </w:tcMar>
                  <w:vAlign w:val="center"/>
                </w:tcPr>
                <w:p w14:paraId="209A582F">
                  <w:pPr>
                    <w:pStyle w:val="123"/>
                    <w:spacing w:line="320" w:lineRule="exact"/>
                    <w:rPr>
                      <w:rFonts w:hint="default" w:ascii="Times New Roman" w:hAnsi="Times New Roman" w:cs="Times New Roman"/>
                      <w:bCs/>
                      <w:color w:val="auto"/>
                      <w:highlight w:val="none"/>
                    </w:rPr>
                  </w:pPr>
                  <w:r>
                    <w:rPr>
                      <w:rFonts w:hint="default" w:ascii="Times New Roman" w:hAnsi="Times New Roman" w:cs="Times New Roman"/>
                      <w:color w:val="auto"/>
                      <w:highlight w:val="none"/>
                    </w:rPr>
                    <w:t>空间布局约束</w:t>
                  </w:r>
                </w:p>
              </w:tc>
              <w:tc>
                <w:tcPr>
                  <w:tcW w:w="1354" w:type="pct"/>
                  <w:tcMar>
                    <w:top w:w="0" w:type="dxa"/>
                    <w:left w:w="0" w:type="dxa"/>
                    <w:bottom w:w="0" w:type="dxa"/>
                    <w:right w:w="0" w:type="dxa"/>
                  </w:tcMar>
                  <w:vAlign w:val="center"/>
                </w:tcPr>
                <w:p w14:paraId="5C35B3ED">
                  <w:pPr>
                    <w:pStyle w:val="123"/>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1、执行承德市总体准入清单中生态保护红线准入要求。</w:t>
                  </w:r>
                </w:p>
                <w:p w14:paraId="1344756D">
                  <w:pPr>
                    <w:pStyle w:val="123"/>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2、执行承德市总体准入要求中自然保护区的管控要求。</w:t>
                  </w:r>
                </w:p>
                <w:p w14:paraId="44598068">
                  <w:pPr>
                    <w:pStyle w:val="123"/>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3、自然保护区管理机构或者行政主管部门应当组织编制自然保护区的建设规划，按照规定的程序纳入国家的、地方的或者部门的投资计划，并组织实施。</w:t>
                  </w:r>
                </w:p>
                <w:p w14:paraId="6CC3A0E5">
                  <w:pPr>
                    <w:pStyle w:val="123"/>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4、在沙化土地范围内从事开发建设活动的，必须事先就该项目可能对当地及相关地区生态产生的影响进行环境影响评价，依法提交环境影响报告；环境影响报告应当包括有关防沙治沙的内容。</w:t>
                  </w:r>
                </w:p>
              </w:tc>
              <w:tc>
                <w:tcPr>
                  <w:tcW w:w="1254" w:type="pct"/>
                  <w:tcMar>
                    <w:top w:w="0" w:type="dxa"/>
                    <w:left w:w="0" w:type="dxa"/>
                    <w:bottom w:w="0" w:type="dxa"/>
                    <w:right w:w="0" w:type="dxa"/>
                  </w:tcMar>
                  <w:vAlign w:val="center"/>
                </w:tcPr>
                <w:p w14:paraId="28005BD1">
                  <w:pPr>
                    <w:pStyle w:val="123"/>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本项目与承德市总体准入清单中生态保护红线准入要求符合性分析见表1-</w:t>
                  </w:r>
                  <w:r>
                    <w:rPr>
                      <w:rFonts w:hint="eastAsia" w:cs="Times New Roman"/>
                      <w:bCs/>
                      <w:color w:val="auto"/>
                      <w:highlight w:val="none"/>
                      <w:lang w:val="en-US" w:eastAsia="zh-CN"/>
                    </w:rPr>
                    <w:t>5</w:t>
                  </w:r>
                  <w:r>
                    <w:rPr>
                      <w:rFonts w:hint="default" w:ascii="Times New Roman" w:hAnsi="Times New Roman" w:cs="Times New Roman"/>
                      <w:bCs/>
                      <w:color w:val="auto"/>
                      <w:highlight w:val="none"/>
                    </w:rPr>
                    <w:t>、与承德市总体准入要求中自然保护区的管控要求分析表见表1-</w:t>
                  </w:r>
                  <w:r>
                    <w:rPr>
                      <w:rFonts w:hint="eastAsia" w:cs="Times New Roman"/>
                      <w:bCs/>
                      <w:color w:val="auto"/>
                      <w:highlight w:val="none"/>
                      <w:lang w:val="en-US" w:eastAsia="zh-CN"/>
                    </w:rPr>
                    <w:t>6</w:t>
                  </w:r>
                  <w:r>
                    <w:rPr>
                      <w:rFonts w:hint="default" w:ascii="Times New Roman" w:hAnsi="Times New Roman" w:cs="Times New Roman"/>
                      <w:bCs/>
                      <w:color w:val="auto"/>
                      <w:highlight w:val="none"/>
                    </w:rPr>
                    <w:t>。</w:t>
                  </w:r>
                  <w:r>
                    <w:rPr>
                      <w:rFonts w:hint="default" w:ascii="Times New Roman" w:hAnsi="Times New Roman" w:cs="Times New Roman"/>
                      <w:color w:val="auto"/>
                      <w:highlight w:val="none"/>
                    </w:rPr>
                    <w:t>国家林业和草原局出具了《关于同意华能围场“风光储氢热一体化”项目（光伏200MW）项目220kV送出线路工程穿越河北滦河上游国家级自然保护区实验区的行政许可决定》（林保许准（冀）[2024]10号）。</w:t>
                  </w:r>
                  <w:r>
                    <w:rPr>
                      <w:rFonts w:hint="default" w:ascii="Times New Roman" w:hAnsi="Times New Roman" w:cs="Times New Roman"/>
                      <w:bCs/>
                      <w:color w:val="auto"/>
                      <w:highlight w:val="none"/>
                    </w:rPr>
                    <w:t>本项目无废水外排，报告中对沙化土地提出防沙治沙措施，减少土地沙化。</w:t>
                  </w:r>
                </w:p>
              </w:tc>
              <w:tc>
                <w:tcPr>
                  <w:tcW w:w="155" w:type="pct"/>
                  <w:tcMar>
                    <w:top w:w="0" w:type="dxa"/>
                    <w:left w:w="0" w:type="dxa"/>
                    <w:bottom w:w="0" w:type="dxa"/>
                    <w:right w:w="0" w:type="dxa"/>
                  </w:tcMar>
                  <w:vAlign w:val="center"/>
                </w:tcPr>
                <w:p w14:paraId="30CF26AF">
                  <w:pPr>
                    <w:pStyle w:val="123"/>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符合</w:t>
                  </w:r>
                </w:p>
              </w:tc>
            </w:tr>
            <w:tr w14:paraId="0D0C2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continue"/>
                  <w:tcMar>
                    <w:top w:w="0" w:type="dxa"/>
                    <w:left w:w="0" w:type="dxa"/>
                    <w:bottom w:w="0" w:type="dxa"/>
                    <w:right w:w="0" w:type="dxa"/>
                  </w:tcMar>
                  <w:vAlign w:val="center"/>
                </w:tcPr>
                <w:p w14:paraId="61718A11">
                  <w:pPr>
                    <w:pStyle w:val="123"/>
                    <w:spacing w:line="320" w:lineRule="exact"/>
                    <w:rPr>
                      <w:rFonts w:hint="default" w:ascii="Times New Roman" w:hAnsi="Times New Roman" w:cs="Times New Roman"/>
                      <w:bCs/>
                      <w:color w:val="auto"/>
                      <w:highlight w:val="none"/>
                    </w:rPr>
                  </w:pPr>
                </w:p>
              </w:tc>
              <w:tc>
                <w:tcPr>
                  <w:tcW w:w="467" w:type="pct"/>
                  <w:vMerge w:val="continue"/>
                  <w:tcMar>
                    <w:top w:w="0" w:type="dxa"/>
                    <w:left w:w="0" w:type="dxa"/>
                    <w:bottom w:w="0" w:type="dxa"/>
                    <w:right w:w="0" w:type="dxa"/>
                  </w:tcMar>
                  <w:vAlign w:val="center"/>
                </w:tcPr>
                <w:p w14:paraId="5BCA8B16">
                  <w:pPr>
                    <w:pStyle w:val="123"/>
                    <w:spacing w:line="320" w:lineRule="exact"/>
                    <w:rPr>
                      <w:rFonts w:hint="default" w:ascii="Times New Roman" w:hAnsi="Times New Roman" w:cs="Times New Roman"/>
                      <w:bCs/>
                      <w:color w:val="auto"/>
                      <w:highlight w:val="none"/>
                    </w:rPr>
                  </w:pPr>
                </w:p>
              </w:tc>
              <w:tc>
                <w:tcPr>
                  <w:tcW w:w="360" w:type="pct"/>
                  <w:vMerge w:val="continue"/>
                  <w:tcMar>
                    <w:top w:w="0" w:type="dxa"/>
                    <w:left w:w="0" w:type="dxa"/>
                    <w:bottom w:w="0" w:type="dxa"/>
                    <w:right w:w="0" w:type="dxa"/>
                  </w:tcMar>
                  <w:vAlign w:val="center"/>
                </w:tcPr>
                <w:p w14:paraId="0446ADD4">
                  <w:pPr>
                    <w:pStyle w:val="123"/>
                    <w:spacing w:line="320" w:lineRule="exact"/>
                    <w:rPr>
                      <w:rFonts w:hint="default" w:ascii="Times New Roman" w:hAnsi="Times New Roman" w:cs="Times New Roman"/>
                      <w:bCs/>
                      <w:color w:val="auto"/>
                      <w:highlight w:val="none"/>
                    </w:rPr>
                  </w:pPr>
                </w:p>
              </w:tc>
              <w:tc>
                <w:tcPr>
                  <w:tcW w:w="549" w:type="pct"/>
                  <w:vMerge w:val="continue"/>
                  <w:tcMar>
                    <w:top w:w="0" w:type="dxa"/>
                    <w:left w:w="0" w:type="dxa"/>
                    <w:bottom w:w="0" w:type="dxa"/>
                    <w:right w:w="0" w:type="dxa"/>
                  </w:tcMar>
                  <w:vAlign w:val="center"/>
                </w:tcPr>
                <w:p w14:paraId="26874189">
                  <w:pPr>
                    <w:pStyle w:val="123"/>
                    <w:spacing w:line="320" w:lineRule="exact"/>
                    <w:rPr>
                      <w:rFonts w:hint="default" w:ascii="Times New Roman" w:hAnsi="Times New Roman" w:cs="Times New Roman"/>
                      <w:bCs/>
                      <w:color w:val="auto"/>
                      <w:highlight w:val="none"/>
                    </w:rPr>
                  </w:pPr>
                </w:p>
              </w:tc>
              <w:tc>
                <w:tcPr>
                  <w:tcW w:w="292" w:type="pct"/>
                  <w:tcMar>
                    <w:top w:w="0" w:type="dxa"/>
                    <w:left w:w="0" w:type="dxa"/>
                    <w:bottom w:w="0" w:type="dxa"/>
                    <w:right w:w="0" w:type="dxa"/>
                  </w:tcMar>
                  <w:vAlign w:val="center"/>
                </w:tcPr>
                <w:p w14:paraId="2DE9DBFE">
                  <w:pPr>
                    <w:pStyle w:val="123"/>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污染物排放管控</w:t>
                  </w:r>
                </w:p>
              </w:tc>
              <w:tc>
                <w:tcPr>
                  <w:tcW w:w="1354" w:type="pct"/>
                  <w:tcMar>
                    <w:top w:w="0" w:type="dxa"/>
                    <w:left w:w="0" w:type="dxa"/>
                    <w:bottom w:w="0" w:type="dxa"/>
                    <w:right w:w="0" w:type="dxa"/>
                  </w:tcMar>
                  <w:vAlign w:val="center"/>
                </w:tcPr>
                <w:p w14:paraId="7FA97417">
                  <w:pPr>
                    <w:pStyle w:val="123"/>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w:t>
                  </w:r>
                </w:p>
              </w:tc>
              <w:tc>
                <w:tcPr>
                  <w:tcW w:w="1254" w:type="pct"/>
                  <w:tcMar>
                    <w:top w:w="0" w:type="dxa"/>
                    <w:left w:w="0" w:type="dxa"/>
                    <w:bottom w:w="0" w:type="dxa"/>
                    <w:right w:w="0" w:type="dxa"/>
                  </w:tcMar>
                  <w:vAlign w:val="center"/>
                </w:tcPr>
                <w:p w14:paraId="22D787E0">
                  <w:pPr>
                    <w:pStyle w:val="123"/>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w:t>
                  </w:r>
                </w:p>
              </w:tc>
              <w:tc>
                <w:tcPr>
                  <w:tcW w:w="155" w:type="pct"/>
                  <w:tcMar>
                    <w:top w:w="0" w:type="dxa"/>
                    <w:left w:w="0" w:type="dxa"/>
                    <w:bottom w:w="0" w:type="dxa"/>
                    <w:right w:w="0" w:type="dxa"/>
                  </w:tcMar>
                  <w:vAlign w:val="center"/>
                </w:tcPr>
                <w:p w14:paraId="4184570B">
                  <w:pPr>
                    <w:pStyle w:val="123"/>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w:t>
                  </w:r>
                </w:p>
              </w:tc>
            </w:tr>
            <w:tr w14:paraId="37F81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continue"/>
                  <w:tcMar>
                    <w:top w:w="0" w:type="dxa"/>
                    <w:left w:w="0" w:type="dxa"/>
                    <w:bottom w:w="0" w:type="dxa"/>
                    <w:right w:w="0" w:type="dxa"/>
                  </w:tcMar>
                  <w:vAlign w:val="center"/>
                </w:tcPr>
                <w:p w14:paraId="25B8E68B">
                  <w:pPr>
                    <w:pStyle w:val="123"/>
                    <w:spacing w:line="320" w:lineRule="exact"/>
                    <w:rPr>
                      <w:rFonts w:hint="default" w:ascii="Times New Roman" w:hAnsi="Times New Roman" w:cs="Times New Roman"/>
                      <w:bCs/>
                      <w:color w:val="auto"/>
                      <w:highlight w:val="none"/>
                    </w:rPr>
                  </w:pPr>
                </w:p>
              </w:tc>
              <w:tc>
                <w:tcPr>
                  <w:tcW w:w="467" w:type="pct"/>
                  <w:vMerge w:val="continue"/>
                  <w:tcMar>
                    <w:top w:w="0" w:type="dxa"/>
                    <w:left w:w="0" w:type="dxa"/>
                    <w:bottom w:w="0" w:type="dxa"/>
                    <w:right w:w="0" w:type="dxa"/>
                  </w:tcMar>
                  <w:vAlign w:val="center"/>
                </w:tcPr>
                <w:p w14:paraId="41712E53">
                  <w:pPr>
                    <w:pStyle w:val="123"/>
                    <w:spacing w:line="320" w:lineRule="exact"/>
                    <w:rPr>
                      <w:rFonts w:hint="default" w:ascii="Times New Roman" w:hAnsi="Times New Roman" w:cs="Times New Roman"/>
                      <w:bCs/>
                      <w:color w:val="auto"/>
                      <w:highlight w:val="none"/>
                    </w:rPr>
                  </w:pPr>
                </w:p>
              </w:tc>
              <w:tc>
                <w:tcPr>
                  <w:tcW w:w="360" w:type="pct"/>
                  <w:vMerge w:val="continue"/>
                  <w:tcMar>
                    <w:top w:w="0" w:type="dxa"/>
                    <w:left w:w="0" w:type="dxa"/>
                    <w:bottom w:w="0" w:type="dxa"/>
                    <w:right w:w="0" w:type="dxa"/>
                  </w:tcMar>
                  <w:vAlign w:val="center"/>
                </w:tcPr>
                <w:p w14:paraId="2E0AF919">
                  <w:pPr>
                    <w:pStyle w:val="123"/>
                    <w:spacing w:line="320" w:lineRule="exact"/>
                    <w:rPr>
                      <w:rFonts w:hint="default" w:ascii="Times New Roman" w:hAnsi="Times New Roman" w:cs="Times New Roman"/>
                      <w:bCs/>
                      <w:color w:val="auto"/>
                      <w:highlight w:val="none"/>
                    </w:rPr>
                  </w:pPr>
                </w:p>
              </w:tc>
              <w:tc>
                <w:tcPr>
                  <w:tcW w:w="549" w:type="pct"/>
                  <w:vMerge w:val="continue"/>
                  <w:tcMar>
                    <w:top w:w="0" w:type="dxa"/>
                    <w:left w:w="0" w:type="dxa"/>
                    <w:bottom w:w="0" w:type="dxa"/>
                    <w:right w:w="0" w:type="dxa"/>
                  </w:tcMar>
                  <w:vAlign w:val="center"/>
                </w:tcPr>
                <w:p w14:paraId="760310D7">
                  <w:pPr>
                    <w:pStyle w:val="123"/>
                    <w:spacing w:line="320" w:lineRule="exact"/>
                    <w:rPr>
                      <w:rFonts w:hint="default" w:ascii="Times New Roman" w:hAnsi="Times New Roman" w:cs="Times New Roman"/>
                      <w:bCs/>
                      <w:color w:val="auto"/>
                      <w:highlight w:val="none"/>
                    </w:rPr>
                  </w:pPr>
                </w:p>
              </w:tc>
              <w:tc>
                <w:tcPr>
                  <w:tcW w:w="292" w:type="pct"/>
                  <w:tcMar>
                    <w:top w:w="0" w:type="dxa"/>
                    <w:left w:w="0" w:type="dxa"/>
                    <w:bottom w:w="0" w:type="dxa"/>
                    <w:right w:w="0" w:type="dxa"/>
                  </w:tcMar>
                  <w:vAlign w:val="center"/>
                </w:tcPr>
                <w:p w14:paraId="6EAA035C">
                  <w:pPr>
                    <w:pStyle w:val="123"/>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环境风险管控</w:t>
                  </w:r>
                </w:p>
              </w:tc>
              <w:tc>
                <w:tcPr>
                  <w:tcW w:w="1354" w:type="pct"/>
                  <w:tcMar>
                    <w:top w:w="0" w:type="dxa"/>
                    <w:left w:w="0" w:type="dxa"/>
                    <w:bottom w:w="0" w:type="dxa"/>
                    <w:right w:w="0" w:type="dxa"/>
                  </w:tcMar>
                  <w:vAlign w:val="center"/>
                </w:tcPr>
                <w:p w14:paraId="0B4FD8FC">
                  <w:pPr>
                    <w:pStyle w:val="123"/>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1、设置保护界碑公告牌，营建生物隔离带、生态驳岸，布设湿地生态系统监测设施，实时监测保护区生态环境。</w:t>
                  </w:r>
                </w:p>
              </w:tc>
              <w:tc>
                <w:tcPr>
                  <w:tcW w:w="1254" w:type="pct"/>
                  <w:tcMar>
                    <w:top w:w="0" w:type="dxa"/>
                    <w:left w:w="0" w:type="dxa"/>
                    <w:bottom w:w="0" w:type="dxa"/>
                    <w:right w:w="0" w:type="dxa"/>
                  </w:tcMar>
                  <w:vAlign w:val="center"/>
                </w:tcPr>
                <w:p w14:paraId="1143F911">
                  <w:pPr>
                    <w:pStyle w:val="123"/>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加强保护区内临时占地恢复监测，确保植被成活率</w:t>
                  </w:r>
                </w:p>
              </w:tc>
              <w:tc>
                <w:tcPr>
                  <w:tcW w:w="155" w:type="pct"/>
                  <w:tcMar>
                    <w:top w:w="0" w:type="dxa"/>
                    <w:left w:w="0" w:type="dxa"/>
                    <w:bottom w:w="0" w:type="dxa"/>
                    <w:right w:w="0" w:type="dxa"/>
                  </w:tcMar>
                  <w:vAlign w:val="center"/>
                </w:tcPr>
                <w:p w14:paraId="77B6B985">
                  <w:pPr>
                    <w:pStyle w:val="123"/>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符合</w:t>
                  </w:r>
                </w:p>
              </w:tc>
            </w:tr>
            <w:tr w14:paraId="5D02A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continue"/>
                  <w:tcMar>
                    <w:top w:w="0" w:type="dxa"/>
                    <w:left w:w="0" w:type="dxa"/>
                    <w:bottom w:w="0" w:type="dxa"/>
                    <w:right w:w="0" w:type="dxa"/>
                  </w:tcMar>
                  <w:vAlign w:val="center"/>
                </w:tcPr>
                <w:p w14:paraId="432191F7">
                  <w:pPr>
                    <w:pStyle w:val="123"/>
                    <w:spacing w:line="320" w:lineRule="exact"/>
                    <w:rPr>
                      <w:rFonts w:hint="default" w:ascii="Times New Roman" w:hAnsi="Times New Roman" w:cs="Times New Roman"/>
                      <w:color w:val="auto"/>
                      <w:highlight w:val="none"/>
                    </w:rPr>
                  </w:pPr>
                </w:p>
              </w:tc>
              <w:tc>
                <w:tcPr>
                  <w:tcW w:w="467" w:type="pct"/>
                  <w:vMerge w:val="continue"/>
                  <w:tcMar>
                    <w:top w:w="0" w:type="dxa"/>
                    <w:left w:w="0" w:type="dxa"/>
                    <w:bottom w:w="0" w:type="dxa"/>
                    <w:right w:w="0" w:type="dxa"/>
                  </w:tcMar>
                  <w:vAlign w:val="center"/>
                </w:tcPr>
                <w:p w14:paraId="79E977E9">
                  <w:pPr>
                    <w:pStyle w:val="123"/>
                    <w:spacing w:line="320" w:lineRule="exact"/>
                    <w:rPr>
                      <w:rFonts w:hint="default" w:ascii="Times New Roman" w:hAnsi="Times New Roman" w:cs="Times New Roman"/>
                      <w:color w:val="auto"/>
                      <w:highlight w:val="none"/>
                    </w:rPr>
                  </w:pPr>
                </w:p>
              </w:tc>
              <w:tc>
                <w:tcPr>
                  <w:tcW w:w="360" w:type="pct"/>
                  <w:vMerge w:val="continue"/>
                  <w:tcMar>
                    <w:top w:w="0" w:type="dxa"/>
                    <w:left w:w="0" w:type="dxa"/>
                    <w:bottom w:w="0" w:type="dxa"/>
                    <w:right w:w="0" w:type="dxa"/>
                  </w:tcMar>
                  <w:vAlign w:val="center"/>
                </w:tcPr>
                <w:p w14:paraId="0CAA14EB">
                  <w:pPr>
                    <w:pStyle w:val="123"/>
                    <w:spacing w:line="320" w:lineRule="exact"/>
                    <w:rPr>
                      <w:rFonts w:hint="default" w:ascii="Times New Roman" w:hAnsi="Times New Roman" w:cs="Times New Roman"/>
                      <w:color w:val="auto"/>
                      <w:highlight w:val="none"/>
                    </w:rPr>
                  </w:pPr>
                </w:p>
              </w:tc>
              <w:tc>
                <w:tcPr>
                  <w:tcW w:w="549" w:type="pct"/>
                  <w:vMerge w:val="continue"/>
                  <w:tcMar>
                    <w:top w:w="0" w:type="dxa"/>
                    <w:left w:w="0" w:type="dxa"/>
                    <w:bottom w:w="0" w:type="dxa"/>
                    <w:right w:w="0" w:type="dxa"/>
                  </w:tcMar>
                  <w:vAlign w:val="center"/>
                </w:tcPr>
                <w:p w14:paraId="73F124CE">
                  <w:pPr>
                    <w:pStyle w:val="123"/>
                    <w:spacing w:line="320" w:lineRule="exact"/>
                    <w:rPr>
                      <w:rFonts w:hint="default" w:ascii="Times New Roman" w:hAnsi="Times New Roman" w:cs="Times New Roman"/>
                      <w:color w:val="auto"/>
                      <w:highlight w:val="none"/>
                    </w:rPr>
                  </w:pPr>
                </w:p>
              </w:tc>
              <w:tc>
                <w:tcPr>
                  <w:tcW w:w="292" w:type="pct"/>
                  <w:tcMar>
                    <w:top w:w="0" w:type="dxa"/>
                    <w:left w:w="0" w:type="dxa"/>
                    <w:bottom w:w="0" w:type="dxa"/>
                    <w:right w:w="0" w:type="dxa"/>
                  </w:tcMar>
                  <w:vAlign w:val="center"/>
                </w:tcPr>
                <w:p w14:paraId="051DDDD6">
                  <w:pPr>
                    <w:pStyle w:val="123"/>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资源利用效率</w:t>
                  </w:r>
                </w:p>
              </w:tc>
              <w:tc>
                <w:tcPr>
                  <w:tcW w:w="1354" w:type="pct"/>
                  <w:tcMar>
                    <w:top w:w="0" w:type="dxa"/>
                    <w:left w:w="0" w:type="dxa"/>
                    <w:bottom w:w="0" w:type="dxa"/>
                    <w:right w:w="0" w:type="dxa"/>
                  </w:tcMar>
                  <w:vAlign w:val="center"/>
                </w:tcPr>
                <w:p w14:paraId="65D41CE7">
                  <w:pPr>
                    <w:pStyle w:val="123"/>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1、按照宜乔则乔、宜灌则灌、宜草则草，乔灌草结合的原则，因地制宜开展沙地治理。</w:t>
                  </w:r>
                </w:p>
              </w:tc>
              <w:tc>
                <w:tcPr>
                  <w:tcW w:w="1254" w:type="pct"/>
                  <w:tcMar>
                    <w:top w:w="0" w:type="dxa"/>
                    <w:left w:w="0" w:type="dxa"/>
                    <w:bottom w:w="0" w:type="dxa"/>
                    <w:right w:w="0" w:type="dxa"/>
                  </w:tcMar>
                  <w:vAlign w:val="center"/>
                </w:tcPr>
                <w:p w14:paraId="1565B2AC">
                  <w:pPr>
                    <w:pStyle w:val="123"/>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本项目临时占地恢复</w:t>
                  </w:r>
                  <w:r>
                    <w:rPr>
                      <w:rFonts w:hint="eastAsia" w:cs="Times New Roman"/>
                      <w:bCs/>
                      <w:color w:val="auto"/>
                      <w:highlight w:val="none"/>
                      <w:lang w:eastAsia="zh-CN"/>
                    </w:rPr>
                    <w:t>按照</w:t>
                  </w:r>
                  <w:r>
                    <w:rPr>
                      <w:rFonts w:hint="default" w:ascii="Times New Roman" w:hAnsi="Times New Roman" w:cs="Times New Roman"/>
                      <w:bCs/>
                      <w:color w:val="auto"/>
                      <w:highlight w:val="none"/>
                    </w:rPr>
                    <w:t>乔、灌、草</w:t>
                  </w:r>
                  <w:r>
                    <w:rPr>
                      <w:rFonts w:hint="eastAsia" w:cs="Times New Roman"/>
                      <w:bCs/>
                      <w:color w:val="auto"/>
                      <w:highlight w:val="none"/>
                      <w:lang w:eastAsia="zh-CN"/>
                    </w:rPr>
                    <w:t>相</w:t>
                  </w:r>
                  <w:r>
                    <w:rPr>
                      <w:rFonts w:hint="default" w:ascii="Times New Roman" w:hAnsi="Times New Roman" w:cs="Times New Roman"/>
                      <w:bCs/>
                      <w:color w:val="auto"/>
                      <w:highlight w:val="none"/>
                    </w:rPr>
                    <w:t>结合的措施进行恢复，临时占地全部恢复原有生态功能。</w:t>
                  </w:r>
                </w:p>
              </w:tc>
              <w:tc>
                <w:tcPr>
                  <w:tcW w:w="155" w:type="pct"/>
                  <w:tcMar>
                    <w:top w:w="0" w:type="dxa"/>
                    <w:left w:w="0" w:type="dxa"/>
                    <w:bottom w:w="0" w:type="dxa"/>
                    <w:right w:w="0" w:type="dxa"/>
                  </w:tcMar>
                  <w:vAlign w:val="center"/>
                </w:tcPr>
                <w:p w14:paraId="79842169">
                  <w:pPr>
                    <w:pStyle w:val="123"/>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符合</w:t>
                  </w:r>
                </w:p>
              </w:tc>
            </w:tr>
            <w:tr w14:paraId="6370B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restart"/>
                  <w:tcMar>
                    <w:top w:w="0" w:type="dxa"/>
                    <w:left w:w="0" w:type="dxa"/>
                    <w:bottom w:w="0" w:type="dxa"/>
                    <w:right w:w="0" w:type="dxa"/>
                  </w:tcMar>
                  <w:vAlign w:val="center"/>
                </w:tcPr>
                <w:p w14:paraId="5E5C5F10">
                  <w:pPr>
                    <w:pStyle w:val="123"/>
                    <w:spacing w:line="320" w:lineRule="exact"/>
                    <w:rPr>
                      <w:rFonts w:hint="default" w:ascii="Times New Roman" w:hAnsi="Times New Roman" w:cs="Times New Roman"/>
                      <w:color w:val="auto"/>
                      <w:highlight w:val="none"/>
                    </w:rPr>
                  </w:pPr>
                  <w:r>
                    <w:rPr>
                      <w:rFonts w:hint="default" w:ascii="Times New Roman" w:hAnsi="Times New Roman" w:eastAsia="宋体" w:cs="Times New Roman"/>
                      <w:b w:val="0"/>
                      <w:bCs w:val="0"/>
                      <w:color w:val="auto"/>
                      <w:sz w:val="21"/>
                      <w:szCs w:val="21"/>
                      <w:highlight w:val="none"/>
                      <w:vertAlign w:val="baseline"/>
                      <w:lang w:eastAsia="zh-CN"/>
                    </w:rPr>
                    <w:t>ZH130828100</w:t>
                  </w:r>
                  <w:r>
                    <w:rPr>
                      <w:rFonts w:hint="default" w:ascii="Times New Roman" w:hAnsi="Times New Roman" w:eastAsia="宋体" w:cs="Times New Roman"/>
                      <w:b w:val="0"/>
                      <w:bCs w:val="0"/>
                      <w:color w:val="auto"/>
                      <w:sz w:val="21"/>
                      <w:szCs w:val="21"/>
                      <w:highlight w:val="none"/>
                      <w:vertAlign w:val="baseline"/>
                      <w:lang w:val="en-US" w:eastAsia="zh-CN"/>
                    </w:rPr>
                    <w:t>10</w:t>
                  </w:r>
                </w:p>
              </w:tc>
              <w:tc>
                <w:tcPr>
                  <w:tcW w:w="467" w:type="pct"/>
                  <w:vMerge w:val="restart"/>
                  <w:tcMar>
                    <w:top w:w="0" w:type="dxa"/>
                    <w:left w:w="0" w:type="dxa"/>
                    <w:bottom w:w="0" w:type="dxa"/>
                    <w:right w:w="0" w:type="dxa"/>
                  </w:tcMar>
                  <w:vAlign w:val="center"/>
                </w:tcPr>
                <w:p w14:paraId="12DE50B3">
                  <w:pPr>
                    <w:pStyle w:val="123"/>
                    <w:spacing w:line="320" w:lineRule="exact"/>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老窝铺乡</w:t>
                  </w:r>
                </w:p>
              </w:tc>
              <w:tc>
                <w:tcPr>
                  <w:tcW w:w="360" w:type="pct"/>
                  <w:vMerge w:val="restart"/>
                  <w:tcMar>
                    <w:top w:w="0" w:type="dxa"/>
                    <w:left w:w="0" w:type="dxa"/>
                    <w:bottom w:w="0" w:type="dxa"/>
                    <w:right w:w="0" w:type="dxa"/>
                  </w:tcMar>
                  <w:vAlign w:val="center"/>
                </w:tcPr>
                <w:p w14:paraId="5A6FAE7A">
                  <w:pPr>
                    <w:pStyle w:val="123"/>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优先保护单元</w:t>
                  </w:r>
                </w:p>
              </w:tc>
              <w:tc>
                <w:tcPr>
                  <w:tcW w:w="549" w:type="pct"/>
                  <w:vMerge w:val="restart"/>
                  <w:tcMar>
                    <w:top w:w="0" w:type="dxa"/>
                    <w:left w:w="0" w:type="dxa"/>
                    <w:bottom w:w="0" w:type="dxa"/>
                    <w:right w:w="0" w:type="dxa"/>
                  </w:tcMar>
                  <w:vAlign w:val="center"/>
                </w:tcPr>
                <w:p w14:paraId="5B98D210">
                  <w:pPr>
                    <w:pStyle w:val="123"/>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水环境优先保护区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大气一般管控区</w:t>
                  </w:r>
                </w:p>
              </w:tc>
              <w:tc>
                <w:tcPr>
                  <w:tcW w:w="292" w:type="pct"/>
                  <w:tcMar>
                    <w:top w:w="0" w:type="dxa"/>
                    <w:left w:w="0" w:type="dxa"/>
                    <w:bottom w:w="0" w:type="dxa"/>
                    <w:right w:w="0" w:type="dxa"/>
                  </w:tcMar>
                  <w:vAlign w:val="center"/>
                </w:tcPr>
                <w:p w14:paraId="62E592F7">
                  <w:pPr>
                    <w:pStyle w:val="123"/>
                    <w:spacing w:line="320" w:lineRule="exact"/>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rPr>
                    <w:t>空间布局约束</w:t>
                  </w:r>
                </w:p>
              </w:tc>
              <w:tc>
                <w:tcPr>
                  <w:tcW w:w="1354" w:type="pct"/>
                  <w:tcMar>
                    <w:top w:w="0" w:type="dxa"/>
                    <w:left w:w="0" w:type="dxa"/>
                    <w:bottom w:w="0" w:type="dxa"/>
                    <w:right w:w="0" w:type="dxa"/>
                  </w:tcMar>
                  <w:vAlign w:val="center"/>
                </w:tcPr>
                <w:p w14:paraId="59083710">
                  <w:pPr>
                    <w:pStyle w:val="123"/>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1、水环境优先保护区应优化区域种植结构，完善水污染设施体系，严格执行流域水排放控制标准，保障水环境安全。</w:t>
                  </w:r>
                </w:p>
                <w:p w14:paraId="0A52F766">
                  <w:pPr>
                    <w:pStyle w:val="123"/>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2、在沙化土地范围内从事开发建设活动的，必须事先就该项目可能对当地及相关地区生态产生的影响进行环境影响评价，依法提交环境影响报告；环境影响报告应当包括有关防沙治沙的内容。</w:t>
                  </w:r>
                </w:p>
              </w:tc>
              <w:tc>
                <w:tcPr>
                  <w:tcW w:w="1254" w:type="pct"/>
                  <w:tcMar>
                    <w:top w:w="0" w:type="dxa"/>
                    <w:left w:w="0" w:type="dxa"/>
                    <w:bottom w:w="0" w:type="dxa"/>
                    <w:right w:w="0" w:type="dxa"/>
                  </w:tcMar>
                  <w:vAlign w:val="center"/>
                </w:tcPr>
                <w:p w14:paraId="3799C6E8">
                  <w:pPr>
                    <w:pStyle w:val="123"/>
                    <w:spacing w:line="240" w:lineRule="auto"/>
                    <w:rPr>
                      <w:rFonts w:hint="default" w:ascii="Times New Roman" w:hAnsi="Times New Roman" w:cs="Times New Roman"/>
                      <w:bCs/>
                      <w:color w:val="auto"/>
                      <w:highlight w:val="none"/>
                      <w:lang w:eastAsia="zh-CN"/>
                    </w:rPr>
                  </w:pPr>
                  <w:r>
                    <w:rPr>
                      <w:rFonts w:hint="default" w:ascii="Times New Roman" w:hAnsi="Times New Roman" w:cs="Times New Roman"/>
                      <w:bCs/>
                      <w:color w:val="auto"/>
                      <w:highlight w:val="none"/>
                      <w:lang w:val="en-US" w:eastAsia="zh-CN"/>
                    </w:rPr>
                    <w:t>1、</w:t>
                  </w:r>
                  <w:r>
                    <w:rPr>
                      <w:rFonts w:hint="default" w:ascii="Times New Roman" w:hAnsi="Times New Roman" w:cs="Times New Roman"/>
                      <w:bCs/>
                      <w:color w:val="auto"/>
                      <w:highlight w:val="none"/>
                    </w:rPr>
                    <w:t>本项目无废水外排</w:t>
                  </w:r>
                  <w:r>
                    <w:rPr>
                      <w:rFonts w:hint="default" w:ascii="Times New Roman" w:hAnsi="Times New Roman" w:cs="Times New Roman"/>
                      <w:bCs/>
                      <w:color w:val="auto"/>
                      <w:highlight w:val="none"/>
                      <w:lang w:eastAsia="zh-CN"/>
                    </w:rPr>
                    <w:t>。</w:t>
                  </w:r>
                </w:p>
                <w:p w14:paraId="251B10EE">
                  <w:pPr>
                    <w:pStyle w:val="123"/>
                    <w:spacing w:line="240" w:lineRule="auto"/>
                    <w:rPr>
                      <w:rFonts w:hint="default" w:ascii="Times New Roman" w:hAnsi="Times New Roman" w:eastAsia="宋体" w:cs="Times New Roman"/>
                      <w:bCs/>
                      <w:color w:val="auto"/>
                      <w:highlight w:val="none"/>
                      <w:lang w:val="en-US" w:eastAsia="zh-CN"/>
                    </w:rPr>
                  </w:pPr>
                  <w:r>
                    <w:rPr>
                      <w:rFonts w:hint="default" w:ascii="Times New Roman" w:hAnsi="Times New Roman" w:cs="Times New Roman"/>
                      <w:bCs/>
                      <w:color w:val="auto"/>
                      <w:highlight w:val="none"/>
                      <w:lang w:val="en-US" w:eastAsia="zh-CN"/>
                    </w:rPr>
                    <w:t>2、</w:t>
                  </w:r>
                  <w:r>
                    <w:rPr>
                      <w:rFonts w:hint="default" w:ascii="Times New Roman" w:hAnsi="Times New Roman" w:cs="Times New Roman"/>
                      <w:bCs/>
                      <w:color w:val="auto"/>
                      <w:highlight w:val="none"/>
                    </w:rPr>
                    <w:t>报告中对沙化土地提出防沙治沙措施，减少土地沙化。</w:t>
                  </w:r>
                </w:p>
              </w:tc>
              <w:tc>
                <w:tcPr>
                  <w:tcW w:w="155" w:type="pct"/>
                  <w:tcMar>
                    <w:top w:w="0" w:type="dxa"/>
                    <w:left w:w="0" w:type="dxa"/>
                    <w:bottom w:w="0" w:type="dxa"/>
                    <w:right w:w="0" w:type="dxa"/>
                  </w:tcMar>
                  <w:vAlign w:val="center"/>
                </w:tcPr>
                <w:p w14:paraId="03829EB7">
                  <w:pPr>
                    <w:pStyle w:val="123"/>
                    <w:spacing w:line="320" w:lineRule="exact"/>
                    <w:rPr>
                      <w:rFonts w:hint="default" w:ascii="Times New Roman" w:hAnsi="Times New Roman" w:eastAsia="宋体" w:cs="Times New Roman"/>
                      <w:bCs/>
                      <w:color w:val="auto"/>
                      <w:highlight w:val="none"/>
                      <w:lang w:eastAsia="zh-CN"/>
                    </w:rPr>
                  </w:pPr>
                  <w:r>
                    <w:rPr>
                      <w:rFonts w:hint="default" w:ascii="Times New Roman" w:hAnsi="Times New Roman" w:cs="Times New Roman"/>
                      <w:bCs/>
                      <w:color w:val="auto"/>
                      <w:highlight w:val="none"/>
                      <w:lang w:eastAsia="zh-CN"/>
                    </w:rPr>
                    <w:t>符合</w:t>
                  </w:r>
                </w:p>
              </w:tc>
            </w:tr>
            <w:tr w14:paraId="1229A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continue"/>
                  <w:tcMar>
                    <w:top w:w="0" w:type="dxa"/>
                    <w:left w:w="0" w:type="dxa"/>
                    <w:bottom w:w="0" w:type="dxa"/>
                    <w:right w:w="0" w:type="dxa"/>
                  </w:tcMar>
                  <w:vAlign w:val="center"/>
                </w:tcPr>
                <w:p w14:paraId="0FB9F267">
                  <w:pPr>
                    <w:pStyle w:val="123"/>
                    <w:spacing w:line="320" w:lineRule="exact"/>
                    <w:rPr>
                      <w:rFonts w:hint="default" w:ascii="Times New Roman" w:hAnsi="Times New Roman" w:cs="Times New Roman"/>
                      <w:color w:val="auto"/>
                      <w:highlight w:val="none"/>
                    </w:rPr>
                  </w:pPr>
                </w:p>
              </w:tc>
              <w:tc>
                <w:tcPr>
                  <w:tcW w:w="467" w:type="pct"/>
                  <w:vMerge w:val="continue"/>
                  <w:tcMar>
                    <w:top w:w="0" w:type="dxa"/>
                    <w:left w:w="0" w:type="dxa"/>
                    <w:bottom w:w="0" w:type="dxa"/>
                    <w:right w:w="0" w:type="dxa"/>
                  </w:tcMar>
                  <w:vAlign w:val="center"/>
                </w:tcPr>
                <w:p w14:paraId="479E7BB2">
                  <w:pPr>
                    <w:pStyle w:val="123"/>
                    <w:spacing w:line="320" w:lineRule="exact"/>
                    <w:rPr>
                      <w:rFonts w:hint="default" w:ascii="Times New Roman" w:hAnsi="Times New Roman" w:cs="Times New Roman"/>
                      <w:color w:val="auto"/>
                      <w:highlight w:val="none"/>
                    </w:rPr>
                  </w:pPr>
                </w:p>
              </w:tc>
              <w:tc>
                <w:tcPr>
                  <w:tcW w:w="360" w:type="pct"/>
                  <w:vMerge w:val="continue"/>
                  <w:tcMar>
                    <w:top w:w="0" w:type="dxa"/>
                    <w:left w:w="0" w:type="dxa"/>
                    <w:bottom w:w="0" w:type="dxa"/>
                    <w:right w:w="0" w:type="dxa"/>
                  </w:tcMar>
                  <w:vAlign w:val="center"/>
                </w:tcPr>
                <w:p w14:paraId="05BC17EF">
                  <w:pPr>
                    <w:pStyle w:val="123"/>
                    <w:spacing w:line="320" w:lineRule="exact"/>
                    <w:rPr>
                      <w:rFonts w:hint="default" w:ascii="Times New Roman" w:hAnsi="Times New Roman" w:cs="Times New Roman"/>
                      <w:color w:val="auto"/>
                      <w:highlight w:val="none"/>
                    </w:rPr>
                  </w:pPr>
                </w:p>
              </w:tc>
              <w:tc>
                <w:tcPr>
                  <w:tcW w:w="549" w:type="pct"/>
                  <w:vMerge w:val="continue"/>
                  <w:tcMar>
                    <w:top w:w="0" w:type="dxa"/>
                    <w:left w:w="0" w:type="dxa"/>
                    <w:bottom w:w="0" w:type="dxa"/>
                    <w:right w:w="0" w:type="dxa"/>
                  </w:tcMar>
                  <w:vAlign w:val="center"/>
                </w:tcPr>
                <w:p w14:paraId="0D1BB25B">
                  <w:pPr>
                    <w:pStyle w:val="123"/>
                    <w:spacing w:line="320" w:lineRule="exact"/>
                    <w:rPr>
                      <w:rFonts w:hint="default" w:ascii="Times New Roman" w:hAnsi="Times New Roman" w:cs="Times New Roman"/>
                      <w:color w:val="auto"/>
                      <w:highlight w:val="none"/>
                    </w:rPr>
                  </w:pPr>
                </w:p>
              </w:tc>
              <w:tc>
                <w:tcPr>
                  <w:tcW w:w="292" w:type="pct"/>
                  <w:tcMar>
                    <w:top w:w="0" w:type="dxa"/>
                    <w:left w:w="0" w:type="dxa"/>
                    <w:bottom w:w="0" w:type="dxa"/>
                    <w:right w:w="0" w:type="dxa"/>
                  </w:tcMar>
                  <w:vAlign w:val="center"/>
                </w:tcPr>
                <w:p w14:paraId="010C4129">
                  <w:pPr>
                    <w:pStyle w:val="123"/>
                    <w:spacing w:line="320" w:lineRule="exac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rPr>
                    <w:t>污染物排放管控</w:t>
                  </w:r>
                </w:p>
              </w:tc>
              <w:tc>
                <w:tcPr>
                  <w:tcW w:w="1354" w:type="pct"/>
                  <w:tcMar>
                    <w:top w:w="0" w:type="dxa"/>
                    <w:left w:w="0" w:type="dxa"/>
                    <w:bottom w:w="0" w:type="dxa"/>
                    <w:right w:w="0" w:type="dxa"/>
                  </w:tcMar>
                  <w:vAlign w:val="center"/>
                </w:tcPr>
                <w:p w14:paraId="7416F311">
                  <w:pPr>
                    <w:pStyle w:val="123"/>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1、严格控制高毒高残留高风险农药使用，严格落实农膜管理制度，推广地膜科学使用回收。</w:t>
                  </w:r>
                </w:p>
              </w:tc>
              <w:tc>
                <w:tcPr>
                  <w:tcW w:w="1254" w:type="pct"/>
                  <w:tcMar>
                    <w:top w:w="0" w:type="dxa"/>
                    <w:left w:w="0" w:type="dxa"/>
                    <w:bottom w:w="0" w:type="dxa"/>
                    <w:right w:w="0" w:type="dxa"/>
                  </w:tcMar>
                  <w:vAlign w:val="center"/>
                </w:tcPr>
                <w:p w14:paraId="33D37C57">
                  <w:pPr>
                    <w:pStyle w:val="123"/>
                    <w:spacing w:line="240" w:lineRule="auto"/>
                    <w:rPr>
                      <w:rFonts w:hint="default" w:ascii="Times New Roman" w:hAnsi="Times New Roman" w:eastAsia="宋体" w:cs="Times New Roman"/>
                      <w:bCs/>
                      <w:color w:val="auto"/>
                      <w:highlight w:val="none"/>
                      <w:lang w:eastAsia="zh-CN"/>
                    </w:rPr>
                  </w:pPr>
                  <w:r>
                    <w:rPr>
                      <w:rFonts w:hint="default" w:ascii="Times New Roman" w:hAnsi="Times New Roman" w:cs="Times New Roman"/>
                      <w:bCs/>
                      <w:color w:val="auto"/>
                      <w:highlight w:val="none"/>
                      <w:lang w:eastAsia="zh-CN"/>
                    </w:rPr>
                    <w:t>不涉及</w:t>
                  </w:r>
                </w:p>
              </w:tc>
              <w:tc>
                <w:tcPr>
                  <w:tcW w:w="155" w:type="pct"/>
                  <w:tcMar>
                    <w:top w:w="0" w:type="dxa"/>
                    <w:left w:w="0" w:type="dxa"/>
                    <w:bottom w:w="0" w:type="dxa"/>
                    <w:right w:w="0" w:type="dxa"/>
                  </w:tcMar>
                  <w:vAlign w:val="center"/>
                </w:tcPr>
                <w:p w14:paraId="36AD6BF8">
                  <w:pPr>
                    <w:pStyle w:val="123"/>
                    <w:spacing w:line="320" w:lineRule="exact"/>
                    <w:rPr>
                      <w:rFonts w:hint="default" w:ascii="Times New Roman" w:hAnsi="Times New Roman" w:eastAsia="宋体" w:cs="Times New Roman"/>
                      <w:bCs/>
                      <w:color w:val="auto"/>
                      <w:highlight w:val="none"/>
                      <w:lang w:eastAsia="zh-CN"/>
                    </w:rPr>
                  </w:pPr>
                  <w:r>
                    <w:rPr>
                      <w:rFonts w:hint="default" w:ascii="Times New Roman" w:hAnsi="Times New Roman" w:cs="Times New Roman"/>
                      <w:bCs/>
                      <w:color w:val="auto"/>
                      <w:highlight w:val="none"/>
                      <w:lang w:eastAsia="zh-CN"/>
                    </w:rPr>
                    <w:t>符合</w:t>
                  </w:r>
                </w:p>
              </w:tc>
            </w:tr>
            <w:tr w14:paraId="24EAE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continue"/>
                  <w:tcMar>
                    <w:top w:w="0" w:type="dxa"/>
                    <w:left w:w="0" w:type="dxa"/>
                    <w:bottom w:w="0" w:type="dxa"/>
                    <w:right w:w="0" w:type="dxa"/>
                  </w:tcMar>
                  <w:vAlign w:val="center"/>
                </w:tcPr>
                <w:p w14:paraId="7897F0A4">
                  <w:pPr>
                    <w:pStyle w:val="123"/>
                    <w:spacing w:line="320" w:lineRule="exact"/>
                    <w:rPr>
                      <w:rFonts w:hint="default" w:ascii="Times New Roman" w:hAnsi="Times New Roman" w:cs="Times New Roman"/>
                      <w:color w:val="auto"/>
                      <w:highlight w:val="none"/>
                    </w:rPr>
                  </w:pPr>
                </w:p>
              </w:tc>
              <w:tc>
                <w:tcPr>
                  <w:tcW w:w="467" w:type="pct"/>
                  <w:vMerge w:val="continue"/>
                  <w:tcMar>
                    <w:top w:w="0" w:type="dxa"/>
                    <w:left w:w="0" w:type="dxa"/>
                    <w:bottom w:w="0" w:type="dxa"/>
                    <w:right w:w="0" w:type="dxa"/>
                  </w:tcMar>
                  <w:vAlign w:val="center"/>
                </w:tcPr>
                <w:p w14:paraId="460EEC2E">
                  <w:pPr>
                    <w:pStyle w:val="123"/>
                    <w:spacing w:line="320" w:lineRule="exact"/>
                    <w:rPr>
                      <w:rFonts w:hint="default" w:ascii="Times New Roman" w:hAnsi="Times New Roman" w:cs="Times New Roman"/>
                      <w:color w:val="auto"/>
                      <w:highlight w:val="none"/>
                    </w:rPr>
                  </w:pPr>
                </w:p>
              </w:tc>
              <w:tc>
                <w:tcPr>
                  <w:tcW w:w="360" w:type="pct"/>
                  <w:vMerge w:val="continue"/>
                  <w:tcMar>
                    <w:top w:w="0" w:type="dxa"/>
                    <w:left w:w="0" w:type="dxa"/>
                    <w:bottom w:w="0" w:type="dxa"/>
                    <w:right w:w="0" w:type="dxa"/>
                  </w:tcMar>
                  <w:vAlign w:val="center"/>
                </w:tcPr>
                <w:p w14:paraId="13921C46">
                  <w:pPr>
                    <w:pStyle w:val="123"/>
                    <w:spacing w:line="320" w:lineRule="exact"/>
                    <w:rPr>
                      <w:rFonts w:hint="default" w:ascii="Times New Roman" w:hAnsi="Times New Roman" w:cs="Times New Roman"/>
                      <w:color w:val="auto"/>
                      <w:highlight w:val="none"/>
                    </w:rPr>
                  </w:pPr>
                </w:p>
              </w:tc>
              <w:tc>
                <w:tcPr>
                  <w:tcW w:w="549" w:type="pct"/>
                  <w:vMerge w:val="continue"/>
                  <w:tcMar>
                    <w:top w:w="0" w:type="dxa"/>
                    <w:left w:w="0" w:type="dxa"/>
                    <w:bottom w:w="0" w:type="dxa"/>
                    <w:right w:w="0" w:type="dxa"/>
                  </w:tcMar>
                  <w:vAlign w:val="center"/>
                </w:tcPr>
                <w:p w14:paraId="5D5CB4DB">
                  <w:pPr>
                    <w:pStyle w:val="123"/>
                    <w:spacing w:line="320" w:lineRule="exact"/>
                    <w:rPr>
                      <w:rFonts w:hint="default" w:ascii="Times New Roman" w:hAnsi="Times New Roman" w:cs="Times New Roman"/>
                      <w:color w:val="auto"/>
                      <w:highlight w:val="none"/>
                    </w:rPr>
                  </w:pPr>
                </w:p>
              </w:tc>
              <w:tc>
                <w:tcPr>
                  <w:tcW w:w="292" w:type="pct"/>
                  <w:tcMar>
                    <w:top w:w="0" w:type="dxa"/>
                    <w:left w:w="0" w:type="dxa"/>
                    <w:bottom w:w="0" w:type="dxa"/>
                    <w:right w:w="0" w:type="dxa"/>
                  </w:tcMar>
                  <w:vAlign w:val="center"/>
                </w:tcPr>
                <w:p w14:paraId="5E54AC95">
                  <w:pPr>
                    <w:pStyle w:val="123"/>
                    <w:spacing w:line="320" w:lineRule="exac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rPr>
                    <w:t>环境风险管控</w:t>
                  </w:r>
                </w:p>
              </w:tc>
              <w:tc>
                <w:tcPr>
                  <w:tcW w:w="1354" w:type="pct"/>
                  <w:tcMar>
                    <w:top w:w="0" w:type="dxa"/>
                    <w:left w:w="0" w:type="dxa"/>
                    <w:bottom w:w="0" w:type="dxa"/>
                    <w:right w:w="0" w:type="dxa"/>
                  </w:tcMar>
                  <w:vAlign w:val="center"/>
                </w:tcPr>
                <w:p w14:paraId="6EA5B3A4">
                  <w:pPr>
                    <w:pStyle w:val="123"/>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1、以单元内流域为重点，全面开展河道生态护岸和河流缓冲带建设、岸线和河道生态修复等工程。</w:t>
                  </w:r>
                </w:p>
              </w:tc>
              <w:tc>
                <w:tcPr>
                  <w:tcW w:w="1254" w:type="pct"/>
                  <w:tcMar>
                    <w:top w:w="0" w:type="dxa"/>
                    <w:left w:w="0" w:type="dxa"/>
                    <w:bottom w:w="0" w:type="dxa"/>
                    <w:right w:w="0" w:type="dxa"/>
                  </w:tcMar>
                  <w:vAlign w:val="center"/>
                </w:tcPr>
                <w:p w14:paraId="486B6B68">
                  <w:pPr>
                    <w:pStyle w:val="123"/>
                    <w:spacing w:line="240" w:lineRule="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highlight w:val="none"/>
                      <w:lang w:eastAsia="zh-CN"/>
                    </w:rPr>
                    <w:t>不涉及</w:t>
                  </w:r>
                </w:p>
              </w:tc>
              <w:tc>
                <w:tcPr>
                  <w:tcW w:w="155" w:type="pct"/>
                  <w:tcMar>
                    <w:top w:w="0" w:type="dxa"/>
                    <w:left w:w="0" w:type="dxa"/>
                    <w:bottom w:w="0" w:type="dxa"/>
                    <w:right w:w="0" w:type="dxa"/>
                  </w:tcMar>
                  <w:vAlign w:val="center"/>
                </w:tcPr>
                <w:p w14:paraId="4D81CEC3">
                  <w:pPr>
                    <w:pStyle w:val="123"/>
                    <w:spacing w:line="320" w:lineRule="exact"/>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highlight w:val="none"/>
                      <w:lang w:eastAsia="zh-CN"/>
                    </w:rPr>
                    <w:t>符合</w:t>
                  </w:r>
                </w:p>
              </w:tc>
            </w:tr>
            <w:tr w14:paraId="0ACD7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continue"/>
                  <w:tcMar>
                    <w:top w:w="0" w:type="dxa"/>
                    <w:left w:w="0" w:type="dxa"/>
                    <w:bottom w:w="0" w:type="dxa"/>
                    <w:right w:w="0" w:type="dxa"/>
                  </w:tcMar>
                  <w:vAlign w:val="center"/>
                </w:tcPr>
                <w:p w14:paraId="6A028EC4">
                  <w:pPr>
                    <w:pStyle w:val="123"/>
                    <w:spacing w:line="320" w:lineRule="exact"/>
                    <w:rPr>
                      <w:rFonts w:hint="default" w:ascii="Times New Roman" w:hAnsi="Times New Roman" w:cs="Times New Roman"/>
                      <w:color w:val="auto"/>
                      <w:highlight w:val="none"/>
                    </w:rPr>
                  </w:pPr>
                </w:p>
              </w:tc>
              <w:tc>
                <w:tcPr>
                  <w:tcW w:w="467" w:type="pct"/>
                  <w:vMerge w:val="continue"/>
                  <w:tcMar>
                    <w:top w:w="0" w:type="dxa"/>
                    <w:left w:w="0" w:type="dxa"/>
                    <w:bottom w:w="0" w:type="dxa"/>
                    <w:right w:w="0" w:type="dxa"/>
                  </w:tcMar>
                  <w:vAlign w:val="center"/>
                </w:tcPr>
                <w:p w14:paraId="2F601251">
                  <w:pPr>
                    <w:pStyle w:val="123"/>
                    <w:spacing w:line="320" w:lineRule="exact"/>
                    <w:rPr>
                      <w:rFonts w:hint="default" w:ascii="Times New Roman" w:hAnsi="Times New Roman" w:cs="Times New Roman"/>
                      <w:color w:val="auto"/>
                      <w:highlight w:val="none"/>
                    </w:rPr>
                  </w:pPr>
                </w:p>
              </w:tc>
              <w:tc>
                <w:tcPr>
                  <w:tcW w:w="360" w:type="pct"/>
                  <w:vMerge w:val="continue"/>
                  <w:tcMar>
                    <w:top w:w="0" w:type="dxa"/>
                    <w:left w:w="0" w:type="dxa"/>
                    <w:bottom w:w="0" w:type="dxa"/>
                    <w:right w:w="0" w:type="dxa"/>
                  </w:tcMar>
                  <w:vAlign w:val="center"/>
                </w:tcPr>
                <w:p w14:paraId="268025E0">
                  <w:pPr>
                    <w:pStyle w:val="123"/>
                    <w:spacing w:line="320" w:lineRule="exact"/>
                    <w:rPr>
                      <w:rFonts w:hint="default" w:ascii="Times New Roman" w:hAnsi="Times New Roman" w:cs="Times New Roman"/>
                      <w:color w:val="auto"/>
                      <w:highlight w:val="none"/>
                    </w:rPr>
                  </w:pPr>
                </w:p>
              </w:tc>
              <w:tc>
                <w:tcPr>
                  <w:tcW w:w="549" w:type="pct"/>
                  <w:vMerge w:val="continue"/>
                  <w:tcMar>
                    <w:top w:w="0" w:type="dxa"/>
                    <w:left w:w="0" w:type="dxa"/>
                    <w:bottom w:w="0" w:type="dxa"/>
                    <w:right w:w="0" w:type="dxa"/>
                  </w:tcMar>
                  <w:vAlign w:val="center"/>
                </w:tcPr>
                <w:p w14:paraId="44C1E72B">
                  <w:pPr>
                    <w:pStyle w:val="123"/>
                    <w:spacing w:line="320" w:lineRule="exact"/>
                    <w:rPr>
                      <w:rFonts w:hint="default" w:ascii="Times New Roman" w:hAnsi="Times New Roman" w:cs="Times New Roman"/>
                      <w:color w:val="auto"/>
                      <w:highlight w:val="none"/>
                    </w:rPr>
                  </w:pPr>
                </w:p>
              </w:tc>
              <w:tc>
                <w:tcPr>
                  <w:tcW w:w="292" w:type="pct"/>
                  <w:tcMar>
                    <w:top w:w="0" w:type="dxa"/>
                    <w:left w:w="0" w:type="dxa"/>
                    <w:bottom w:w="0" w:type="dxa"/>
                    <w:right w:w="0" w:type="dxa"/>
                  </w:tcMar>
                  <w:vAlign w:val="center"/>
                </w:tcPr>
                <w:p w14:paraId="13809880">
                  <w:pPr>
                    <w:pStyle w:val="123"/>
                    <w:spacing w:line="320" w:lineRule="exac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rPr>
                    <w:t>资源利用效率</w:t>
                  </w:r>
                </w:p>
              </w:tc>
              <w:tc>
                <w:tcPr>
                  <w:tcW w:w="1354" w:type="pct"/>
                  <w:tcMar>
                    <w:top w:w="0" w:type="dxa"/>
                    <w:left w:w="0" w:type="dxa"/>
                    <w:bottom w:w="0" w:type="dxa"/>
                    <w:right w:w="0" w:type="dxa"/>
                  </w:tcMar>
                  <w:vAlign w:val="center"/>
                </w:tcPr>
                <w:p w14:paraId="0265379D">
                  <w:pPr>
                    <w:pStyle w:val="123"/>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1、按照宜乔则乔、宜灌则灌、宜草则草，乔灌草结合的原则，因地制宜开展沙地治理。</w:t>
                  </w:r>
                </w:p>
                <w:p w14:paraId="65326CE9">
                  <w:pPr>
                    <w:pStyle w:val="123"/>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2、加强农田灌溉设施建设，有效提高农田灌溉用水效率。</w:t>
                  </w:r>
                </w:p>
              </w:tc>
              <w:tc>
                <w:tcPr>
                  <w:tcW w:w="1254" w:type="pct"/>
                  <w:tcMar>
                    <w:top w:w="0" w:type="dxa"/>
                    <w:left w:w="0" w:type="dxa"/>
                    <w:bottom w:w="0" w:type="dxa"/>
                    <w:right w:w="0" w:type="dxa"/>
                  </w:tcMar>
                  <w:vAlign w:val="center"/>
                </w:tcPr>
                <w:p w14:paraId="55661A3D">
                  <w:pPr>
                    <w:pStyle w:val="123"/>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lang w:val="en-US" w:eastAsia="zh-CN"/>
                    </w:rPr>
                    <w:t>1、</w:t>
                  </w:r>
                  <w:r>
                    <w:rPr>
                      <w:rFonts w:hint="default" w:ascii="Times New Roman" w:hAnsi="Times New Roman" w:cs="Times New Roman"/>
                      <w:bCs/>
                      <w:color w:val="auto"/>
                      <w:highlight w:val="none"/>
                    </w:rPr>
                    <w:t>本项目临时占地恢复</w:t>
                  </w:r>
                  <w:r>
                    <w:rPr>
                      <w:rFonts w:hint="eastAsia" w:cs="Times New Roman"/>
                      <w:bCs/>
                      <w:color w:val="auto"/>
                      <w:highlight w:val="none"/>
                      <w:lang w:eastAsia="zh-CN"/>
                    </w:rPr>
                    <w:t>按照</w:t>
                  </w:r>
                  <w:r>
                    <w:rPr>
                      <w:rFonts w:hint="default" w:ascii="Times New Roman" w:hAnsi="Times New Roman" w:cs="Times New Roman"/>
                      <w:bCs/>
                      <w:color w:val="auto"/>
                      <w:highlight w:val="none"/>
                    </w:rPr>
                    <w:t>乔、灌、草</w:t>
                  </w:r>
                  <w:r>
                    <w:rPr>
                      <w:rFonts w:hint="eastAsia" w:cs="Times New Roman"/>
                      <w:bCs/>
                      <w:color w:val="auto"/>
                      <w:highlight w:val="none"/>
                      <w:lang w:eastAsia="zh-CN"/>
                    </w:rPr>
                    <w:t>相</w:t>
                  </w:r>
                  <w:r>
                    <w:rPr>
                      <w:rFonts w:hint="default" w:ascii="Times New Roman" w:hAnsi="Times New Roman" w:cs="Times New Roman"/>
                      <w:bCs/>
                      <w:color w:val="auto"/>
                      <w:highlight w:val="none"/>
                    </w:rPr>
                    <w:t>结合的措施进行恢复，临时占地全部恢复原有生态功能。</w:t>
                  </w:r>
                </w:p>
                <w:p w14:paraId="7B6A30BA">
                  <w:pPr>
                    <w:pStyle w:val="123"/>
                    <w:spacing w:line="240" w:lineRule="auto"/>
                    <w:rPr>
                      <w:rFonts w:hint="default" w:ascii="Times New Roman" w:hAnsi="Times New Roman" w:eastAsia="宋体" w:cs="Times New Roman"/>
                      <w:bCs/>
                      <w:color w:val="auto"/>
                      <w:highlight w:val="none"/>
                      <w:lang w:val="en-US" w:eastAsia="zh-CN"/>
                    </w:rPr>
                  </w:pPr>
                  <w:r>
                    <w:rPr>
                      <w:rFonts w:hint="default" w:ascii="Times New Roman" w:hAnsi="Times New Roman" w:cs="Times New Roman"/>
                      <w:bCs/>
                      <w:color w:val="auto"/>
                      <w:highlight w:val="none"/>
                      <w:lang w:val="en-US" w:eastAsia="zh-CN"/>
                    </w:rPr>
                    <w:t>2、本项目不涉及农田灌溉。</w:t>
                  </w:r>
                </w:p>
              </w:tc>
              <w:tc>
                <w:tcPr>
                  <w:tcW w:w="155" w:type="pct"/>
                  <w:tcMar>
                    <w:top w:w="0" w:type="dxa"/>
                    <w:left w:w="0" w:type="dxa"/>
                    <w:bottom w:w="0" w:type="dxa"/>
                    <w:right w:w="0" w:type="dxa"/>
                  </w:tcMar>
                  <w:vAlign w:val="center"/>
                </w:tcPr>
                <w:p w14:paraId="5C17B388">
                  <w:pPr>
                    <w:pStyle w:val="123"/>
                    <w:spacing w:line="320" w:lineRule="exact"/>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highlight w:val="none"/>
                    </w:rPr>
                    <w:t>符合</w:t>
                  </w:r>
                </w:p>
              </w:tc>
            </w:tr>
            <w:tr w14:paraId="4E81C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restart"/>
                  <w:tcMar>
                    <w:top w:w="0" w:type="dxa"/>
                    <w:left w:w="0" w:type="dxa"/>
                    <w:bottom w:w="0" w:type="dxa"/>
                    <w:right w:w="0" w:type="dxa"/>
                  </w:tcMar>
                  <w:vAlign w:val="center"/>
                </w:tcPr>
                <w:p w14:paraId="2080E558">
                  <w:pPr>
                    <w:pStyle w:val="123"/>
                    <w:spacing w:line="320" w:lineRule="exact"/>
                    <w:rPr>
                      <w:rFonts w:hint="default" w:ascii="Times New Roman" w:hAnsi="Times New Roman" w:cs="Times New Roman"/>
                      <w:color w:val="auto"/>
                      <w:highlight w:val="none"/>
                      <w:lang w:val="en-US"/>
                    </w:rPr>
                  </w:pPr>
                  <w:r>
                    <w:rPr>
                      <w:rFonts w:hint="default" w:ascii="Times New Roman" w:hAnsi="Times New Roman" w:eastAsia="宋体" w:cs="Times New Roman"/>
                      <w:b w:val="0"/>
                      <w:bCs w:val="0"/>
                      <w:color w:val="auto"/>
                      <w:sz w:val="21"/>
                      <w:szCs w:val="21"/>
                      <w:highlight w:val="none"/>
                      <w:vertAlign w:val="baseline"/>
                      <w:lang w:eastAsia="zh-CN"/>
                    </w:rPr>
                    <w:t>ZH130828100</w:t>
                  </w:r>
                  <w:r>
                    <w:rPr>
                      <w:rFonts w:hint="default" w:ascii="Times New Roman" w:hAnsi="Times New Roman" w:eastAsia="宋体" w:cs="Times New Roman"/>
                      <w:b w:val="0"/>
                      <w:bCs w:val="0"/>
                      <w:color w:val="auto"/>
                      <w:sz w:val="21"/>
                      <w:szCs w:val="21"/>
                      <w:highlight w:val="none"/>
                      <w:vertAlign w:val="baseline"/>
                      <w:lang w:val="en-US" w:eastAsia="zh-CN"/>
                    </w:rPr>
                    <w:t>1</w:t>
                  </w:r>
                  <w:r>
                    <w:rPr>
                      <w:rFonts w:hint="default" w:ascii="Times New Roman" w:hAnsi="Times New Roman" w:cs="Times New Roman"/>
                      <w:b w:val="0"/>
                      <w:bCs w:val="0"/>
                      <w:color w:val="auto"/>
                      <w:sz w:val="21"/>
                      <w:szCs w:val="21"/>
                      <w:highlight w:val="none"/>
                      <w:vertAlign w:val="baseline"/>
                      <w:lang w:val="en-US" w:eastAsia="zh-CN"/>
                    </w:rPr>
                    <w:t>1</w:t>
                  </w:r>
                </w:p>
              </w:tc>
              <w:tc>
                <w:tcPr>
                  <w:tcW w:w="467" w:type="pct"/>
                  <w:vMerge w:val="restart"/>
                  <w:tcMar>
                    <w:top w:w="0" w:type="dxa"/>
                    <w:left w:w="0" w:type="dxa"/>
                    <w:bottom w:w="0" w:type="dxa"/>
                    <w:right w:w="0" w:type="dxa"/>
                  </w:tcMar>
                  <w:vAlign w:val="center"/>
                </w:tcPr>
                <w:p w14:paraId="4F4C092D">
                  <w:pPr>
                    <w:pStyle w:val="123"/>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老窝铺乡、城子镇</w:t>
                  </w:r>
                </w:p>
              </w:tc>
              <w:tc>
                <w:tcPr>
                  <w:tcW w:w="360" w:type="pct"/>
                  <w:vMerge w:val="restart"/>
                  <w:tcMar>
                    <w:top w:w="0" w:type="dxa"/>
                    <w:left w:w="0" w:type="dxa"/>
                    <w:bottom w:w="0" w:type="dxa"/>
                    <w:right w:w="0" w:type="dxa"/>
                  </w:tcMar>
                  <w:vAlign w:val="center"/>
                </w:tcPr>
                <w:p w14:paraId="0D7CFE1D">
                  <w:pPr>
                    <w:pStyle w:val="123"/>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优先保护单元</w:t>
                  </w:r>
                </w:p>
              </w:tc>
              <w:tc>
                <w:tcPr>
                  <w:tcW w:w="549" w:type="pct"/>
                  <w:vMerge w:val="restart"/>
                  <w:tcMar>
                    <w:top w:w="0" w:type="dxa"/>
                    <w:left w:w="0" w:type="dxa"/>
                    <w:bottom w:w="0" w:type="dxa"/>
                    <w:right w:w="0" w:type="dxa"/>
                  </w:tcMar>
                  <w:vAlign w:val="center"/>
                </w:tcPr>
                <w:p w14:paraId="53D9A83B">
                  <w:pPr>
                    <w:pStyle w:val="123"/>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燕山水源涵养-生物多样性维护生态保护红线</w:t>
                  </w:r>
                </w:p>
              </w:tc>
              <w:tc>
                <w:tcPr>
                  <w:tcW w:w="292" w:type="pct"/>
                  <w:tcMar>
                    <w:top w:w="0" w:type="dxa"/>
                    <w:left w:w="0" w:type="dxa"/>
                    <w:bottom w:w="0" w:type="dxa"/>
                    <w:right w:w="0" w:type="dxa"/>
                  </w:tcMar>
                  <w:vAlign w:val="center"/>
                </w:tcPr>
                <w:p w14:paraId="2E4E29C4">
                  <w:pPr>
                    <w:pStyle w:val="123"/>
                    <w:spacing w:line="320" w:lineRule="exact"/>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rPr>
                    <w:t>空间布局约束</w:t>
                  </w:r>
                </w:p>
              </w:tc>
              <w:tc>
                <w:tcPr>
                  <w:tcW w:w="1354" w:type="pct"/>
                  <w:tcMar>
                    <w:top w:w="0" w:type="dxa"/>
                    <w:left w:w="0" w:type="dxa"/>
                    <w:bottom w:w="0" w:type="dxa"/>
                    <w:right w:w="0" w:type="dxa"/>
                  </w:tcMar>
                  <w:vAlign w:val="center"/>
                </w:tcPr>
                <w:p w14:paraId="15B4A212">
                  <w:pPr>
                    <w:pStyle w:val="123"/>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1、执行承德市总体准入清单中生态保护红线准入要求。</w:t>
                  </w:r>
                </w:p>
                <w:p w14:paraId="680955B7">
                  <w:pPr>
                    <w:pStyle w:val="123"/>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2、在沙化土地范围内从事开发建设活动的，必须事先就该项目可能对当地及相关地区生态产生的影响进行环境影响评价，依法提交环境影响报告；环境影响报告应当包括有关防沙治沙的内容。</w:t>
                  </w:r>
                </w:p>
              </w:tc>
              <w:tc>
                <w:tcPr>
                  <w:tcW w:w="1254" w:type="pct"/>
                  <w:tcMar>
                    <w:top w:w="0" w:type="dxa"/>
                    <w:left w:w="0" w:type="dxa"/>
                    <w:bottom w:w="0" w:type="dxa"/>
                    <w:right w:w="0" w:type="dxa"/>
                  </w:tcMar>
                  <w:vAlign w:val="center"/>
                </w:tcPr>
                <w:p w14:paraId="26A0CDDA">
                  <w:pPr>
                    <w:pStyle w:val="123"/>
                    <w:spacing w:line="240" w:lineRule="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highlight w:val="none"/>
                    </w:rPr>
                    <w:t>本项目与承德市总体准入清单中生态保护红线准入要求符合性分析见表1-</w:t>
                  </w:r>
                  <w:r>
                    <w:rPr>
                      <w:rFonts w:hint="eastAsia" w:cs="Times New Roman"/>
                      <w:bCs/>
                      <w:color w:val="auto"/>
                      <w:highlight w:val="none"/>
                      <w:lang w:val="en-US" w:eastAsia="zh-CN"/>
                    </w:rPr>
                    <w:t>5</w:t>
                  </w:r>
                  <w:r>
                    <w:rPr>
                      <w:rFonts w:hint="default" w:ascii="Times New Roman" w:hAnsi="Times New Roman" w:cs="Times New Roman"/>
                      <w:bCs/>
                      <w:color w:val="auto"/>
                      <w:highlight w:val="none"/>
                    </w:rPr>
                    <w:t>。围场满族蒙古族自治县自然资源和规划局出具《华能围场“风光储氢热一体化”项目（光伏200MW）项目220kV送出线路工程不可避让生态保护红线报告》的审查意见和关于华能围场“风光储氢热一体化”项目（光伏200MW）项目220kV送出线路工程路径的说明</w:t>
                  </w:r>
                  <w:r>
                    <w:rPr>
                      <w:rFonts w:hint="default" w:ascii="Times New Roman" w:hAnsi="Times New Roman" w:cs="Times New Roman"/>
                      <w:color w:val="auto"/>
                      <w:highlight w:val="none"/>
                    </w:rPr>
                    <w:t>。</w:t>
                  </w:r>
                  <w:r>
                    <w:rPr>
                      <w:rFonts w:hint="default" w:ascii="Times New Roman" w:hAnsi="Times New Roman" w:cs="Times New Roman"/>
                      <w:bCs/>
                      <w:color w:val="auto"/>
                      <w:highlight w:val="none"/>
                    </w:rPr>
                    <w:t>本项目无废水外排，报告中对沙化土地提出防沙治沙措施，减少土地沙化。</w:t>
                  </w:r>
                </w:p>
              </w:tc>
              <w:tc>
                <w:tcPr>
                  <w:tcW w:w="155" w:type="pct"/>
                  <w:tcMar>
                    <w:top w:w="0" w:type="dxa"/>
                    <w:left w:w="0" w:type="dxa"/>
                    <w:bottom w:w="0" w:type="dxa"/>
                    <w:right w:w="0" w:type="dxa"/>
                  </w:tcMar>
                  <w:vAlign w:val="center"/>
                </w:tcPr>
                <w:p w14:paraId="64E74827">
                  <w:pPr>
                    <w:pStyle w:val="123"/>
                    <w:spacing w:line="320" w:lineRule="exact"/>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highlight w:val="none"/>
                    </w:rPr>
                    <w:t>符合</w:t>
                  </w:r>
                </w:p>
              </w:tc>
            </w:tr>
            <w:tr w14:paraId="285D7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continue"/>
                  <w:tcMar>
                    <w:top w:w="0" w:type="dxa"/>
                    <w:left w:w="0" w:type="dxa"/>
                    <w:bottom w:w="0" w:type="dxa"/>
                    <w:right w:w="0" w:type="dxa"/>
                  </w:tcMar>
                  <w:vAlign w:val="center"/>
                </w:tcPr>
                <w:p w14:paraId="3B5648A7">
                  <w:pPr>
                    <w:pStyle w:val="123"/>
                    <w:spacing w:line="320" w:lineRule="exact"/>
                    <w:rPr>
                      <w:rFonts w:hint="default" w:ascii="Times New Roman" w:hAnsi="Times New Roman" w:cs="Times New Roman"/>
                      <w:color w:val="auto"/>
                      <w:highlight w:val="none"/>
                    </w:rPr>
                  </w:pPr>
                </w:p>
              </w:tc>
              <w:tc>
                <w:tcPr>
                  <w:tcW w:w="467" w:type="pct"/>
                  <w:vMerge w:val="continue"/>
                  <w:tcMar>
                    <w:top w:w="0" w:type="dxa"/>
                    <w:left w:w="0" w:type="dxa"/>
                    <w:bottom w:w="0" w:type="dxa"/>
                    <w:right w:w="0" w:type="dxa"/>
                  </w:tcMar>
                  <w:vAlign w:val="center"/>
                </w:tcPr>
                <w:p w14:paraId="2BFEDBCA">
                  <w:pPr>
                    <w:pStyle w:val="123"/>
                    <w:spacing w:line="320" w:lineRule="exact"/>
                    <w:rPr>
                      <w:rFonts w:hint="default" w:ascii="Times New Roman" w:hAnsi="Times New Roman" w:cs="Times New Roman"/>
                      <w:color w:val="auto"/>
                      <w:highlight w:val="none"/>
                    </w:rPr>
                  </w:pPr>
                </w:p>
              </w:tc>
              <w:tc>
                <w:tcPr>
                  <w:tcW w:w="360" w:type="pct"/>
                  <w:vMerge w:val="continue"/>
                  <w:tcMar>
                    <w:top w:w="0" w:type="dxa"/>
                    <w:left w:w="0" w:type="dxa"/>
                    <w:bottom w:w="0" w:type="dxa"/>
                    <w:right w:w="0" w:type="dxa"/>
                  </w:tcMar>
                  <w:vAlign w:val="center"/>
                </w:tcPr>
                <w:p w14:paraId="24208BE5">
                  <w:pPr>
                    <w:pStyle w:val="123"/>
                    <w:spacing w:line="320" w:lineRule="exact"/>
                    <w:rPr>
                      <w:rFonts w:hint="default" w:ascii="Times New Roman" w:hAnsi="Times New Roman" w:cs="Times New Roman"/>
                      <w:color w:val="auto"/>
                      <w:highlight w:val="none"/>
                    </w:rPr>
                  </w:pPr>
                </w:p>
              </w:tc>
              <w:tc>
                <w:tcPr>
                  <w:tcW w:w="549" w:type="pct"/>
                  <w:vMerge w:val="continue"/>
                  <w:tcMar>
                    <w:top w:w="0" w:type="dxa"/>
                    <w:left w:w="0" w:type="dxa"/>
                    <w:bottom w:w="0" w:type="dxa"/>
                    <w:right w:w="0" w:type="dxa"/>
                  </w:tcMar>
                  <w:vAlign w:val="center"/>
                </w:tcPr>
                <w:p w14:paraId="6D005EF7">
                  <w:pPr>
                    <w:pStyle w:val="123"/>
                    <w:spacing w:line="320" w:lineRule="exact"/>
                    <w:rPr>
                      <w:rFonts w:hint="default" w:ascii="Times New Roman" w:hAnsi="Times New Roman" w:cs="Times New Roman"/>
                      <w:color w:val="auto"/>
                      <w:highlight w:val="none"/>
                    </w:rPr>
                  </w:pPr>
                </w:p>
              </w:tc>
              <w:tc>
                <w:tcPr>
                  <w:tcW w:w="292" w:type="pct"/>
                  <w:tcMar>
                    <w:top w:w="0" w:type="dxa"/>
                    <w:left w:w="0" w:type="dxa"/>
                    <w:bottom w:w="0" w:type="dxa"/>
                    <w:right w:w="0" w:type="dxa"/>
                  </w:tcMar>
                  <w:vAlign w:val="center"/>
                </w:tcPr>
                <w:p w14:paraId="5E103890">
                  <w:pPr>
                    <w:pStyle w:val="123"/>
                    <w:spacing w:line="320" w:lineRule="exac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rPr>
                    <w:t>污染物排放管控</w:t>
                  </w:r>
                </w:p>
              </w:tc>
              <w:tc>
                <w:tcPr>
                  <w:tcW w:w="1354" w:type="pct"/>
                  <w:tcMar>
                    <w:top w:w="0" w:type="dxa"/>
                    <w:left w:w="0" w:type="dxa"/>
                    <w:bottom w:w="0" w:type="dxa"/>
                    <w:right w:w="0" w:type="dxa"/>
                  </w:tcMar>
                  <w:vAlign w:val="center"/>
                </w:tcPr>
                <w:p w14:paraId="2A7EE664">
                  <w:pPr>
                    <w:pStyle w:val="123"/>
                    <w:spacing w:line="240" w:lineRule="auto"/>
                    <w:rPr>
                      <w:rFonts w:hint="default" w:ascii="Times New Roman" w:hAnsi="Times New Roman" w:eastAsia="宋体" w:cs="Times New Roman"/>
                      <w:bCs/>
                      <w:color w:val="auto"/>
                      <w:highlight w:val="none"/>
                      <w:lang w:val="en-US" w:eastAsia="zh-CN"/>
                    </w:rPr>
                  </w:pPr>
                  <w:r>
                    <w:rPr>
                      <w:rFonts w:hint="default" w:ascii="Times New Roman" w:hAnsi="Times New Roman" w:cs="Times New Roman"/>
                      <w:bCs/>
                      <w:color w:val="auto"/>
                      <w:highlight w:val="none"/>
                      <w:lang w:val="en-US" w:eastAsia="zh-CN"/>
                    </w:rPr>
                    <w:t>/</w:t>
                  </w:r>
                </w:p>
              </w:tc>
              <w:tc>
                <w:tcPr>
                  <w:tcW w:w="1254" w:type="pct"/>
                  <w:tcMar>
                    <w:top w:w="0" w:type="dxa"/>
                    <w:left w:w="0" w:type="dxa"/>
                    <w:bottom w:w="0" w:type="dxa"/>
                    <w:right w:w="0" w:type="dxa"/>
                  </w:tcMar>
                  <w:vAlign w:val="center"/>
                </w:tcPr>
                <w:p w14:paraId="73783F6C">
                  <w:pPr>
                    <w:pStyle w:val="123"/>
                    <w:spacing w:line="240" w:lineRule="auto"/>
                    <w:rPr>
                      <w:rFonts w:hint="default" w:ascii="Times New Roman" w:hAnsi="Times New Roman" w:eastAsia="宋体" w:cs="Times New Roman"/>
                      <w:bCs/>
                      <w:color w:val="auto"/>
                      <w:highlight w:val="none"/>
                      <w:lang w:val="en-US" w:eastAsia="zh-CN"/>
                    </w:rPr>
                  </w:pPr>
                  <w:r>
                    <w:rPr>
                      <w:rFonts w:hint="default" w:ascii="Times New Roman" w:hAnsi="Times New Roman" w:cs="Times New Roman"/>
                      <w:bCs/>
                      <w:color w:val="auto"/>
                      <w:highlight w:val="none"/>
                      <w:lang w:val="en-US" w:eastAsia="zh-CN"/>
                    </w:rPr>
                    <w:t>/</w:t>
                  </w:r>
                </w:p>
              </w:tc>
              <w:tc>
                <w:tcPr>
                  <w:tcW w:w="155" w:type="pct"/>
                  <w:tcMar>
                    <w:top w:w="0" w:type="dxa"/>
                    <w:left w:w="0" w:type="dxa"/>
                    <w:bottom w:w="0" w:type="dxa"/>
                    <w:right w:w="0" w:type="dxa"/>
                  </w:tcMar>
                  <w:vAlign w:val="center"/>
                </w:tcPr>
                <w:p w14:paraId="0D71C1F3">
                  <w:pPr>
                    <w:pStyle w:val="123"/>
                    <w:spacing w:line="320" w:lineRule="exact"/>
                    <w:rPr>
                      <w:rFonts w:hint="default" w:ascii="Times New Roman" w:hAnsi="Times New Roman" w:eastAsia="宋体" w:cs="Times New Roman"/>
                      <w:bCs/>
                      <w:color w:val="auto"/>
                      <w:highlight w:val="none"/>
                      <w:lang w:val="en-US" w:eastAsia="zh-CN"/>
                    </w:rPr>
                  </w:pPr>
                  <w:r>
                    <w:rPr>
                      <w:rFonts w:hint="default" w:ascii="Times New Roman" w:hAnsi="Times New Roman" w:cs="Times New Roman"/>
                      <w:bCs/>
                      <w:color w:val="auto"/>
                      <w:highlight w:val="none"/>
                      <w:lang w:val="en-US" w:eastAsia="zh-CN"/>
                    </w:rPr>
                    <w:t>/</w:t>
                  </w:r>
                </w:p>
              </w:tc>
            </w:tr>
            <w:tr w14:paraId="23144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continue"/>
                  <w:tcMar>
                    <w:top w:w="0" w:type="dxa"/>
                    <w:left w:w="0" w:type="dxa"/>
                    <w:bottom w:w="0" w:type="dxa"/>
                    <w:right w:w="0" w:type="dxa"/>
                  </w:tcMar>
                  <w:vAlign w:val="center"/>
                </w:tcPr>
                <w:p w14:paraId="3F0176C3">
                  <w:pPr>
                    <w:pStyle w:val="123"/>
                    <w:spacing w:line="320" w:lineRule="exact"/>
                    <w:rPr>
                      <w:rFonts w:hint="default" w:ascii="Times New Roman" w:hAnsi="Times New Roman" w:cs="Times New Roman"/>
                      <w:color w:val="auto"/>
                      <w:highlight w:val="none"/>
                    </w:rPr>
                  </w:pPr>
                </w:p>
              </w:tc>
              <w:tc>
                <w:tcPr>
                  <w:tcW w:w="467" w:type="pct"/>
                  <w:vMerge w:val="continue"/>
                  <w:tcMar>
                    <w:top w:w="0" w:type="dxa"/>
                    <w:left w:w="0" w:type="dxa"/>
                    <w:bottom w:w="0" w:type="dxa"/>
                    <w:right w:w="0" w:type="dxa"/>
                  </w:tcMar>
                  <w:vAlign w:val="center"/>
                </w:tcPr>
                <w:p w14:paraId="416D30F2">
                  <w:pPr>
                    <w:pStyle w:val="123"/>
                    <w:spacing w:line="320" w:lineRule="exact"/>
                    <w:rPr>
                      <w:rFonts w:hint="default" w:ascii="Times New Roman" w:hAnsi="Times New Roman" w:cs="Times New Roman"/>
                      <w:color w:val="auto"/>
                      <w:highlight w:val="none"/>
                    </w:rPr>
                  </w:pPr>
                </w:p>
              </w:tc>
              <w:tc>
                <w:tcPr>
                  <w:tcW w:w="360" w:type="pct"/>
                  <w:vMerge w:val="continue"/>
                  <w:tcMar>
                    <w:top w:w="0" w:type="dxa"/>
                    <w:left w:w="0" w:type="dxa"/>
                    <w:bottom w:w="0" w:type="dxa"/>
                    <w:right w:w="0" w:type="dxa"/>
                  </w:tcMar>
                  <w:vAlign w:val="center"/>
                </w:tcPr>
                <w:p w14:paraId="6F1100FA">
                  <w:pPr>
                    <w:pStyle w:val="123"/>
                    <w:spacing w:line="320" w:lineRule="exact"/>
                    <w:rPr>
                      <w:rFonts w:hint="default" w:ascii="Times New Roman" w:hAnsi="Times New Roman" w:cs="Times New Roman"/>
                      <w:color w:val="auto"/>
                      <w:highlight w:val="none"/>
                    </w:rPr>
                  </w:pPr>
                </w:p>
              </w:tc>
              <w:tc>
                <w:tcPr>
                  <w:tcW w:w="549" w:type="pct"/>
                  <w:vMerge w:val="continue"/>
                  <w:tcMar>
                    <w:top w:w="0" w:type="dxa"/>
                    <w:left w:w="0" w:type="dxa"/>
                    <w:bottom w:w="0" w:type="dxa"/>
                    <w:right w:w="0" w:type="dxa"/>
                  </w:tcMar>
                  <w:vAlign w:val="center"/>
                </w:tcPr>
                <w:p w14:paraId="6B521053">
                  <w:pPr>
                    <w:pStyle w:val="123"/>
                    <w:spacing w:line="320" w:lineRule="exact"/>
                    <w:rPr>
                      <w:rFonts w:hint="default" w:ascii="Times New Roman" w:hAnsi="Times New Roman" w:cs="Times New Roman"/>
                      <w:color w:val="auto"/>
                      <w:highlight w:val="none"/>
                    </w:rPr>
                  </w:pPr>
                </w:p>
              </w:tc>
              <w:tc>
                <w:tcPr>
                  <w:tcW w:w="292" w:type="pct"/>
                  <w:tcMar>
                    <w:top w:w="0" w:type="dxa"/>
                    <w:left w:w="0" w:type="dxa"/>
                    <w:bottom w:w="0" w:type="dxa"/>
                    <w:right w:w="0" w:type="dxa"/>
                  </w:tcMar>
                  <w:vAlign w:val="center"/>
                </w:tcPr>
                <w:p w14:paraId="50DC63E0">
                  <w:pPr>
                    <w:pStyle w:val="123"/>
                    <w:spacing w:line="320" w:lineRule="exac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rPr>
                    <w:t>环境风险管控</w:t>
                  </w:r>
                </w:p>
              </w:tc>
              <w:tc>
                <w:tcPr>
                  <w:tcW w:w="1354" w:type="pct"/>
                  <w:tcMar>
                    <w:top w:w="0" w:type="dxa"/>
                    <w:left w:w="0" w:type="dxa"/>
                    <w:bottom w:w="0" w:type="dxa"/>
                    <w:right w:w="0" w:type="dxa"/>
                  </w:tcMar>
                  <w:vAlign w:val="center"/>
                </w:tcPr>
                <w:p w14:paraId="13E4BE28">
                  <w:pPr>
                    <w:pStyle w:val="123"/>
                    <w:spacing w:line="240" w:lineRule="auto"/>
                    <w:rPr>
                      <w:rFonts w:hint="default" w:ascii="Times New Roman" w:hAnsi="Times New Roman" w:eastAsia="宋体" w:cs="Times New Roman"/>
                      <w:bCs/>
                      <w:color w:val="auto"/>
                      <w:highlight w:val="none"/>
                      <w:lang w:val="en-US" w:eastAsia="zh-CN"/>
                    </w:rPr>
                  </w:pPr>
                  <w:r>
                    <w:rPr>
                      <w:rFonts w:hint="default" w:ascii="Times New Roman" w:hAnsi="Times New Roman" w:cs="Times New Roman"/>
                      <w:bCs/>
                      <w:color w:val="auto"/>
                      <w:highlight w:val="none"/>
                      <w:lang w:val="en-US" w:eastAsia="zh-CN"/>
                    </w:rPr>
                    <w:t>/</w:t>
                  </w:r>
                </w:p>
              </w:tc>
              <w:tc>
                <w:tcPr>
                  <w:tcW w:w="1254" w:type="pct"/>
                  <w:tcMar>
                    <w:top w:w="0" w:type="dxa"/>
                    <w:left w:w="0" w:type="dxa"/>
                    <w:bottom w:w="0" w:type="dxa"/>
                    <w:right w:w="0" w:type="dxa"/>
                  </w:tcMar>
                  <w:vAlign w:val="center"/>
                </w:tcPr>
                <w:p w14:paraId="3BB1575E">
                  <w:pPr>
                    <w:pStyle w:val="123"/>
                    <w:spacing w:line="240" w:lineRule="auto"/>
                    <w:rPr>
                      <w:rFonts w:hint="default" w:ascii="Times New Roman" w:hAnsi="Times New Roman" w:eastAsia="宋体" w:cs="Times New Roman"/>
                      <w:bCs/>
                      <w:color w:val="auto"/>
                      <w:highlight w:val="none"/>
                      <w:lang w:val="en-US" w:eastAsia="zh-CN"/>
                    </w:rPr>
                  </w:pPr>
                  <w:r>
                    <w:rPr>
                      <w:rFonts w:hint="default" w:ascii="Times New Roman" w:hAnsi="Times New Roman" w:cs="Times New Roman"/>
                      <w:bCs/>
                      <w:color w:val="auto"/>
                      <w:highlight w:val="none"/>
                      <w:lang w:val="en-US" w:eastAsia="zh-CN"/>
                    </w:rPr>
                    <w:t>/</w:t>
                  </w:r>
                </w:p>
              </w:tc>
              <w:tc>
                <w:tcPr>
                  <w:tcW w:w="155" w:type="pct"/>
                  <w:tcMar>
                    <w:top w:w="0" w:type="dxa"/>
                    <w:left w:w="0" w:type="dxa"/>
                    <w:bottom w:w="0" w:type="dxa"/>
                    <w:right w:w="0" w:type="dxa"/>
                  </w:tcMar>
                  <w:vAlign w:val="center"/>
                </w:tcPr>
                <w:p w14:paraId="0D8DFFE0">
                  <w:pPr>
                    <w:pStyle w:val="123"/>
                    <w:spacing w:line="320" w:lineRule="exact"/>
                    <w:rPr>
                      <w:rFonts w:hint="default" w:ascii="Times New Roman" w:hAnsi="Times New Roman" w:eastAsia="宋体" w:cs="Times New Roman"/>
                      <w:bCs/>
                      <w:color w:val="auto"/>
                      <w:highlight w:val="none"/>
                      <w:lang w:val="en-US" w:eastAsia="zh-CN"/>
                    </w:rPr>
                  </w:pPr>
                  <w:r>
                    <w:rPr>
                      <w:rFonts w:hint="default" w:ascii="Times New Roman" w:hAnsi="Times New Roman" w:cs="Times New Roman"/>
                      <w:bCs/>
                      <w:color w:val="auto"/>
                      <w:highlight w:val="none"/>
                      <w:lang w:val="en-US" w:eastAsia="zh-CN"/>
                    </w:rPr>
                    <w:t>/</w:t>
                  </w:r>
                </w:p>
              </w:tc>
            </w:tr>
            <w:tr w14:paraId="1B0F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continue"/>
                  <w:tcMar>
                    <w:top w:w="0" w:type="dxa"/>
                    <w:left w:w="0" w:type="dxa"/>
                    <w:bottom w:w="0" w:type="dxa"/>
                    <w:right w:w="0" w:type="dxa"/>
                  </w:tcMar>
                  <w:vAlign w:val="center"/>
                </w:tcPr>
                <w:p w14:paraId="703647A2">
                  <w:pPr>
                    <w:pStyle w:val="123"/>
                    <w:spacing w:line="320" w:lineRule="exact"/>
                    <w:rPr>
                      <w:rFonts w:hint="default" w:ascii="Times New Roman" w:hAnsi="Times New Roman" w:cs="Times New Roman"/>
                      <w:color w:val="auto"/>
                      <w:highlight w:val="none"/>
                    </w:rPr>
                  </w:pPr>
                </w:p>
              </w:tc>
              <w:tc>
                <w:tcPr>
                  <w:tcW w:w="467" w:type="pct"/>
                  <w:vMerge w:val="continue"/>
                  <w:tcMar>
                    <w:top w:w="0" w:type="dxa"/>
                    <w:left w:w="0" w:type="dxa"/>
                    <w:bottom w:w="0" w:type="dxa"/>
                    <w:right w:w="0" w:type="dxa"/>
                  </w:tcMar>
                  <w:vAlign w:val="center"/>
                </w:tcPr>
                <w:p w14:paraId="3F71A6FD">
                  <w:pPr>
                    <w:pStyle w:val="123"/>
                    <w:spacing w:line="320" w:lineRule="exact"/>
                    <w:rPr>
                      <w:rFonts w:hint="default" w:ascii="Times New Roman" w:hAnsi="Times New Roman" w:cs="Times New Roman"/>
                      <w:color w:val="auto"/>
                      <w:highlight w:val="none"/>
                    </w:rPr>
                  </w:pPr>
                </w:p>
              </w:tc>
              <w:tc>
                <w:tcPr>
                  <w:tcW w:w="360" w:type="pct"/>
                  <w:vMerge w:val="continue"/>
                  <w:tcMar>
                    <w:top w:w="0" w:type="dxa"/>
                    <w:left w:w="0" w:type="dxa"/>
                    <w:bottom w:w="0" w:type="dxa"/>
                    <w:right w:w="0" w:type="dxa"/>
                  </w:tcMar>
                  <w:vAlign w:val="center"/>
                </w:tcPr>
                <w:p w14:paraId="6D9A07D0">
                  <w:pPr>
                    <w:pStyle w:val="123"/>
                    <w:spacing w:line="320" w:lineRule="exact"/>
                    <w:rPr>
                      <w:rFonts w:hint="default" w:ascii="Times New Roman" w:hAnsi="Times New Roman" w:cs="Times New Roman"/>
                      <w:color w:val="auto"/>
                      <w:highlight w:val="none"/>
                    </w:rPr>
                  </w:pPr>
                </w:p>
              </w:tc>
              <w:tc>
                <w:tcPr>
                  <w:tcW w:w="549" w:type="pct"/>
                  <w:vMerge w:val="continue"/>
                  <w:tcMar>
                    <w:top w:w="0" w:type="dxa"/>
                    <w:left w:w="0" w:type="dxa"/>
                    <w:bottom w:w="0" w:type="dxa"/>
                    <w:right w:w="0" w:type="dxa"/>
                  </w:tcMar>
                  <w:vAlign w:val="center"/>
                </w:tcPr>
                <w:p w14:paraId="1BE423A7">
                  <w:pPr>
                    <w:pStyle w:val="123"/>
                    <w:spacing w:line="320" w:lineRule="exact"/>
                    <w:rPr>
                      <w:rFonts w:hint="default" w:ascii="Times New Roman" w:hAnsi="Times New Roman" w:cs="Times New Roman"/>
                      <w:color w:val="auto"/>
                      <w:highlight w:val="none"/>
                    </w:rPr>
                  </w:pPr>
                </w:p>
              </w:tc>
              <w:tc>
                <w:tcPr>
                  <w:tcW w:w="292" w:type="pct"/>
                  <w:tcMar>
                    <w:top w:w="0" w:type="dxa"/>
                    <w:left w:w="0" w:type="dxa"/>
                    <w:bottom w:w="0" w:type="dxa"/>
                    <w:right w:w="0" w:type="dxa"/>
                  </w:tcMar>
                  <w:vAlign w:val="center"/>
                </w:tcPr>
                <w:p w14:paraId="396B7A17">
                  <w:pPr>
                    <w:pStyle w:val="123"/>
                    <w:spacing w:line="320" w:lineRule="exac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rPr>
                    <w:t>资源利用效率</w:t>
                  </w:r>
                </w:p>
              </w:tc>
              <w:tc>
                <w:tcPr>
                  <w:tcW w:w="1354" w:type="pct"/>
                  <w:tcMar>
                    <w:top w:w="0" w:type="dxa"/>
                    <w:left w:w="0" w:type="dxa"/>
                    <w:bottom w:w="0" w:type="dxa"/>
                    <w:right w:w="0" w:type="dxa"/>
                  </w:tcMar>
                  <w:vAlign w:val="center"/>
                </w:tcPr>
                <w:p w14:paraId="4D637D06">
                  <w:pPr>
                    <w:pStyle w:val="123"/>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1、按照宜乔则乔、宜灌则灌、宜草则草，乔灌草结合的原则，因地制宜开展沙地治理。</w:t>
                  </w:r>
                </w:p>
              </w:tc>
              <w:tc>
                <w:tcPr>
                  <w:tcW w:w="1254" w:type="pct"/>
                  <w:tcMar>
                    <w:top w:w="0" w:type="dxa"/>
                    <w:left w:w="0" w:type="dxa"/>
                    <w:bottom w:w="0" w:type="dxa"/>
                    <w:right w:w="0" w:type="dxa"/>
                  </w:tcMar>
                  <w:vAlign w:val="center"/>
                </w:tcPr>
                <w:p w14:paraId="1DD45209">
                  <w:pPr>
                    <w:pStyle w:val="123"/>
                    <w:spacing w:line="240" w:lineRule="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highlight w:val="none"/>
                    </w:rPr>
                    <w:t>本项目临时占地恢复</w:t>
                  </w:r>
                  <w:r>
                    <w:rPr>
                      <w:rFonts w:hint="eastAsia" w:cs="Times New Roman"/>
                      <w:bCs/>
                      <w:color w:val="auto"/>
                      <w:highlight w:val="none"/>
                      <w:lang w:eastAsia="zh-CN"/>
                    </w:rPr>
                    <w:t>按照</w:t>
                  </w:r>
                  <w:r>
                    <w:rPr>
                      <w:rFonts w:hint="default" w:ascii="Times New Roman" w:hAnsi="Times New Roman" w:cs="Times New Roman"/>
                      <w:bCs/>
                      <w:color w:val="auto"/>
                      <w:highlight w:val="none"/>
                    </w:rPr>
                    <w:t>乔、灌、草</w:t>
                  </w:r>
                  <w:r>
                    <w:rPr>
                      <w:rFonts w:hint="eastAsia" w:cs="Times New Roman"/>
                      <w:bCs/>
                      <w:color w:val="auto"/>
                      <w:highlight w:val="none"/>
                      <w:lang w:eastAsia="zh-CN"/>
                    </w:rPr>
                    <w:t>相</w:t>
                  </w:r>
                  <w:r>
                    <w:rPr>
                      <w:rFonts w:hint="default" w:ascii="Times New Roman" w:hAnsi="Times New Roman" w:cs="Times New Roman"/>
                      <w:bCs/>
                      <w:color w:val="auto"/>
                      <w:highlight w:val="none"/>
                    </w:rPr>
                    <w:t>结合的措施进行恢复，临时占地全部恢复原有生态功能。</w:t>
                  </w:r>
                </w:p>
              </w:tc>
              <w:tc>
                <w:tcPr>
                  <w:tcW w:w="155" w:type="pct"/>
                  <w:tcMar>
                    <w:top w:w="0" w:type="dxa"/>
                    <w:left w:w="0" w:type="dxa"/>
                    <w:bottom w:w="0" w:type="dxa"/>
                    <w:right w:w="0" w:type="dxa"/>
                  </w:tcMar>
                  <w:vAlign w:val="center"/>
                </w:tcPr>
                <w:p w14:paraId="6A393709">
                  <w:pPr>
                    <w:pStyle w:val="123"/>
                    <w:spacing w:line="320" w:lineRule="exact"/>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highlight w:val="none"/>
                    </w:rPr>
                    <w:t>符合</w:t>
                  </w:r>
                </w:p>
              </w:tc>
            </w:tr>
            <w:tr w14:paraId="470B7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restart"/>
                  <w:tcMar>
                    <w:top w:w="0" w:type="dxa"/>
                    <w:left w:w="0" w:type="dxa"/>
                    <w:bottom w:w="0" w:type="dxa"/>
                    <w:right w:w="0" w:type="dxa"/>
                  </w:tcMar>
                  <w:vAlign w:val="center"/>
                </w:tcPr>
                <w:p w14:paraId="6BBFC741">
                  <w:pPr>
                    <w:pStyle w:val="123"/>
                    <w:spacing w:line="320" w:lineRule="exact"/>
                    <w:rPr>
                      <w:rFonts w:hint="default" w:ascii="Times New Roman" w:hAnsi="Times New Roman" w:cs="Times New Roman"/>
                      <w:color w:val="auto"/>
                      <w:highlight w:val="none"/>
                      <w:lang w:val="en-US"/>
                    </w:rPr>
                  </w:pPr>
                  <w:r>
                    <w:rPr>
                      <w:rFonts w:hint="default" w:ascii="Times New Roman" w:hAnsi="Times New Roman" w:eastAsia="宋体" w:cs="Times New Roman"/>
                      <w:b w:val="0"/>
                      <w:bCs w:val="0"/>
                      <w:color w:val="auto"/>
                      <w:sz w:val="21"/>
                      <w:szCs w:val="21"/>
                      <w:highlight w:val="none"/>
                      <w:vertAlign w:val="baseline"/>
                      <w:lang w:eastAsia="zh-CN"/>
                    </w:rPr>
                    <w:t>ZH130828100</w:t>
                  </w:r>
                  <w:r>
                    <w:rPr>
                      <w:rFonts w:hint="default" w:ascii="Times New Roman" w:hAnsi="Times New Roman" w:eastAsia="宋体" w:cs="Times New Roman"/>
                      <w:b w:val="0"/>
                      <w:bCs w:val="0"/>
                      <w:color w:val="auto"/>
                      <w:sz w:val="21"/>
                      <w:szCs w:val="21"/>
                      <w:highlight w:val="none"/>
                      <w:vertAlign w:val="baseline"/>
                      <w:lang w:val="en-US" w:eastAsia="zh-CN"/>
                    </w:rPr>
                    <w:t>1</w:t>
                  </w:r>
                  <w:r>
                    <w:rPr>
                      <w:rFonts w:hint="default" w:ascii="Times New Roman" w:hAnsi="Times New Roman" w:cs="Times New Roman"/>
                      <w:b w:val="0"/>
                      <w:bCs w:val="0"/>
                      <w:color w:val="auto"/>
                      <w:sz w:val="21"/>
                      <w:szCs w:val="21"/>
                      <w:highlight w:val="none"/>
                      <w:vertAlign w:val="baseline"/>
                      <w:lang w:val="en-US" w:eastAsia="zh-CN"/>
                    </w:rPr>
                    <w:t>2</w:t>
                  </w:r>
                </w:p>
              </w:tc>
              <w:tc>
                <w:tcPr>
                  <w:tcW w:w="467" w:type="pct"/>
                  <w:vMerge w:val="restart"/>
                  <w:tcMar>
                    <w:top w:w="0" w:type="dxa"/>
                    <w:left w:w="0" w:type="dxa"/>
                    <w:bottom w:w="0" w:type="dxa"/>
                    <w:right w:w="0" w:type="dxa"/>
                  </w:tcMar>
                  <w:vAlign w:val="center"/>
                </w:tcPr>
                <w:p w14:paraId="12ECF391">
                  <w:pPr>
                    <w:pStyle w:val="123"/>
                    <w:spacing w:line="320" w:lineRule="exact"/>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城子镇</w:t>
                  </w:r>
                </w:p>
              </w:tc>
              <w:tc>
                <w:tcPr>
                  <w:tcW w:w="360" w:type="pct"/>
                  <w:vMerge w:val="restart"/>
                  <w:tcMar>
                    <w:top w:w="0" w:type="dxa"/>
                    <w:left w:w="0" w:type="dxa"/>
                    <w:bottom w:w="0" w:type="dxa"/>
                    <w:right w:w="0" w:type="dxa"/>
                  </w:tcMar>
                  <w:vAlign w:val="center"/>
                </w:tcPr>
                <w:p w14:paraId="10FA11C0">
                  <w:pPr>
                    <w:pStyle w:val="123"/>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优先保护单元</w:t>
                  </w:r>
                </w:p>
              </w:tc>
              <w:tc>
                <w:tcPr>
                  <w:tcW w:w="549" w:type="pct"/>
                  <w:vMerge w:val="restart"/>
                  <w:tcMar>
                    <w:top w:w="0" w:type="dxa"/>
                    <w:left w:w="0" w:type="dxa"/>
                    <w:bottom w:w="0" w:type="dxa"/>
                    <w:right w:w="0" w:type="dxa"/>
                  </w:tcMar>
                  <w:vAlign w:val="center"/>
                </w:tcPr>
                <w:p w14:paraId="70DB6BE2">
                  <w:pPr>
                    <w:pStyle w:val="123"/>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一般生态空间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水环境其他区域</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大气一般管控区</w:t>
                  </w:r>
                </w:p>
              </w:tc>
              <w:tc>
                <w:tcPr>
                  <w:tcW w:w="292" w:type="pct"/>
                  <w:tcMar>
                    <w:top w:w="0" w:type="dxa"/>
                    <w:left w:w="0" w:type="dxa"/>
                    <w:bottom w:w="0" w:type="dxa"/>
                    <w:right w:w="0" w:type="dxa"/>
                  </w:tcMar>
                  <w:vAlign w:val="center"/>
                </w:tcPr>
                <w:p w14:paraId="744C445E">
                  <w:pPr>
                    <w:pStyle w:val="123"/>
                    <w:spacing w:line="320" w:lineRule="exact"/>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rPr>
                    <w:t>空间布局约束</w:t>
                  </w:r>
                </w:p>
              </w:tc>
              <w:tc>
                <w:tcPr>
                  <w:tcW w:w="1354" w:type="pct"/>
                  <w:tcMar>
                    <w:top w:w="0" w:type="dxa"/>
                    <w:left w:w="0" w:type="dxa"/>
                    <w:bottom w:w="0" w:type="dxa"/>
                    <w:right w:w="0" w:type="dxa"/>
                  </w:tcMar>
                  <w:vAlign w:val="center"/>
                </w:tcPr>
                <w:p w14:paraId="3D0863A6">
                  <w:pPr>
                    <w:pStyle w:val="123"/>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1、执行承德市总体准入清单中一般生态空间准入要求。</w:t>
                  </w:r>
                </w:p>
                <w:p w14:paraId="62BCAC5A">
                  <w:pPr>
                    <w:pStyle w:val="123"/>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2、在沙化土地范围内从事开发建设活动的，必须事先就该项目可能对当地及相关地区生态产生的影响进行环境影响评价，依法提交环境影响报告；环境影响报告应当包括有关防沙治沙的内容。</w:t>
                  </w:r>
                </w:p>
              </w:tc>
              <w:tc>
                <w:tcPr>
                  <w:tcW w:w="1254" w:type="pct"/>
                  <w:tcMar>
                    <w:top w:w="0" w:type="dxa"/>
                    <w:left w:w="0" w:type="dxa"/>
                    <w:bottom w:w="0" w:type="dxa"/>
                    <w:right w:w="0" w:type="dxa"/>
                  </w:tcMar>
                  <w:vAlign w:val="center"/>
                </w:tcPr>
                <w:p w14:paraId="75BFE014">
                  <w:pPr>
                    <w:pStyle w:val="123"/>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本项目与承德市总体准入清单中一般生态空间准入要求符合性分析见表1-</w:t>
                  </w:r>
                  <w:r>
                    <w:rPr>
                      <w:rFonts w:hint="default" w:ascii="Times New Roman" w:hAnsi="Times New Roman" w:cs="Times New Roman"/>
                      <w:bCs/>
                      <w:color w:val="auto"/>
                      <w:highlight w:val="none"/>
                      <w:lang w:val="en-US" w:eastAsia="zh-CN"/>
                    </w:rPr>
                    <w:t>6</w:t>
                  </w:r>
                  <w:r>
                    <w:rPr>
                      <w:rFonts w:hint="default" w:ascii="Times New Roman" w:hAnsi="Times New Roman" w:cs="Times New Roman"/>
                      <w:bCs/>
                      <w:color w:val="auto"/>
                      <w:highlight w:val="none"/>
                    </w:rPr>
                    <w:t>。本项目无废水外排，报告中对沙化土地提出防沙治沙措施，减少土地沙化。</w:t>
                  </w:r>
                </w:p>
              </w:tc>
              <w:tc>
                <w:tcPr>
                  <w:tcW w:w="155" w:type="pct"/>
                  <w:tcMar>
                    <w:top w:w="0" w:type="dxa"/>
                    <w:left w:w="0" w:type="dxa"/>
                    <w:bottom w:w="0" w:type="dxa"/>
                    <w:right w:w="0" w:type="dxa"/>
                  </w:tcMar>
                  <w:vAlign w:val="center"/>
                </w:tcPr>
                <w:p w14:paraId="420032AE">
                  <w:pPr>
                    <w:pStyle w:val="123"/>
                    <w:spacing w:line="320" w:lineRule="exact"/>
                    <w:rPr>
                      <w:rFonts w:hint="default" w:ascii="Times New Roman" w:hAnsi="Times New Roman" w:eastAsia="宋体" w:cs="Times New Roman"/>
                      <w:bCs/>
                      <w:color w:val="auto"/>
                      <w:highlight w:val="none"/>
                      <w:lang w:eastAsia="zh-CN"/>
                    </w:rPr>
                  </w:pPr>
                  <w:r>
                    <w:rPr>
                      <w:rFonts w:hint="default" w:ascii="Times New Roman" w:hAnsi="Times New Roman" w:cs="Times New Roman"/>
                      <w:bCs/>
                      <w:color w:val="auto"/>
                      <w:highlight w:val="none"/>
                      <w:lang w:eastAsia="zh-CN"/>
                    </w:rPr>
                    <w:t>符合</w:t>
                  </w:r>
                </w:p>
              </w:tc>
            </w:tr>
            <w:tr w14:paraId="5085D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continue"/>
                  <w:tcMar>
                    <w:top w:w="0" w:type="dxa"/>
                    <w:left w:w="0" w:type="dxa"/>
                    <w:bottom w:w="0" w:type="dxa"/>
                    <w:right w:w="0" w:type="dxa"/>
                  </w:tcMar>
                  <w:vAlign w:val="center"/>
                </w:tcPr>
                <w:p w14:paraId="48F815CF">
                  <w:pPr>
                    <w:pStyle w:val="123"/>
                    <w:spacing w:line="320" w:lineRule="exact"/>
                    <w:rPr>
                      <w:rFonts w:hint="default" w:ascii="Times New Roman" w:hAnsi="Times New Roman" w:cs="Times New Roman"/>
                      <w:color w:val="auto"/>
                      <w:highlight w:val="none"/>
                    </w:rPr>
                  </w:pPr>
                </w:p>
              </w:tc>
              <w:tc>
                <w:tcPr>
                  <w:tcW w:w="467" w:type="pct"/>
                  <w:vMerge w:val="continue"/>
                  <w:tcMar>
                    <w:top w:w="0" w:type="dxa"/>
                    <w:left w:w="0" w:type="dxa"/>
                    <w:bottom w:w="0" w:type="dxa"/>
                    <w:right w:w="0" w:type="dxa"/>
                  </w:tcMar>
                  <w:vAlign w:val="center"/>
                </w:tcPr>
                <w:p w14:paraId="5906C671">
                  <w:pPr>
                    <w:pStyle w:val="123"/>
                    <w:spacing w:line="320" w:lineRule="exact"/>
                    <w:rPr>
                      <w:rFonts w:hint="default" w:ascii="Times New Roman" w:hAnsi="Times New Roman" w:cs="Times New Roman"/>
                      <w:color w:val="auto"/>
                      <w:highlight w:val="none"/>
                    </w:rPr>
                  </w:pPr>
                </w:p>
              </w:tc>
              <w:tc>
                <w:tcPr>
                  <w:tcW w:w="360" w:type="pct"/>
                  <w:vMerge w:val="continue"/>
                  <w:tcMar>
                    <w:top w:w="0" w:type="dxa"/>
                    <w:left w:w="0" w:type="dxa"/>
                    <w:bottom w:w="0" w:type="dxa"/>
                    <w:right w:w="0" w:type="dxa"/>
                  </w:tcMar>
                  <w:vAlign w:val="center"/>
                </w:tcPr>
                <w:p w14:paraId="2D9E9F2D">
                  <w:pPr>
                    <w:pStyle w:val="123"/>
                    <w:spacing w:line="320" w:lineRule="exact"/>
                    <w:rPr>
                      <w:rFonts w:hint="default" w:ascii="Times New Roman" w:hAnsi="Times New Roman" w:cs="Times New Roman"/>
                      <w:color w:val="auto"/>
                      <w:highlight w:val="none"/>
                    </w:rPr>
                  </w:pPr>
                </w:p>
              </w:tc>
              <w:tc>
                <w:tcPr>
                  <w:tcW w:w="549" w:type="pct"/>
                  <w:vMerge w:val="continue"/>
                  <w:tcMar>
                    <w:top w:w="0" w:type="dxa"/>
                    <w:left w:w="0" w:type="dxa"/>
                    <w:bottom w:w="0" w:type="dxa"/>
                    <w:right w:w="0" w:type="dxa"/>
                  </w:tcMar>
                  <w:vAlign w:val="center"/>
                </w:tcPr>
                <w:p w14:paraId="504068FD">
                  <w:pPr>
                    <w:pStyle w:val="123"/>
                    <w:spacing w:line="320" w:lineRule="exact"/>
                    <w:rPr>
                      <w:rFonts w:hint="default" w:ascii="Times New Roman" w:hAnsi="Times New Roman" w:cs="Times New Roman"/>
                      <w:color w:val="auto"/>
                      <w:highlight w:val="none"/>
                    </w:rPr>
                  </w:pPr>
                </w:p>
              </w:tc>
              <w:tc>
                <w:tcPr>
                  <w:tcW w:w="292" w:type="pct"/>
                  <w:tcMar>
                    <w:top w:w="0" w:type="dxa"/>
                    <w:left w:w="0" w:type="dxa"/>
                    <w:bottom w:w="0" w:type="dxa"/>
                    <w:right w:w="0" w:type="dxa"/>
                  </w:tcMar>
                  <w:vAlign w:val="center"/>
                </w:tcPr>
                <w:p w14:paraId="08ED8663">
                  <w:pPr>
                    <w:pStyle w:val="123"/>
                    <w:spacing w:line="320" w:lineRule="exac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rPr>
                    <w:t>污染物排放管控</w:t>
                  </w:r>
                </w:p>
              </w:tc>
              <w:tc>
                <w:tcPr>
                  <w:tcW w:w="1354" w:type="pct"/>
                  <w:tcMar>
                    <w:top w:w="0" w:type="dxa"/>
                    <w:left w:w="0" w:type="dxa"/>
                    <w:bottom w:w="0" w:type="dxa"/>
                    <w:right w:w="0" w:type="dxa"/>
                  </w:tcMar>
                  <w:vAlign w:val="center"/>
                </w:tcPr>
                <w:p w14:paraId="2EE2BEEE">
                  <w:pPr>
                    <w:pStyle w:val="123"/>
                    <w:spacing w:line="240" w:lineRule="auto"/>
                    <w:rPr>
                      <w:rFonts w:hint="default" w:ascii="Times New Roman" w:hAnsi="Times New Roman" w:eastAsia="宋体" w:cs="Times New Roman"/>
                      <w:bCs/>
                      <w:color w:val="auto"/>
                      <w:highlight w:val="none"/>
                      <w:lang w:val="en-US" w:eastAsia="zh-CN"/>
                    </w:rPr>
                  </w:pPr>
                  <w:r>
                    <w:rPr>
                      <w:rFonts w:hint="default" w:ascii="Times New Roman" w:hAnsi="Times New Roman" w:cs="Times New Roman"/>
                      <w:bCs/>
                      <w:color w:val="auto"/>
                      <w:highlight w:val="none"/>
                      <w:lang w:val="en-US" w:eastAsia="zh-CN"/>
                    </w:rPr>
                    <w:t>/</w:t>
                  </w:r>
                </w:p>
              </w:tc>
              <w:tc>
                <w:tcPr>
                  <w:tcW w:w="1254" w:type="pct"/>
                  <w:tcMar>
                    <w:top w:w="0" w:type="dxa"/>
                    <w:left w:w="0" w:type="dxa"/>
                    <w:bottom w:w="0" w:type="dxa"/>
                    <w:right w:w="0" w:type="dxa"/>
                  </w:tcMar>
                  <w:vAlign w:val="center"/>
                </w:tcPr>
                <w:p w14:paraId="4F9093B8">
                  <w:pPr>
                    <w:pStyle w:val="123"/>
                    <w:spacing w:line="240" w:lineRule="auto"/>
                    <w:rPr>
                      <w:rFonts w:hint="default" w:ascii="Times New Roman" w:hAnsi="Times New Roman" w:eastAsia="宋体" w:cs="Times New Roman"/>
                      <w:bCs/>
                      <w:color w:val="auto"/>
                      <w:highlight w:val="none"/>
                      <w:lang w:val="en-US" w:eastAsia="zh-CN"/>
                    </w:rPr>
                  </w:pPr>
                  <w:r>
                    <w:rPr>
                      <w:rFonts w:hint="default" w:ascii="Times New Roman" w:hAnsi="Times New Roman" w:cs="Times New Roman"/>
                      <w:bCs/>
                      <w:color w:val="auto"/>
                      <w:highlight w:val="none"/>
                      <w:lang w:val="en-US" w:eastAsia="zh-CN"/>
                    </w:rPr>
                    <w:t>/</w:t>
                  </w:r>
                </w:p>
              </w:tc>
              <w:tc>
                <w:tcPr>
                  <w:tcW w:w="155" w:type="pct"/>
                  <w:tcMar>
                    <w:top w:w="0" w:type="dxa"/>
                    <w:left w:w="0" w:type="dxa"/>
                    <w:bottom w:w="0" w:type="dxa"/>
                    <w:right w:w="0" w:type="dxa"/>
                  </w:tcMar>
                  <w:vAlign w:val="center"/>
                </w:tcPr>
                <w:p w14:paraId="1D675984">
                  <w:pPr>
                    <w:pStyle w:val="123"/>
                    <w:spacing w:line="320" w:lineRule="exact"/>
                    <w:rPr>
                      <w:rFonts w:hint="default" w:ascii="Times New Roman" w:hAnsi="Times New Roman" w:eastAsia="宋体" w:cs="Times New Roman"/>
                      <w:bCs/>
                      <w:color w:val="auto"/>
                      <w:highlight w:val="none"/>
                      <w:lang w:val="en-US" w:eastAsia="zh-CN"/>
                    </w:rPr>
                  </w:pPr>
                  <w:r>
                    <w:rPr>
                      <w:rFonts w:hint="default" w:ascii="Times New Roman" w:hAnsi="Times New Roman" w:cs="Times New Roman"/>
                      <w:bCs/>
                      <w:color w:val="auto"/>
                      <w:highlight w:val="none"/>
                      <w:lang w:val="en-US" w:eastAsia="zh-CN"/>
                    </w:rPr>
                    <w:t>/</w:t>
                  </w:r>
                </w:p>
              </w:tc>
            </w:tr>
            <w:tr w14:paraId="041E6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continue"/>
                  <w:tcMar>
                    <w:top w:w="0" w:type="dxa"/>
                    <w:left w:w="0" w:type="dxa"/>
                    <w:bottom w:w="0" w:type="dxa"/>
                    <w:right w:w="0" w:type="dxa"/>
                  </w:tcMar>
                  <w:vAlign w:val="center"/>
                </w:tcPr>
                <w:p w14:paraId="5432EE33">
                  <w:pPr>
                    <w:pStyle w:val="123"/>
                    <w:spacing w:line="320" w:lineRule="exact"/>
                    <w:rPr>
                      <w:rFonts w:hint="default" w:ascii="Times New Roman" w:hAnsi="Times New Roman" w:cs="Times New Roman"/>
                      <w:color w:val="auto"/>
                      <w:highlight w:val="none"/>
                    </w:rPr>
                  </w:pPr>
                </w:p>
              </w:tc>
              <w:tc>
                <w:tcPr>
                  <w:tcW w:w="467" w:type="pct"/>
                  <w:vMerge w:val="continue"/>
                  <w:tcMar>
                    <w:top w:w="0" w:type="dxa"/>
                    <w:left w:w="0" w:type="dxa"/>
                    <w:bottom w:w="0" w:type="dxa"/>
                    <w:right w:w="0" w:type="dxa"/>
                  </w:tcMar>
                  <w:vAlign w:val="center"/>
                </w:tcPr>
                <w:p w14:paraId="742CB16C">
                  <w:pPr>
                    <w:pStyle w:val="123"/>
                    <w:spacing w:line="320" w:lineRule="exact"/>
                    <w:rPr>
                      <w:rFonts w:hint="default" w:ascii="Times New Roman" w:hAnsi="Times New Roman" w:cs="Times New Roman"/>
                      <w:color w:val="auto"/>
                      <w:highlight w:val="none"/>
                    </w:rPr>
                  </w:pPr>
                </w:p>
              </w:tc>
              <w:tc>
                <w:tcPr>
                  <w:tcW w:w="360" w:type="pct"/>
                  <w:vMerge w:val="continue"/>
                  <w:tcMar>
                    <w:top w:w="0" w:type="dxa"/>
                    <w:left w:w="0" w:type="dxa"/>
                    <w:bottom w:w="0" w:type="dxa"/>
                    <w:right w:w="0" w:type="dxa"/>
                  </w:tcMar>
                  <w:vAlign w:val="center"/>
                </w:tcPr>
                <w:p w14:paraId="7A2A5DA6">
                  <w:pPr>
                    <w:pStyle w:val="123"/>
                    <w:spacing w:line="320" w:lineRule="exact"/>
                    <w:rPr>
                      <w:rFonts w:hint="default" w:ascii="Times New Roman" w:hAnsi="Times New Roman" w:cs="Times New Roman"/>
                      <w:color w:val="auto"/>
                      <w:highlight w:val="none"/>
                    </w:rPr>
                  </w:pPr>
                </w:p>
              </w:tc>
              <w:tc>
                <w:tcPr>
                  <w:tcW w:w="549" w:type="pct"/>
                  <w:vMerge w:val="continue"/>
                  <w:tcMar>
                    <w:top w:w="0" w:type="dxa"/>
                    <w:left w:w="0" w:type="dxa"/>
                    <w:bottom w:w="0" w:type="dxa"/>
                    <w:right w:w="0" w:type="dxa"/>
                  </w:tcMar>
                  <w:vAlign w:val="center"/>
                </w:tcPr>
                <w:p w14:paraId="0C66302F">
                  <w:pPr>
                    <w:pStyle w:val="123"/>
                    <w:spacing w:line="320" w:lineRule="exact"/>
                    <w:rPr>
                      <w:rFonts w:hint="default" w:ascii="Times New Roman" w:hAnsi="Times New Roman" w:cs="Times New Roman"/>
                      <w:color w:val="auto"/>
                      <w:highlight w:val="none"/>
                    </w:rPr>
                  </w:pPr>
                </w:p>
              </w:tc>
              <w:tc>
                <w:tcPr>
                  <w:tcW w:w="292" w:type="pct"/>
                  <w:tcMar>
                    <w:top w:w="0" w:type="dxa"/>
                    <w:left w:w="0" w:type="dxa"/>
                    <w:bottom w:w="0" w:type="dxa"/>
                    <w:right w:w="0" w:type="dxa"/>
                  </w:tcMar>
                  <w:vAlign w:val="center"/>
                </w:tcPr>
                <w:p w14:paraId="6BB00633">
                  <w:pPr>
                    <w:pStyle w:val="123"/>
                    <w:spacing w:line="320" w:lineRule="exac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rPr>
                    <w:t>环境风险管控</w:t>
                  </w:r>
                </w:p>
              </w:tc>
              <w:tc>
                <w:tcPr>
                  <w:tcW w:w="1354" w:type="pct"/>
                  <w:tcMar>
                    <w:top w:w="0" w:type="dxa"/>
                    <w:left w:w="0" w:type="dxa"/>
                    <w:bottom w:w="0" w:type="dxa"/>
                    <w:right w:w="0" w:type="dxa"/>
                  </w:tcMar>
                  <w:vAlign w:val="center"/>
                </w:tcPr>
                <w:p w14:paraId="762BCAB1">
                  <w:pPr>
                    <w:pStyle w:val="123"/>
                    <w:spacing w:line="240" w:lineRule="auto"/>
                    <w:rPr>
                      <w:rFonts w:hint="default" w:ascii="Times New Roman" w:hAnsi="Times New Roman" w:eastAsia="宋体" w:cs="Times New Roman"/>
                      <w:bCs/>
                      <w:color w:val="auto"/>
                      <w:highlight w:val="none"/>
                      <w:lang w:val="en-US" w:eastAsia="zh-CN"/>
                    </w:rPr>
                  </w:pPr>
                  <w:r>
                    <w:rPr>
                      <w:rFonts w:hint="default" w:ascii="Times New Roman" w:hAnsi="Times New Roman" w:cs="Times New Roman"/>
                      <w:bCs/>
                      <w:color w:val="auto"/>
                      <w:highlight w:val="none"/>
                      <w:lang w:val="en-US" w:eastAsia="zh-CN"/>
                    </w:rPr>
                    <w:t>/</w:t>
                  </w:r>
                </w:p>
              </w:tc>
              <w:tc>
                <w:tcPr>
                  <w:tcW w:w="1254" w:type="pct"/>
                  <w:tcMar>
                    <w:top w:w="0" w:type="dxa"/>
                    <w:left w:w="0" w:type="dxa"/>
                    <w:bottom w:w="0" w:type="dxa"/>
                    <w:right w:w="0" w:type="dxa"/>
                  </w:tcMar>
                  <w:vAlign w:val="center"/>
                </w:tcPr>
                <w:p w14:paraId="4F1B6F17">
                  <w:pPr>
                    <w:pStyle w:val="123"/>
                    <w:spacing w:line="240" w:lineRule="auto"/>
                    <w:rPr>
                      <w:rFonts w:hint="default" w:ascii="Times New Roman" w:hAnsi="Times New Roman" w:eastAsia="宋体" w:cs="Times New Roman"/>
                      <w:bCs/>
                      <w:color w:val="auto"/>
                      <w:highlight w:val="none"/>
                      <w:lang w:val="en-US" w:eastAsia="zh-CN"/>
                    </w:rPr>
                  </w:pPr>
                  <w:r>
                    <w:rPr>
                      <w:rFonts w:hint="default" w:ascii="Times New Roman" w:hAnsi="Times New Roman" w:cs="Times New Roman"/>
                      <w:bCs/>
                      <w:color w:val="auto"/>
                      <w:highlight w:val="none"/>
                      <w:lang w:val="en-US" w:eastAsia="zh-CN"/>
                    </w:rPr>
                    <w:t>/</w:t>
                  </w:r>
                </w:p>
              </w:tc>
              <w:tc>
                <w:tcPr>
                  <w:tcW w:w="155" w:type="pct"/>
                  <w:tcMar>
                    <w:top w:w="0" w:type="dxa"/>
                    <w:left w:w="0" w:type="dxa"/>
                    <w:bottom w:w="0" w:type="dxa"/>
                    <w:right w:w="0" w:type="dxa"/>
                  </w:tcMar>
                  <w:vAlign w:val="center"/>
                </w:tcPr>
                <w:p w14:paraId="39BF23FC">
                  <w:pPr>
                    <w:pStyle w:val="123"/>
                    <w:spacing w:line="320" w:lineRule="exact"/>
                    <w:rPr>
                      <w:rFonts w:hint="default" w:ascii="Times New Roman" w:hAnsi="Times New Roman" w:eastAsia="宋体" w:cs="Times New Roman"/>
                      <w:bCs/>
                      <w:color w:val="auto"/>
                      <w:highlight w:val="none"/>
                      <w:lang w:val="en-US" w:eastAsia="zh-CN"/>
                    </w:rPr>
                  </w:pPr>
                  <w:r>
                    <w:rPr>
                      <w:rFonts w:hint="default" w:ascii="Times New Roman" w:hAnsi="Times New Roman" w:cs="Times New Roman"/>
                      <w:bCs/>
                      <w:color w:val="auto"/>
                      <w:highlight w:val="none"/>
                      <w:lang w:val="en-US" w:eastAsia="zh-CN"/>
                    </w:rPr>
                    <w:t>/</w:t>
                  </w:r>
                </w:p>
              </w:tc>
            </w:tr>
            <w:tr w14:paraId="0D10A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continue"/>
                  <w:tcMar>
                    <w:top w:w="0" w:type="dxa"/>
                    <w:left w:w="0" w:type="dxa"/>
                    <w:bottom w:w="0" w:type="dxa"/>
                    <w:right w:w="0" w:type="dxa"/>
                  </w:tcMar>
                  <w:vAlign w:val="center"/>
                </w:tcPr>
                <w:p w14:paraId="11597469">
                  <w:pPr>
                    <w:pStyle w:val="123"/>
                    <w:spacing w:line="320" w:lineRule="exact"/>
                    <w:rPr>
                      <w:rFonts w:hint="default" w:ascii="Times New Roman" w:hAnsi="Times New Roman" w:cs="Times New Roman"/>
                      <w:color w:val="auto"/>
                      <w:highlight w:val="none"/>
                    </w:rPr>
                  </w:pPr>
                </w:p>
              </w:tc>
              <w:tc>
                <w:tcPr>
                  <w:tcW w:w="467" w:type="pct"/>
                  <w:vMerge w:val="continue"/>
                  <w:tcMar>
                    <w:top w:w="0" w:type="dxa"/>
                    <w:left w:w="0" w:type="dxa"/>
                    <w:bottom w:w="0" w:type="dxa"/>
                    <w:right w:w="0" w:type="dxa"/>
                  </w:tcMar>
                  <w:vAlign w:val="center"/>
                </w:tcPr>
                <w:p w14:paraId="325DF919">
                  <w:pPr>
                    <w:pStyle w:val="123"/>
                    <w:spacing w:line="320" w:lineRule="exact"/>
                    <w:rPr>
                      <w:rFonts w:hint="default" w:ascii="Times New Roman" w:hAnsi="Times New Roman" w:cs="Times New Roman"/>
                      <w:color w:val="auto"/>
                      <w:highlight w:val="none"/>
                    </w:rPr>
                  </w:pPr>
                </w:p>
              </w:tc>
              <w:tc>
                <w:tcPr>
                  <w:tcW w:w="360" w:type="pct"/>
                  <w:vMerge w:val="continue"/>
                  <w:tcMar>
                    <w:top w:w="0" w:type="dxa"/>
                    <w:left w:w="0" w:type="dxa"/>
                    <w:bottom w:w="0" w:type="dxa"/>
                    <w:right w:w="0" w:type="dxa"/>
                  </w:tcMar>
                  <w:vAlign w:val="center"/>
                </w:tcPr>
                <w:p w14:paraId="3321C23F">
                  <w:pPr>
                    <w:pStyle w:val="123"/>
                    <w:spacing w:line="320" w:lineRule="exact"/>
                    <w:rPr>
                      <w:rFonts w:hint="default" w:ascii="Times New Roman" w:hAnsi="Times New Roman" w:cs="Times New Roman"/>
                      <w:color w:val="auto"/>
                      <w:highlight w:val="none"/>
                    </w:rPr>
                  </w:pPr>
                </w:p>
              </w:tc>
              <w:tc>
                <w:tcPr>
                  <w:tcW w:w="549" w:type="pct"/>
                  <w:vMerge w:val="continue"/>
                  <w:tcMar>
                    <w:top w:w="0" w:type="dxa"/>
                    <w:left w:w="0" w:type="dxa"/>
                    <w:bottom w:w="0" w:type="dxa"/>
                    <w:right w:w="0" w:type="dxa"/>
                  </w:tcMar>
                  <w:vAlign w:val="center"/>
                </w:tcPr>
                <w:p w14:paraId="2968C1C1">
                  <w:pPr>
                    <w:pStyle w:val="123"/>
                    <w:spacing w:line="320" w:lineRule="exact"/>
                    <w:rPr>
                      <w:rFonts w:hint="default" w:ascii="Times New Roman" w:hAnsi="Times New Roman" w:cs="Times New Roman"/>
                      <w:color w:val="auto"/>
                      <w:highlight w:val="none"/>
                    </w:rPr>
                  </w:pPr>
                </w:p>
              </w:tc>
              <w:tc>
                <w:tcPr>
                  <w:tcW w:w="292" w:type="pct"/>
                  <w:tcMar>
                    <w:top w:w="0" w:type="dxa"/>
                    <w:left w:w="0" w:type="dxa"/>
                    <w:bottom w:w="0" w:type="dxa"/>
                    <w:right w:w="0" w:type="dxa"/>
                  </w:tcMar>
                  <w:vAlign w:val="center"/>
                </w:tcPr>
                <w:p w14:paraId="2C806D5B">
                  <w:pPr>
                    <w:pStyle w:val="123"/>
                    <w:spacing w:line="320" w:lineRule="exac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rPr>
                    <w:t>资源利用效率</w:t>
                  </w:r>
                </w:p>
              </w:tc>
              <w:tc>
                <w:tcPr>
                  <w:tcW w:w="1354" w:type="pct"/>
                  <w:tcMar>
                    <w:top w:w="0" w:type="dxa"/>
                    <w:left w:w="0" w:type="dxa"/>
                    <w:bottom w:w="0" w:type="dxa"/>
                    <w:right w:w="0" w:type="dxa"/>
                  </w:tcMar>
                  <w:vAlign w:val="center"/>
                </w:tcPr>
                <w:p w14:paraId="198FAEA9">
                  <w:pPr>
                    <w:pStyle w:val="123"/>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1、按照宜乔则乔、宜灌则灌、宜草则草，乔灌草结合的原则，因地制宜开展沙地治理。</w:t>
                  </w:r>
                </w:p>
                <w:p w14:paraId="496B7F20">
                  <w:pPr>
                    <w:pStyle w:val="123"/>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2、在严格保护生态环境前提下，鼓励采取多样化模式和路径，科学合理推动生态产品价值实现。</w:t>
                  </w:r>
                </w:p>
              </w:tc>
              <w:tc>
                <w:tcPr>
                  <w:tcW w:w="1254" w:type="pct"/>
                  <w:tcMar>
                    <w:top w:w="0" w:type="dxa"/>
                    <w:left w:w="0" w:type="dxa"/>
                    <w:bottom w:w="0" w:type="dxa"/>
                    <w:right w:w="0" w:type="dxa"/>
                  </w:tcMar>
                  <w:vAlign w:val="center"/>
                </w:tcPr>
                <w:p w14:paraId="2631ECFA">
                  <w:pPr>
                    <w:pStyle w:val="123"/>
                    <w:spacing w:line="240" w:lineRule="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highlight w:val="none"/>
                    </w:rPr>
                    <w:t>本项目临时占地恢复</w:t>
                  </w:r>
                  <w:r>
                    <w:rPr>
                      <w:rFonts w:hint="eastAsia" w:cs="Times New Roman"/>
                      <w:bCs/>
                      <w:color w:val="auto"/>
                      <w:highlight w:val="none"/>
                      <w:lang w:eastAsia="zh-CN"/>
                    </w:rPr>
                    <w:t>按照</w:t>
                  </w:r>
                  <w:r>
                    <w:rPr>
                      <w:rFonts w:hint="default" w:ascii="Times New Roman" w:hAnsi="Times New Roman" w:cs="Times New Roman"/>
                      <w:bCs/>
                      <w:color w:val="auto"/>
                      <w:highlight w:val="none"/>
                    </w:rPr>
                    <w:t>乔、灌、草</w:t>
                  </w:r>
                  <w:r>
                    <w:rPr>
                      <w:rFonts w:hint="eastAsia" w:cs="Times New Roman"/>
                      <w:bCs/>
                      <w:color w:val="auto"/>
                      <w:highlight w:val="none"/>
                      <w:lang w:eastAsia="zh-CN"/>
                    </w:rPr>
                    <w:t>相</w:t>
                  </w:r>
                  <w:r>
                    <w:rPr>
                      <w:rFonts w:hint="default" w:ascii="Times New Roman" w:hAnsi="Times New Roman" w:cs="Times New Roman"/>
                      <w:bCs/>
                      <w:color w:val="auto"/>
                      <w:highlight w:val="none"/>
                    </w:rPr>
                    <w:t>结合的措施进行恢复，临时占地全部恢复原有生态功能。</w:t>
                  </w:r>
                </w:p>
              </w:tc>
              <w:tc>
                <w:tcPr>
                  <w:tcW w:w="155" w:type="pct"/>
                  <w:tcMar>
                    <w:top w:w="0" w:type="dxa"/>
                    <w:left w:w="0" w:type="dxa"/>
                    <w:bottom w:w="0" w:type="dxa"/>
                    <w:right w:w="0" w:type="dxa"/>
                  </w:tcMar>
                  <w:vAlign w:val="center"/>
                </w:tcPr>
                <w:p w14:paraId="07A9EBEE">
                  <w:pPr>
                    <w:pStyle w:val="123"/>
                    <w:spacing w:line="320" w:lineRule="exact"/>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highlight w:val="none"/>
                    </w:rPr>
                    <w:t>符合</w:t>
                  </w:r>
                </w:p>
              </w:tc>
            </w:tr>
            <w:tr w14:paraId="731A7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restart"/>
                  <w:tcMar>
                    <w:top w:w="0" w:type="dxa"/>
                    <w:left w:w="0" w:type="dxa"/>
                    <w:bottom w:w="0" w:type="dxa"/>
                    <w:right w:w="0" w:type="dxa"/>
                  </w:tcMar>
                  <w:vAlign w:val="center"/>
                </w:tcPr>
                <w:p w14:paraId="4A5156BD">
                  <w:pPr>
                    <w:pStyle w:val="123"/>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ZH13082810013</w:t>
                  </w:r>
                </w:p>
              </w:tc>
              <w:tc>
                <w:tcPr>
                  <w:tcW w:w="467" w:type="pct"/>
                  <w:vMerge w:val="restart"/>
                  <w:tcMar>
                    <w:top w:w="0" w:type="dxa"/>
                    <w:left w:w="0" w:type="dxa"/>
                    <w:bottom w:w="0" w:type="dxa"/>
                    <w:right w:w="0" w:type="dxa"/>
                  </w:tcMar>
                  <w:vAlign w:val="center"/>
                </w:tcPr>
                <w:p w14:paraId="2D797883">
                  <w:pPr>
                    <w:pStyle w:val="123"/>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老窝铺乡</w:t>
                  </w:r>
                </w:p>
              </w:tc>
              <w:tc>
                <w:tcPr>
                  <w:tcW w:w="360" w:type="pct"/>
                  <w:vMerge w:val="restart"/>
                  <w:tcMar>
                    <w:top w:w="0" w:type="dxa"/>
                    <w:left w:w="0" w:type="dxa"/>
                    <w:bottom w:w="0" w:type="dxa"/>
                    <w:right w:w="0" w:type="dxa"/>
                  </w:tcMar>
                  <w:vAlign w:val="center"/>
                </w:tcPr>
                <w:p w14:paraId="281109FD">
                  <w:pPr>
                    <w:pStyle w:val="123"/>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优先保护单元</w:t>
                  </w:r>
                </w:p>
              </w:tc>
              <w:tc>
                <w:tcPr>
                  <w:tcW w:w="549" w:type="pct"/>
                  <w:vMerge w:val="restart"/>
                  <w:tcMar>
                    <w:top w:w="0" w:type="dxa"/>
                    <w:left w:w="0" w:type="dxa"/>
                    <w:bottom w:w="0" w:type="dxa"/>
                    <w:right w:w="0" w:type="dxa"/>
                  </w:tcMar>
                  <w:vAlign w:val="center"/>
                </w:tcPr>
                <w:p w14:paraId="6E5278E4">
                  <w:pPr>
                    <w:pStyle w:val="123"/>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一般生态空间</w:t>
                  </w:r>
                </w:p>
                <w:p w14:paraId="30B904EE">
                  <w:pPr>
                    <w:pStyle w:val="123"/>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水环境优先保护区</w:t>
                  </w:r>
                </w:p>
                <w:p w14:paraId="44FEE604">
                  <w:pPr>
                    <w:pStyle w:val="123"/>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大气一般管控区</w:t>
                  </w:r>
                </w:p>
              </w:tc>
              <w:tc>
                <w:tcPr>
                  <w:tcW w:w="292" w:type="pct"/>
                  <w:tcMar>
                    <w:top w:w="0" w:type="dxa"/>
                    <w:left w:w="0" w:type="dxa"/>
                    <w:bottom w:w="0" w:type="dxa"/>
                    <w:right w:w="0" w:type="dxa"/>
                  </w:tcMar>
                  <w:vAlign w:val="center"/>
                </w:tcPr>
                <w:p w14:paraId="01CB1334">
                  <w:pPr>
                    <w:pStyle w:val="123"/>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空间布局约束</w:t>
                  </w:r>
                </w:p>
              </w:tc>
              <w:tc>
                <w:tcPr>
                  <w:tcW w:w="1354" w:type="pct"/>
                  <w:tcMar>
                    <w:top w:w="0" w:type="dxa"/>
                    <w:left w:w="0" w:type="dxa"/>
                    <w:bottom w:w="0" w:type="dxa"/>
                    <w:right w:w="0" w:type="dxa"/>
                  </w:tcMar>
                  <w:vAlign w:val="center"/>
                </w:tcPr>
                <w:p w14:paraId="66AC6D02">
                  <w:pPr>
                    <w:pStyle w:val="123"/>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1、执行承德市总体准入清单中一般生态空间准入要求。</w:t>
                  </w:r>
                </w:p>
                <w:p w14:paraId="7FDECBA1">
                  <w:pPr>
                    <w:pStyle w:val="123"/>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2、水环境优先保护区应优化区域种植结构，完善水污染设施体系，严格执行流域水排放控制标准，保障水环境安全。</w:t>
                  </w:r>
                </w:p>
                <w:p w14:paraId="2136D188">
                  <w:pPr>
                    <w:pStyle w:val="123"/>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3、在沙化土地范围内从事开发建设活动的，必须事先就该项目可能对当地及相关地区生态产生的影响进行环境影响评价，依法提交环境影响报告；环境影响报告应当包括有关防沙治沙的内容。</w:t>
                  </w:r>
                </w:p>
              </w:tc>
              <w:tc>
                <w:tcPr>
                  <w:tcW w:w="1254" w:type="pct"/>
                  <w:tcMar>
                    <w:top w:w="0" w:type="dxa"/>
                    <w:left w:w="0" w:type="dxa"/>
                    <w:bottom w:w="0" w:type="dxa"/>
                    <w:right w:w="0" w:type="dxa"/>
                  </w:tcMar>
                  <w:vAlign w:val="center"/>
                </w:tcPr>
                <w:p w14:paraId="4F111391">
                  <w:pPr>
                    <w:pStyle w:val="123"/>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本项目与承德市总体准入清单中一般生态空间准入要求符合性分析见表1-</w:t>
                  </w:r>
                  <w:r>
                    <w:rPr>
                      <w:rFonts w:hint="default" w:ascii="Times New Roman" w:hAnsi="Times New Roman" w:cs="Times New Roman"/>
                      <w:bCs/>
                      <w:color w:val="auto"/>
                      <w:highlight w:val="none"/>
                      <w:lang w:val="en-US" w:eastAsia="zh-CN"/>
                    </w:rPr>
                    <w:t>6</w:t>
                  </w:r>
                  <w:r>
                    <w:rPr>
                      <w:rFonts w:hint="default" w:ascii="Times New Roman" w:hAnsi="Times New Roman" w:cs="Times New Roman"/>
                      <w:bCs/>
                      <w:color w:val="auto"/>
                      <w:highlight w:val="none"/>
                    </w:rPr>
                    <w:t>。本项目无废水外排，报告中对沙化土地提出防沙治沙措施，减少土地沙化。</w:t>
                  </w:r>
                </w:p>
              </w:tc>
              <w:tc>
                <w:tcPr>
                  <w:tcW w:w="155" w:type="pct"/>
                  <w:tcMar>
                    <w:top w:w="0" w:type="dxa"/>
                    <w:left w:w="0" w:type="dxa"/>
                    <w:bottom w:w="0" w:type="dxa"/>
                    <w:right w:w="0" w:type="dxa"/>
                  </w:tcMar>
                  <w:vAlign w:val="center"/>
                </w:tcPr>
                <w:p w14:paraId="5D286E40">
                  <w:pPr>
                    <w:pStyle w:val="123"/>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符合</w:t>
                  </w:r>
                </w:p>
              </w:tc>
            </w:tr>
            <w:tr w14:paraId="0B55E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continue"/>
                  <w:tcMar>
                    <w:top w:w="0" w:type="dxa"/>
                    <w:left w:w="0" w:type="dxa"/>
                    <w:bottom w:w="0" w:type="dxa"/>
                    <w:right w:w="0" w:type="dxa"/>
                  </w:tcMar>
                  <w:vAlign w:val="center"/>
                </w:tcPr>
                <w:p w14:paraId="5A9AC4DE">
                  <w:pPr>
                    <w:pStyle w:val="123"/>
                    <w:spacing w:line="320" w:lineRule="exact"/>
                    <w:rPr>
                      <w:rFonts w:hint="default" w:ascii="Times New Roman" w:hAnsi="Times New Roman" w:cs="Times New Roman"/>
                      <w:color w:val="auto"/>
                      <w:highlight w:val="none"/>
                    </w:rPr>
                  </w:pPr>
                </w:p>
              </w:tc>
              <w:tc>
                <w:tcPr>
                  <w:tcW w:w="467" w:type="pct"/>
                  <w:vMerge w:val="continue"/>
                  <w:tcMar>
                    <w:top w:w="0" w:type="dxa"/>
                    <w:left w:w="0" w:type="dxa"/>
                    <w:bottom w:w="0" w:type="dxa"/>
                    <w:right w:w="0" w:type="dxa"/>
                  </w:tcMar>
                  <w:vAlign w:val="center"/>
                </w:tcPr>
                <w:p w14:paraId="7E7F5149">
                  <w:pPr>
                    <w:pStyle w:val="123"/>
                    <w:spacing w:line="320" w:lineRule="exact"/>
                    <w:rPr>
                      <w:rFonts w:hint="default" w:ascii="Times New Roman" w:hAnsi="Times New Roman" w:cs="Times New Roman"/>
                      <w:color w:val="auto"/>
                      <w:highlight w:val="none"/>
                    </w:rPr>
                  </w:pPr>
                </w:p>
              </w:tc>
              <w:tc>
                <w:tcPr>
                  <w:tcW w:w="360" w:type="pct"/>
                  <w:vMerge w:val="continue"/>
                  <w:tcMar>
                    <w:top w:w="0" w:type="dxa"/>
                    <w:left w:w="0" w:type="dxa"/>
                    <w:bottom w:w="0" w:type="dxa"/>
                    <w:right w:w="0" w:type="dxa"/>
                  </w:tcMar>
                  <w:vAlign w:val="center"/>
                </w:tcPr>
                <w:p w14:paraId="755E5926">
                  <w:pPr>
                    <w:pStyle w:val="123"/>
                    <w:spacing w:line="320" w:lineRule="exact"/>
                    <w:rPr>
                      <w:rFonts w:hint="default" w:ascii="Times New Roman" w:hAnsi="Times New Roman" w:cs="Times New Roman"/>
                      <w:color w:val="auto"/>
                      <w:highlight w:val="none"/>
                    </w:rPr>
                  </w:pPr>
                </w:p>
              </w:tc>
              <w:tc>
                <w:tcPr>
                  <w:tcW w:w="549" w:type="pct"/>
                  <w:vMerge w:val="continue"/>
                  <w:tcMar>
                    <w:top w:w="0" w:type="dxa"/>
                    <w:left w:w="0" w:type="dxa"/>
                    <w:bottom w:w="0" w:type="dxa"/>
                    <w:right w:w="0" w:type="dxa"/>
                  </w:tcMar>
                  <w:vAlign w:val="center"/>
                </w:tcPr>
                <w:p w14:paraId="3F8EFBEB">
                  <w:pPr>
                    <w:pStyle w:val="123"/>
                    <w:spacing w:line="320" w:lineRule="exact"/>
                    <w:rPr>
                      <w:rFonts w:hint="default" w:ascii="Times New Roman" w:hAnsi="Times New Roman" w:cs="Times New Roman"/>
                      <w:color w:val="auto"/>
                      <w:highlight w:val="none"/>
                    </w:rPr>
                  </w:pPr>
                </w:p>
              </w:tc>
              <w:tc>
                <w:tcPr>
                  <w:tcW w:w="292" w:type="pct"/>
                  <w:tcMar>
                    <w:top w:w="0" w:type="dxa"/>
                    <w:left w:w="0" w:type="dxa"/>
                    <w:bottom w:w="0" w:type="dxa"/>
                    <w:right w:w="0" w:type="dxa"/>
                  </w:tcMar>
                  <w:vAlign w:val="center"/>
                </w:tcPr>
                <w:p w14:paraId="6B633C9C">
                  <w:pPr>
                    <w:pStyle w:val="123"/>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污染物排放管控</w:t>
                  </w:r>
                </w:p>
              </w:tc>
              <w:tc>
                <w:tcPr>
                  <w:tcW w:w="1354" w:type="pct"/>
                  <w:tcMar>
                    <w:top w:w="0" w:type="dxa"/>
                    <w:left w:w="0" w:type="dxa"/>
                    <w:bottom w:w="0" w:type="dxa"/>
                    <w:right w:w="0" w:type="dxa"/>
                  </w:tcMar>
                  <w:vAlign w:val="center"/>
                </w:tcPr>
                <w:p w14:paraId="59192F7F">
                  <w:pPr>
                    <w:pStyle w:val="123"/>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w:t>
                  </w:r>
                </w:p>
              </w:tc>
              <w:tc>
                <w:tcPr>
                  <w:tcW w:w="1254" w:type="pct"/>
                  <w:tcMar>
                    <w:top w:w="0" w:type="dxa"/>
                    <w:left w:w="0" w:type="dxa"/>
                    <w:bottom w:w="0" w:type="dxa"/>
                    <w:right w:w="0" w:type="dxa"/>
                  </w:tcMar>
                  <w:vAlign w:val="center"/>
                </w:tcPr>
                <w:p w14:paraId="363FFAAC">
                  <w:pPr>
                    <w:pStyle w:val="123"/>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w:t>
                  </w:r>
                </w:p>
              </w:tc>
              <w:tc>
                <w:tcPr>
                  <w:tcW w:w="155" w:type="pct"/>
                  <w:tcMar>
                    <w:top w:w="0" w:type="dxa"/>
                    <w:left w:w="0" w:type="dxa"/>
                    <w:bottom w:w="0" w:type="dxa"/>
                    <w:right w:w="0" w:type="dxa"/>
                  </w:tcMar>
                  <w:vAlign w:val="center"/>
                </w:tcPr>
                <w:p w14:paraId="4F8062AA">
                  <w:pPr>
                    <w:pStyle w:val="123"/>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符合</w:t>
                  </w:r>
                </w:p>
              </w:tc>
            </w:tr>
            <w:tr w14:paraId="18945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continue"/>
                  <w:tcMar>
                    <w:top w:w="0" w:type="dxa"/>
                    <w:left w:w="0" w:type="dxa"/>
                    <w:bottom w:w="0" w:type="dxa"/>
                    <w:right w:w="0" w:type="dxa"/>
                  </w:tcMar>
                  <w:vAlign w:val="center"/>
                </w:tcPr>
                <w:p w14:paraId="798623E4">
                  <w:pPr>
                    <w:pStyle w:val="123"/>
                    <w:spacing w:line="320" w:lineRule="exact"/>
                    <w:rPr>
                      <w:rFonts w:hint="default" w:ascii="Times New Roman" w:hAnsi="Times New Roman" w:cs="Times New Roman"/>
                      <w:color w:val="auto"/>
                      <w:highlight w:val="none"/>
                    </w:rPr>
                  </w:pPr>
                </w:p>
              </w:tc>
              <w:tc>
                <w:tcPr>
                  <w:tcW w:w="467" w:type="pct"/>
                  <w:vMerge w:val="continue"/>
                  <w:tcMar>
                    <w:top w:w="0" w:type="dxa"/>
                    <w:left w:w="0" w:type="dxa"/>
                    <w:bottom w:w="0" w:type="dxa"/>
                    <w:right w:w="0" w:type="dxa"/>
                  </w:tcMar>
                  <w:vAlign w:val="center"/>
                </w:tcPr>
                <w:p w14:paraId="2A1BD4D8">
                  <w:pPr>
                    <w:pStyle w:val="123"/>
                    <w:spacing w:line="320" w:lineRule="exact"/>
                    <w:rPr>
                      <w:rFonts w:hint="default" w:ascii="Times New Roman" w:hAnsi="Times New Roman" w:cs="Times New Roman"/>
                      <w:color w:val="auto"/>
                      <w:highlight w:val="none"/>
                    </w:rPr>
                  </w:pPr>
                </w:p>
              </w:tc>
              <w:tc>
                <w:tcPr>
                  <w:tcW w:w="360" w:type="pct"/>
                  <w:vMerge w:val="continue"/>
                  <w:tcMar>
                    <w:top w:w="0" w:type="dxa"/>
                    <w:left w:w="0" w:type="dxa"/>
                    <w:bottom w:w="0" w:type="dxa"/>
                    <w:right w:w="0" w:type="dxa"/>
                  </w:tcMar>
                  <w:vAlign w:val="center"/>
                </w:tcPr>
                <w:p w14:paraId="08C1356B">
                  <w:pPr>
                    <w:pStyle w:val="123"/>
                    <w:spacing w:line="320" w:lineRule="exact"/>
                    <w:rPr>
                      <w:rFonts w:hint="default" w:ascii="Times New Roman" w:hAnsi="Times New Roman" w:cs="Times New Roman"/>
                      <w:color w:val="auto"/>
                      <w:highlight w:val="none"/>
                    </w:rPr>
                  </w:pPr>
                </w:p>
              </w:tc>
              <w:tc>
                <w:tcPr>
                  <w:tcW w:w="549" w:type="pct"/>
                  <w:vMerge w:val="continue"/>
                  <w:tcMar>
                    <w:top w:w="0" w:type="dxa"/>
                    <w:left w:w="0" w:type="dxa"/>
                    <w:bottom w:w="0" w:type="dxa"/>
                    <w:right w:w="0" w:type="dxa"/>
                  </w:tcMar>
                  <w:vAlign w:val="center"/>
                </w:tcPr>
                <w:p w14:paraId="772B0044">
                  <w:pPr>
                    <w:pStyle w:val="123"/>
                    <w:spacing w:line="320" w:lineRule="exact"/>
                    <w:rPr>
                      <w:rFonts w:hint="default" w:ascii="Times New Roman" w:hAnsi="Times New Roman" w:cs="Times New Roman"/>
                      <w:color w:val="auto"/>
                      <w:highlight w:val="none"/>
                    </w:rPr>
                  </w:pPr>
                </w:p>
              </w:tc>
              <w:tc>
                <w:tcPr>
                  <w:tcW w:w="292" w:type="pct"/>
                  <w:tcMar>
                    <w:top w:w="0" w:type="dxa"/>
                    <w:left w:w="0" w:type="dxa"/>
                    <w:bottom w:w="0" w:type="dxa"/>
                    <w:right w:w="0" w:type="dxa"/>
                  </w:tcMar>
                  <w:vAlign w:val="center"/>
                </w:tcPr>
                <w:p w14:paraId="47B62BF6">
                  <w:pPr>
                    <w:pStyle w:val="123"/>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环境风险管控</w:t>
                  </w:r>
                </w:p>
              </w:tc>
              <w:tc>
                <w:tcPr>
                  <w:tcW w:w="1354" w:type="pct"/>
                  <w:tcMar>
                    <w:top w:w="0" w:type="dxa"/>
                    <w:left w:w="0" w:type="dxa"/>
                    <w:bottom w:w="0" w:type="dxa"/>
                    <w:right w:w="0" w:type="dxa"/>
                  </w:tcMar>
                  <w:vAlign w:val="center"/>
                </w:tcPr>
                <w:p w14:paraId="32C14E91">
                  <w:pPr>
                    <w:pStyle w:val="123"/>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w:t>
                  </w:r>
                </w:p>
              </w:tc>
              <w:tc>
                <w:tcPr>
                  <w:tcW w:w="1254" w:type="pct"/>
                  <w:tcMar>
                    <w:top w:w="0" w:type="dxa"/>
                    <w:left w:w="0" w:type="dxa"/>
                    <w:bottom w:w="0" w:type="dxa"/>
                    <w:right w:w="0" w:type="dxa"/>
                  </w:tcMar>
                  <w:vAlign w:val="center"/>
                </w:tcPr>
                <w:p w14:paraId="3CEFCE1E">
                  <w:pPr>
                    <w:pStyle w:val="123"/>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w:t>
                  </w:r>
                </w:p>
              </w:tc>
              <w:tc>
                <w:tcPr>
                  <w:tcW w:w="155" w:type="pct"/>
                  <w:tcMar>
                    <w:top w:w="0" w:type="dxa"/>
                    <w:left w:w="0" w:type="dxa"/>
                    <w:bottom w:w="0" w:type="dxa"/>
                    <w:right w:w="0" w:type="dxa"/>
                  </w:tcMar>
                  <w:vAlign w:val="center"/>
                </w:tcPr>
                <w:p w14:paraId="56C32CA3">
                  <w:pPr>
                    <w:pStyle w:val="123"/>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符合</w:t>
                  </w:r>
                </w:p>
              </w:tc>
            </w:tr>
            <w:tr w14:paraId="786AE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continue"/>
                  <w:tcMar>
                    <w:top w:w="0" w:type="dxa"/>
                    <w:left w:w="0" w:type="dxa"/>
                    <w:bottom w:w="0" w:type="dxa"/>
                    <w:right w:w="0" w:type="dxa"/>
                  </w:tcMar>
                  <w:vAlign w:val="center"/>
                </w:tcPr>
                <w:p w14:paraId="0EE53355">
                  <w:pPr>
                    <w:pStyle w:val="123"/>
                    <w:spacing w:line="320" w:lineRule="exact"/>
                    <w:rPr>
                      <w:rFonts w:hint="default" w:ascii="Times New Roman" w:hAnsi="Times New Roman" w:cs="Times New Roman"/>
                      <w:color w:val="auto"/>
                      <w:highlight w:val="none"/>
                    </w:rPr>
                  </w:pPr>
                </w:p>
              </w:tc>
              <w:tc>
                <w:tcPr>
                  <w:tcW w:w="467" w:type="pct"/>
                  <w:vMerge w:val="continue"/>
                  <w:tcMar>
                    <w:top w:w="0" w:type="dxa"/>
                    <w:left w:w="0" w:type="dxa"/>
                    <w:bottom w:w="0" w:type="dxa"/>
                    <w:right w:w="0" w:type="dxa"/>
                  </w:tcMar>
                  <w:vAlign w:val="center"/>
                </w:tcPr>
                <w:p w14:paraId="09EF079E">
                  <w:pPr>
                    <w:pStyle w:val="123"/>
                    <w:spacing w:line="320" w:lineRule="exact"/>
                    <w:rPr>
                      <w:rFonts w:hint="default" w:ascii="Times New Roman" w:hAnsi="Times New Roman" w:cs="Times New Roman"/>
                      <w:color w:val="auto"/>
                      <w:highlight w:val="none"/>
                    </w:rPr>
                  </w:pPr>
                </w:p>
              </w:tc>
              <w:tc>
                <w:tcPr>
                  <w:tcW w:w="360" w:type="pct"/>
                  <w:vMerge w:val="continue"/>
                  <w:tcMar>
                    <w:top w:w="0" w:type="dxa"/>
                    <w:left w:w="0" w:type="dxa"/>
                    <w:bottom w:w="0" w:type="dxa"/>
                    <w:right w:w="0" w:type="dxa"/>
                  </w:tcMar>
                  <w:vAlign w:val="center"/>
                </w:tcPr>
                <w:p w14:paraId="3203F3AB">
                  <w:pPr>
                    <w:pStyle w:val="123"/>
                    <w:spacing w:line="320" w:lineRule="exact"/>
                    <w:rPr>
                      <w:rFonts w:hint="default" w:ascii="Times New Roman" w:hAnsi="Times New Roman" w:cs="Times New Roman"/>
                      <w:color w:val="auto"/>
                      <w:highlight w:val="none"/>
                    </w:rPr>
                  </w:pPr>
                </w:p>
              </w:tc>
              <w:tc>
                <w:tcPr>
                  <w:tcW w:w="549" w:type="pct"/>
                  <w:vMerge w:val="continue"/>
                  <w:tcMar>
                    <w:top w:w="0" w:type="dxa"/>
                    <w:left w:w="0" w:type="dxa"/>
                    <w:bottom w:w="0" w:type="dxa"/>
                    <w:right w:w="0" w:type="dxa"/>
                  </w:tcMar>
                  <w:vAlign w:val="center"/>
                </w:tcPr>
                <w:p w14:paraId="5CA7B498">
                  <w:pPr>
                    <w:pStyle w:val="123"/>
                    <w:spacing w:line="320" w:lineRule="exact"/>
                    <w:rPr>
                      <w:rFonts w:hint="default" w:ascii="Times New Roman" w:hAnsi="Times New Roman" w:cs="Times New Roman"/>
                      <w:color w:val="auto"/>
                      <w:highlight w:val="none"/>
                    </w:rPr>
                  </w:pPr>
                </w:p>
              </w:tc>
              <w:tc>
                <w:tcPr>
                  <w:tcW w:w="292" w:type="pct"/>
                  <w:tcMar>
                    <w:top w:w="0" w:type="dxa"/>
                    <w:left w:w="0" w:type="dxa"/>
                    <w:bottom w:w="0" w:type="dxa"/>
                    <w:right w:w="0" w:type="dxa"/>
                  </w:tcMar>
                  <w:vAlign w:val="center"/>
                </w:tcPr>
                <w:p w14:paraId="28C82461">
                  <w:pPr>
                    <w:pStyle w:val="123"/>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资源利用效率</w:t>
                  </w:r>
                </w:p>
              </w:tc>
              <w:tc>
                <w:tcPr>
                  <w:tcW w:w="1354" w:type="pct"/>
                  <w:tcMar>
                    <w:top w:w="0" w:type="dxa"/>
                    <w:left w:w="0" w:type="dxa"/>
                    <w:bottom w:w="0" w:type="dxa"/>
                    <w:right w:w="0" w:type="dxa"/>
                  </w:tcMar>
                  <w:vAlign w:val="center"/>
                </w:tcPr>
                <w:p w14:paraId="21286C11">
                  <w:pPr>
                    <w:pStyle w:val="123"/>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1、按照宜乔则乔、宜灌则灌、宜草则草，乔灌草结合的原则，因地制宜开展沙地治理。</w:t>
                  </w:r>
                </w:p>
                <w:p w14:paraId="26C67EF3">
                  <w:pPr>
                    <w:pStyle w:val="123"/>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2、在严格保护生态环境前提下，鼓励采取多样化模式和路径，科学合理推动生态产品价值实现。</w:t>
                  </w:r>
                </w:p>
              </w:tc>
              <w:tc>
                <w:tcPr>
                  <w:tcW w:w="1254" w:type="pct"/>
                  <w:tcMar>
                    <w:top w:w="0" w:type="dxa"/>
                    <w:left w:w="0" w:type="dxa"/>
                    <w:bottom w:w="0" w:type="dxa"/>
                    <w:right w:w="0" w:type="dxa"/>
                  </w:tcMar>
                  <w:vAlign w:val="center"/>
                </w:tcPr>
                <w:p w14:paraId="280101A7">
                  <w:pPr>
                    <w:pStyle w:val="123"/>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本项目临时占地恢复</w:t>
                  </w:r>
                  <w:r>
                    <w:rPr>
                      <w:rFonts w:hint="eastAsia" w:cs="Times New Roman"/>
                      <w:bCs/>
                      <w:color w:val="auto"/>
                      <w:highlight w:val="none"/>
                      <w:lang w:eastAsia="zh-CN"/>
                    </w:rPr>
                    <w:t>按照</w:t>
                  </w:r>
                  <w:r>
                    <w:rPr>
                      <w:rFonts w:hint="default" w:ascii="Times New Roman" w:hAnsi="Times New Roman" w:cs="Times New Roman"/>
                      <w:bCs/>
                      <w:color w:val="auto"/>
                      <w:highlight w:val="none"/>
                    </w:rPr>
                    <w:t>乔、灌、草</w:t>
                  </w:r>
                  <w:r>
                    <w:rPr>
                      <w:rFonts w:hint="eastAsia" w:cs="Times New Roman"/>
                      <w:bCs/>
                      <w:color w:val="auto"/>
                      <w:highlight w:val="none"/>
                      <w:lang w:eastAsia="zh-CN"/>
                    </w:rPr>
                    <w:t>相</w:t>
                  </w:r>
                  <w:r>
                    <w:rPr>
                      <w:rFonts w:hint="default" w:ascii="Times New Roman" w:hAnsi="Times New Roman" w:cs="Times New Roman"/>
                      <w:bCs/>
                      <w:color w:val="auto"/>
                      <w:highlight w:val="none"/>
                    </w:rPr>
                    <w:t>结合的措施进行恢复，临时占地全部恢复原有生态功能。</w:t>
                  </w:r>
                </w:p>
              </w:tc>
              <w:tc>
                <w:tcPr>
                  <w:tcW w:w="155" w:type="pct"/>
                  <w:tcMar>
                    <w:top w:w="0" w:type="dxa"/>
                    <w:left w:w="0" w:type="dxa"/>
                    <w:bottom w:w="0" w:type="dxa"/>
                    <w:right w:w="0" w:type="dxa"/>
                  </w:tcMar>
                  <w:vAlign w:val="center"/>
                </w:tcPr>
                <w:p w14:paraId="49A9212F">
                  <w:pPr>
                    <w:pStyle w:val="123"/>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符合</w:t>
                  </w:r>
                </w:p>
              </w:tc>
            </w:tr>
            <w:tr w14:paraId="1EAB5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restart"/>
                  <w:tcMar>
                    <w:top w:w="0" w:type="dxa"/>
                    <w:left w:w="0" w:type="dxa"/>
                    <w:bottom w:w="0" w:type="dxa"/>
                    <w:right w:w="0" w:type="dxa"/>
                  </w:tcMar>
                  <w:vAlign w:val="center"/>
                </w:tcPr>
                <w:p w14:paraId="38247746">
                  <w:pPr>
                    <w:pStyle w:val="123"/>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ZH13082830001</w:t>
                  </w:r>
                </w:p>
              </w:tc>
              <w:tc>
                <w:tcPr>
                  <w:tcW w:w="467" w:type="pct"/>
                  <w:vMerge w:val="restart"/>
                  <w:tcMar>
                    <w:top w:w="0" w:type="dxa"/>
                    <w:left w:w="0" w:type="dxa"/>
                    <w:bottom w:w="0" w:type="dxa"/>
                    <w:right w:w="0" w:type="dxa"/>
                  </w:tcMar>
                  <w:vAlign w:val="center"/>
                </w:tcPr>
                <w:p w14:paraId="6A009291">
                  <w:pPr>
                    <w:pStyle w:val="123"/>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城子镇</w:t>
                  </w:r>
                </w:p>
              </w:tc>
              <w:tc>
                <w:tcPr>
                  <w:tcW w:w="360" w:type="pct"/>
                  <w:vMerge w:val="restart"/>
                  <w:tcMar>
                    <w:top w:w="0" w:type="dxa"/>
                    <w:left w:w="0" w:type="dxa"/>
                    <w:bottom w:w="0" w:type="dxa"/>
                    <w:right w:w="0" w:type="dxa"/>
                  </w:tcMar>
                  <w:vAlign w:val="center"/>
                </w:tcPr>
                <w:p w14:paraId="3303B239">
                  <w:pPr>
                    <w:pStyle w:val="123"/>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一般管控单元</w:t>
                  </w:r>
                </w:p>
              </w:tc>
              <w:tc>
                <w:tcPr>
                  <w:tcW w:w="549" w:type="pct"/>
                  <w:vMerge w:val="restart"/>
                  <w:tcMar>
                    <w:top w:w="0" w:type="dxa"/>
                    <w:left w:w="0" w:type="dxa"/>
                    <w:bottom w:w="0" w:type="dxa"/>
                    <w:right w:w="0" w:type="dxa"/>
                  </w:tcMar>
                  <w:vAlign w:val="center"/>
                </w:tcPr>
                <w:p w14:paraId="08CFC9E0">
                  <w:pPr>
                    <w:pStyle w:val="123"/>
                    <w:spacing w:line="320" w:lineRule="exact"/>
                    <w:rPr>
                      <w:rFonts w:hint="eastAsia" w:cs="Times New Roman"/>
                      <w:color w:val="auto"/>
                      <w:highlight w:val="none"/>
                      <w:lang w:val="en-US" w:eastAsia="zh-CN"/>
                    </w:rPr>
                  </w:pPr>
                  <w:r>
                    <w:rPr>
                      <w:rFonts w:hint="eastAsia" w:cs="Times New Roman"/>
                      <w:color w:val="auto"/>
                      <w:highlight w:val="none"/>
                      <w:lang w:val="en-US" w:eastAsia="zh-CN"/>
                    </w:rPr>
                    <w:t>水环境其他区域</w:t>
                  </w:r>
                </w:p>
                <w:p w14:paraId="2FD8FD9D">
                  <w:pPr>
                    <w:pStyle w:val="123"/>
                    <w:spacing w:line="320" w:lineRule="exact"/>
                    <w:rPr>
                      <w:rFonts w:hint="default" w:ascii="Times New Roman" w:hAnsi="Times New Roman" w:cs="Times New Roman"/>
                      <w:color w:val="auto"/>
                      <w:highlight w:val="none"/>
                    </w:rPr>
                  </w:pPr>
                  <w:r>
                    <w:rPr>
                      <w:rFonts w:hint="eastAsia" w:cs="Times New Roman"/>
                      <w:color w:val="auto"/>
                      <w:highlight w:val="none"/>
                      <w:lang w:val="en-US" w:eastAsia="zh-CN"/>
                    </w:rPr>
                    <w:t>大气</w:t>
                  </w:r>
                  <w:r>
                    <w:rPr>
                      <w:rFonts w:hint="default" w:ascii="Times New Roman" w:hAnsi="Times New Roman" w:cs="Times New Roman"/>
                      <w:color w:val="auto"/>
                      <w:highlight w:val="none"/>
                    </w:rPr>
                    <w:t>一般管控区</w:t>
                  </w:r>
                </w:p>
              </w:tc>
              <w:tc>
                <w:tcPr>
                  <w:tcW w:w="292" w:type="pct"/>
                  <w:tcMar>
                    <w:top w:w="0" w:type="dxa"/>
                    <w:left w:w="0" w:type="dxa"/>
                    <w:bottom w:w="0" w:type="dxa"/>
                    <w:right w:w="0" w:type="dxa"/>
                  </w:tcMar>
                  <w:vAlign w:val="center"/>
                </w:tcPr>
                <w:p w14:paraId="32863FC3">
                  <w:pPr>
                    <w:pStyle w:val="123"/>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空间布局约束</w:t>
                  </w:r>
                </w:p>
              </w:tc>
              <w:tc>
                <w:tcPr>
                  <w:tcW w:w="1354" w:type="pct"/>
                  <w:tcMar>
                    <w:top w:w="0" w:type="dxa"/>
                    <w:left w:w="0" w:type="dxa"/>
                    <w:bottom w:w="0" w:type="dxa"/>
                    <w:right w:w="0" w:type="dxa"/>
                  </w:tcMar>
                  <w:vAlign w:val="center"/>
                </w:tcPr>
                <w:p w14:paraId="6348D981">
                  <w:pPr>
                    <w:pStyle w:val="123"/>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贯彻实施国家、河北省大气污染物排放标准，完善脱硫、脱硝、除尘等污染治理设施，实现达标排放。重点控制新增产能，加强项目论证，优先在相关产业集聚区布局，新增项目应满足环境准入条件，实现集约高效发展。</w:t>
                  </w:r>
                </w:p>
                <w:p w14:paraId="7CCD1682">
                  <w:pPr>
                    <w:pStyle w:val="123"/>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2、在沙化土地范围内从事开发建设活动的，必须事先就该项目可能对当地及相关地区生态产生的影响进行环境影响评价，依法提交环境影响报告；环境影响报告应当包括有关防沙治沙的内容。</w:t>
                  </w:r>
                </w:p>
              </w:tc>
              <w:tc>
                <w:tcPr>
                  <w:tcW w:w="1254" w:type="pct"/>
                  <w:tcMar>
                    <w:top w:w="0" w:type="dxa"/>
                    <w:left w:w="0" w:type="dxa"/>
                    <w:bottom w:w="0" w:type="dxa"/>
                    <w:right w:w="0" w:type="dxa"/>
                  </w:tcMar>
                  <w:vAlign w:val="center"/>
                </w:tcPr>
                <w:p w14:paraId="62E5619A">
                  <w:pPr>
                    <w:pStyle w:val="123"/>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本项目为输电线路工程，根据《产业结构调整指导目录（2024年本）》，本项目属于允许类。对照《市场准入负面清单（2022年版)》，本项目不属于禁止类。对照《康保县等坝上六县国家重点生态功能区产业准入负面清单（试行））》（冀发改规划[2017]248号）中围场县国家重点生态功能区产业准入负面清单，本项目不属于限制类和禁止类，本项目不涉及总量控制指标，电磁、噪声均达标排放。</w:t>
                  </w:r>
                </w:p>
                <w:p w14:paraId="14DE2BD6">
                  <w:pPr>
                    <w:pStyle w:val="123"/>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2.报告中对沙化土地提出防沙治沙措施，减少土地沙化。</w:t>
                  </w:r>
                </w:p>
              </w:tc>
              <w:tc>
                <w:tcPr>
                  <w:tcW w:w="155" w:type="pct"/>
                  <w:tcMar>
                    <w:top w:w="0" w:type="dxa"/>
                    <w:left w:w="0" w:type="dxa"/>
                    <w:bottom w:w="0" w:type="dxa"/>
                    <w:right w:w="0" w:type="dxa"/>
                  </w:tcMar>
                  <w:vAlign w:val="center"/>
                </w:tcPr>
                <w:p w14:paraId="2A4470E2">
                  <w:pPr>
                    <w:pStyle w:val="123"/>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符合</w:t>
                  </w:r>
                </w:p>
              </w:tc>
            </w:tr>
            <w:tr w14:paraId="07F74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continue"/>
                  <w:tcMar>
                    <w:top w:w="0" w:type="dxa"/>
                    <w:left w:w="0" w:type="dxa"/>
                    <w:bottom w:w="0" w:type="dxa"/>
                    <w:right w:w="0" w:type="dxa"/>
                  </w:tcMar>
                  <w:vAlign w:val="center"/>
                </w:tcPr>
                <w:p w14:paraId="2DC87C5E">
                  <w:pPr>
                    <w:pStyle w:val="123"/>
                    <w:spacing w:line="320" w:lineRule="exact"/>
                    <w:rPr>
                      <w:rFonts w:hint="default" w:ascii="Times New Roman" w:hAnsi="Times New Roman" w:cs="Times New Roman"/>
                      <w:color w:val="auto"/>
                      <w:highlight w:val="none"/>
                    </w:rPr>
                  </w:pPr>
                </w:p>
              </w:tc>
              <w:tc>
                <w:tcPr>
                  <w:tcW w:w="467" w:type="pct"/>
                  <w:vMerge w:val="continue"/>
                  <w:tcMar>
                    <w:top w:w="0" w:type="dxa"/>
                    <w:left w:w="0" w:type="dxa"/>
                    <w:bottom w:w="0" w:type="dxa"/>
                    <w:right w:w="0" w:type="dxa"/>
                  </w:tcMar>
                  <w:vAlign w:val="center"/>
                </w:tcPr>
                <w:p w14:paraId="7F57E2F5">
                  <w:pPr>
                    <w:pStyle w:val="123"/>
                    <w:spacing w:line="320" w:lineRule="exact"/>
                    <w:rPr>
                      <w:rFonts w:hint="default" w:ascii="Times New Roman" w:hAnsi="Times New Roman" w:cs="Times New Roman"/>
                      <w:color w:val="auto"/>
                      <w:highlight w:val="none"/>
                    </w:rPr>
                  </w:pPr>
                </w:p>
              </w:tc>
              <w:tc>
                <w:tcPr>
                  <w:tcW w:w="360" w:type="pct"/>
                  <w:vMerge w:val="continue"/>
                  <w:tcMar>
                    <w:top w:w="0" w:type="dxa"/>
                    <w:left w:w="0" w:type="dxa"/>
                    <w:bottom w:w="0" w:type="dxa"/>
                    <w:right w:w="0" w:type="dxa"/>
                  </w:tcMar>
                  <w:vAlign w:val="center"/>
                </w:tcPr>
                <w:p w14:paraId="69AAD5C6">
                  <w:pPr>
                    <w:pStyle w:val="123"/>
                    <w:spacing w:line="320" w:lineRule="exact"/>
                    <w:rPr>
                      <w:rFonts w:hint="default" w:ascii="Times New Roman" w:hAnsi="Times New Roman" w:cs="Times New Roman"/>
                      <w:color w:val="auto"/>
                      <w:highlight w:val="none"/>
                    </w:rPr>
                  </w:pPr>
                </w:p>
              </w:tc>
              <w:tc>
                <w:tcPr>
                  <w:tcW w:w="549" w:type="pct"/>
                  <w:vMerge w:val="continue"/>
                  <w:tcMar>
                    <w:top w:w="0" w:type="dxa"/>
                    <w:left w:w="0" w:type="dxa"/>
                    <w:bottom w:w="0" w:type="dxa"/>
                    <w:right w:w="0" w:type="dxa"/>
                  </w:tcMar>
                  <w:vAlign w:val="center"/>
                </w:tcPr>
                <w:p w14:paraId="59D80809">
                  <w:pPr>
                    <w:pStyle w:val="123"/>
                    <w:spacing w:line="320" w:lineRule="exact"/>
                    <w:rPr>
                      <w:rFonts w:hint="default" w:ascii="Times New Roman" w:hAnsi="Times New Roman" w:cs="Times New Roman"/>
                      <w:color w:val="auto"/>
                      <w:highlight w:val="none"/>
                    </w:rPr>
                  </w:pPr>
                </w:p>
              </w:tc>
              <w:tc>
                <w:tcPr>
                  <w:tcW w:w="292" w:type="pct"/>
                  <w:tcMar>
                    <w:top w:w="0" w:type="dxa"/>
                    <w:left w:w="0" w:type="dxa"/>
                    <w:bottom w:w="0" w:type="dxa"/>
                    <w:right w:w="0" w:type="dxa"/>
                  </w:tcMar>
                  <w:vAlign w:val="center"/>
                </w:tcPr>
                <w:p w14:paraId="4FB92BD1">
                  <w:pPr>
                    <w:pStyle w:val="123"/>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污染物排放管控</w:t>
                  </w:r>
                </w:p>
              </w:tc>
              <w:tc>
                <w:tcPr>
                  <w:tcW w:w="1354" w:type="pct"/>
                  <w:tcMar>
                    <w:top w:w="0" w:type="dxa"/>
                    <w:left w:w="0" w:type="dxa"/>
                    <w:bottom w:w="0" w:type="dxa"/>
                    <w:right w:w="0" w:type="dxa"/>
                  </w:tcMar>
                  <w:vAlign w:val="center"/>
                </w:tcPr>
                <w:p w14:paraId="0DD2D602">
                  <w:pPr>
                    <w:pStyle w:val="123"/>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1、水环境一般管控区应注重控制新增产能水环境污染物控制，实施水污染排放项目与污水处理设施同步规划、同步建设，严格控制水环境高风险类项目准入。执行通用型水环境准入管控清单。</w:t>
                  </w:r>
                </w:p>
              </w:tc>
              <w:tc>
                <w:tcPr>
                  <w:tcW w:w="1254" w:type="pct"/>
                  <w:tcMar>
                    <w:top w:w="0" w:type="dxa"/>
                    <w:left w:w="0" w:type="dxa"/>
                    <w:bottom w:w="0" w:type="dxa"/>
                    <w:right w:w="0" w:type="dxa"/>
                  </w:tcMar>
                  <w:vAlign w:val="center"/>
                </w:tcPr>
                <w:p w14:paraId="6C68BF79">
                  <w:pPr>
                    <w:pStyle w:val="123"/>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本项目无废水外排。</w:t>
                  </w:r>
                </w:p>
              </w:tc>
              <w:tc>
                <w:tcPr>
                  <w:tcW w:w="155" w:type="pct"/>
                  <w:tcMar>
                    <w:top w:w="0" w:type="dxa"/>
                    <w:left w:w="0" w:type="dxa"/>
                    <w:bottom w:w="0" w:type="dxa"/>
                    <w:right w:w="0" w:type="dxa"/>
                  </w:tcMar>
                  <w:vAlign w:val="center"/>
                </w:tcPr>
                <w:p w14:paraId="0986805E">
                  <w:pPr>
                    <w:pStyle w:val="123"/>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符合</w:t>
                  </w:r>
                </w:p>
              </w:tc>
            </w:tr>
            <w:tr w14:paraId="1BA54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continue"/>
                  <w:tcMar>
                    <w:top w:w="0" w:type="dxa"/>
                    <w:left w:w="0" w:type="dxa"/>
                    <w:bottom w:w="0" w:type="dxa"/>
                    <w:right w:w="0" w:type="dxa"/>
                  </w:tcMar>
                  <w:vAlign w:val="center"/>
                </w:tcPr>
                <w:p w14:paraId="35C1C5EF">
                  <w:pPr>
                    <w:pStyle w:val="123"/>
                    <w:spacing w:line="320" w:lineRule="exact"/>
                    <w:rPr>
                      <w:rFonts w:hint="default" w:ascii="Times New Roman" w:hAnsi="Times New Roman" w:cs="Times New Roman"/>
                      <w:color w:val="auto"/>
                      <w:highlight w:val="none"/>
                    </w:rPr>
                  </w:pPr>
                </w:p>
              </w:tc>
              <w:tc>
                <w:tcPr>
                  <w:tcW w:w="467" w:type="pct"/>
                  <w:vMerge w:val="continue"/>
                  <w:tcMar>
                    <w:top w:w="0" w:type="dxa"/>
                    <w:left w:w="0" w:type="dxa"/>
                    <w:bottom w:w="0" w:type="dxa"/>
                    <w:right w:w="0" w:type="dxa"/>
                  </w:tcMar>
                  <w:vAlign w:val="center"/>
                </w:tcPr>
                <w:p w14:paraId="65D33A50">
                  <w:pPr>
                    <w:pStyle w:val="123"/>
                    <w:spacing w:line="320" w:lineRule="exact"/>
                    <w:rPr>
                      <w:rFonts w:hint="default" w:ascii="Times New Roman" w:hAnsi="Times New Roman" w:cs="Times New Roman"/>
                      <w:color w:val="auto"/>
                      <w:highlight w:val="none"/>
                    </w:rPr>
                  </w:pPr>
                </w:p>
              </w:tc>
              <w:tc>
                <w:tcPr>
                  <w:tcW w:w="360" w:type="pct"/>
                  <w:vMerge w:val="continue"/>
                  <w:tcMar>
                    <w:top w:w="0" w:type="dxa"/>
                    <w:left w:w="0" w:type="dxa"/>
                    <w:bottom w:w="0" w:type="dxa"/>
                    <w:right w:w="0" w:type="dxa"/>
                  </w:tcMar>
                  <w:vAlign w:val="center"/>
                </w:tcPr>
                <w:p w14:paraId="7370FCC1">
                  <w:pPr>
                    <w:pStyle w:val="123"/>
                    <w:spacing w:line="320" w:lineRule="exact"/>
                    <w:rPr>
                      <w:rFonts w:hint="default" w:ascii="Times New Roman" w:hAnsi="Times New Roman" w:cs="Times New Roman"/>
                      <w:color w:val="auto"/>
                      <w:highlight w:val="none"/>
                    </w:rPr>
                  </w:pPr>
                </w:p>
              </w:tc>
              <w:tc>
                <w:tcPr>
                  <w:tcW w:w="549" w:type="pct"/>
                  <w:vMerge w:val="continue"/>
                  <w:tcMar>
                    <w:top w:w="0" w:type="dxa"/>
                    <w:left w:w="0" w:type="dxa"/>
                    <w:bottom w:w="0" w:type="dxa"/>
                    <w:right w:w="0" w:type="dxa"/>
                  </w:tcMar>
                  <w:vAlign w:val="center"/>
                </w:tcPr>
                <w:p w14:paraId="509D7551">
                  <w:pPr>
                    <w:pStyle w:val="123"/>
                    <w:spacing w:line="320" w:lineRule="exact"/>
                    <w:rPr>
                      <w:rFonts w:hint="default" w:ascii="Times New Roman" w:hAnsi="Times New Roman" w:cs="Times New Roman"/>
                      <w:color w:val="auto"/>
                      <w:highlight w:val="none"/>
                    </w:rPr>
                  </w:pPr>
                </w:p>
              </w:tc>
              <w:tc>
                <w:tcPr>
                  <w:tcW w:w="292" w:type="pct"/>
                  <w:tcMar>
                    <w:top w:w="0" w:type="dxa"/>
                    <w:left w:w="0" w:type="dxa"/>
                    <w:bottom w:w="0" w:type="dxa"/>
                    <w:right w:w="0" w:type="dxa"/>
                  </w:tcMar>
                  <w:vAlign w:val="center"/>
                </w:tcPr>
                <w:p w14:paraId="43AA9258">
                  <w:pPr>
                    <w:pStyle w:val="123"/>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环境风险管控</w:t>
                  </w:r>
                </w:p>
              </w:tc>
              <w:tc>
                <w:tcPr>
                  <w:tcW w:w="1354" w:type="pct"/>
                  <w:tcMar>
                    <w:top w:w="0" w:type="dxa"/>
                    <w:left w:w="0" w:type="dxa"/>
                    <w:bottom w:w="0" w:type="dxa"/>
                    <w:right w:w="0" w:type="dxa"/>
                  </w:tcMar>
                  <w:vAlign w:val="center"/>
                </w:tcPr>
                <w:p w14:paraId="01BD25B8">
                  <w:pPr>
                    <w:pStyle w:val="123"/>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1、矿山企业应当依据国家有关规定编制矿山生态环境保护与恢复治理等方案，严格履行责任义务，边开采、边治理、边恢复；依法依规有序退出的矿山及时进行生态评估并实施生态恢复。</w:t>
                  </w:r>
                </w:p>
                <w:p w14:paraId="505CBEF6">
                  <w:pPr>
                    <w:pStyle w:val="123"/>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2、推进企业建立健全尾矿库全生命周期风险防控和隐患治理机制，落实管控措施，确保尾矿库安全运行、闭库。</w:t>
                  </w:r>
                </w:p>
              </w:tc>
              <w:tc>
                <w:tcPr>
                  <w:tcW w:w="1254" w:type="pct"/>
                  <w:tcMar>
                    <w:top w:w="0" w:type="dxa"/>
                    <w:left w:w="0" w:type="dxa"/>
                    <w:bottom w:w="0" w:type="dxa"/>
                    <w:right w:w="0" w:type="dxa"/>
                  </w:tcMar>
                  <w:vAlign w:val="center"/>
                </w:tcPr>
                <w:p w14:paraId="1116C946">
                  <w:pPr>
                    <w:pStyle w:val="123"/>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不涉及</w:t>
                  </w:r>
                </w:p>
              </w:tc>
              <w:tc>
                <w:tcPr>
                  <w:tcW w:w="155" w:type="pct"/>
                  <w:tcMar>
                    <w:top w:w="0" w:type="dxa"/>
                    <w:left w:w="0" w:type="dxa"/>
                    <w:bottom w:w="0" w:type="dxa"/>
                    <w:right w:w="0" w:type="dxa"/>
                  </w:tcMar>
                  <w:vAlign w:val="center"/>
                </w:tcPr>
                <w:p w14:paraId="32344E1C">
                  <w:pPr>
                    <w:pStyle w:val="123"/>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符合</w:t>
                  </w:r>
                </w:p>
              </w:tc>
            </w:tr>
            <w:tr w14:paraId="3CECF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continue"/>
                  <w:tcMar>
                    <w:top w:w="0" w:type="dxa"/>
                    <w:left w:w="0" w:type="dxa"/>
                    <w:bottom w:w="0" w:type="dxa"/>
                    <w:right w:w="0" w:type="dxa"/>
                  </w:tcMar>
                  <w:vAlign w:val="center"/>
                </w:tcPr>
                <w:p w14:paraId="2F8EC2B7">
                  <w:pPr>
                    <w:pStyle w:val="123"/>
                    <w:spacing w:line="320" w:lineRule="exact"/>
                    <w:rPr>
                      <w:rFonts w:hint="default" w:ascii="Times New Roman" w:hAnsi="Times New Roman" w:cs="Times New Roman"/>
                      <w:color w:val="auto"/>
                      <w:highlight w:val="none"/>
                    </w:rPr>
                  </w:pPr>
                </w:p>
              </w:tc>
              <w:tc>
                <w:tcPr>
                  <w:tcW w:w="467" w:type="pct"/>
                  <w:vMerge w:val="continue"/>
                  <w:tcMar>
                    <w:top w:w="0" w:type="dxa"/>
                    <w:left w:w="0" w:type="dxa"/>
                    <w:bottom w:w="0" w:type="dxa"/>
                    <w:right w:w="0" w:type="dxa"/>
                  </w:tcMar>
                  <w:vAlign w:val="center"/>
                </w:tcPr>
                <w:p w14:paraId="12D0BAA1">
                  <w:pPr>
                    <w:pStyle w:val="123"/>
                    <w:spacing w:line="320" w:lineRule="exact"/>
                    <w:rPr>
                      <w:rFonts w:hint="default" w:ascii="Times New Roman" w:hAnsi="Times New Roman" w:cs="Times New Roman"/>
                      <w:color w:val="auto"/>
                      <w:highlight w:val="none"/>
                    </w:rPr>
                  </w:pPr>
                </w:p>
              </w:tc>
              <w:tc>
                <w:tcPr>
                  <w:tcW w:w="360" w:type="pct"/>
                  <w:vMerge w:val="continue"/>
                  <w:tcMar>
                    <w:top w:w="0" w:type="dxa"/>
                    <w:left w:w="0" w:type="dxa"/>
                    <w:bottom w:w="0" w:type="dxa"/>
                    <w:right w:w="0" w:type="dxa"/>
                  </w:tcMar>
                  <w:vAlign w:val="center"/>
                </w:tcPr>
                <w:p w14:paraId="6C94654A">
                  <w:pPr>
                    <w:pStyle w:val="123"/>
                    <w:spacing w:line="320" w:lineRule="exact"/>
                    <w:rPr>
                      <w:rFonts w:hint="default" w:ascii="Times New Roman" w:hAnsi="Times New Roman" w:cs="Times New Roman"/>
                      <w:color w:val="auto"/>
                      <w:highlight w:val="none"/>
                    </w:rPr>
                  </w:pPr>
                </w:p>
              </w:tc>
              <w:tc>
                <w:tcPr>
                  <w:tcW w:w="549" w:type="pct"/>
                  <w:vMerge w:val="continue"/>
                  <w:tcMar>
                    <w:top w:w="0" w:type="dxa"/>
                    <w:left w:w="0" w:type="dxa"/>
                    <w:bottom w:w="0" w:type="dxa"/>
                    <w:right w:w="0" w:type="dxa"/>
                  </w:tcMar>
                  <w:vAlign w:val="center"/>
                </w:tcPr>
                <w:p w14:paraId="13FEA792">
                  <w:pPr>
                    <w:pStyle w:val="123"/>
                    <w:spacing w:line="320" w:lineRule="exact"/>
                    <w:rPr>
                      <w:rFonts w:hint="default" w:ascii="Times New Roman" w:hAnsi="Times New Roman" w:cs="Times New Roman"/>
                      <w:color w:val="auto"/>
                      <w:highlight w:val="none"/>
                    </w:rPr>
                  </w:pPr>
                </w:p>
              </w:tc>
              <w:tc>
                <w:tcPr>
                  <w:tcW w:w="292" w:type="pct"/>
                  <w:tcMar>
                    <w:top w:w="0" w:type="dxa"/>
                    <w:left w:w="0" w:type="dxa"/>
                    <w:bottom w:w="0" w:type="dxa"/>
                    <w:right w:w="0" w:type="dxa"/>
                  </w:tcMar>
                  <w:vAlign w:val="center"/>
                </w:tcPr>
                <w:p w14:paraId="2B6F3DDE">
                  <w:pPr>
                    <w:pStyle w:val="123"/>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资源利用效率</w:t>
                  </w:r>
                </w:p>
              </w:tc>
              <w:tc>
                <w:tcPr>
                  <w:tcW w:w="1354" w:type="pct"/>
                  <w:tcMar>
                    <w:top w:w="0" w:type="dxa"/>
                    <w:left w:w="0" w:type="dxa"/>
                    <w:bottom w:w="0" w:type="dxa"/>
                    <w:right w:w="0" w:type="dxa"/>
                  </w:tcMar>
                  <w:vAlign w:val="center"/>
                </w:tcPr>
                <w:p w14:paraId="65A53F78">
                  <w:pPr>
                    <w:pStyle w:val="123"/>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1、完善城镇污水处理基础设施，加强城市节约用水，加快城镇污水处理厂再生水利用系统建设，稳步提升城区污水处理厂再生水利用率。</w:t>
                  </w:r>
                </w:p>
                <w:p w14:paraId="0F80C5EC">
                  <w:pPr>
                    <w:pStyle w:val="123"/>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2、按照宜乔则宜草则草，乔乔、宜灌则灌、灌草结合的原则，因地制宜开展沙地治理。</w:t>
                  </w:r>
                </w:p>
              </w:tc>
              <w:tc>
                <w:tcPr>
                  <w:tcW w:w="1254" w:type="pct"/>
                  <w:tcMar>
                    <w:top w:w="0" w:type="dxa"/>
                    <w:left w:w="0" w:type="dxa"/>
                    <w:bottom w:w="0" w:type="dxa"/>
                    <w:right w:w="0" w:type="dxa"/>
                  </w:tcMar>
                  <w:vAlign w:val="center"/>
                </w:tcPr>
                <w:p w14:paraId="5A35B4B7">
                  <w:pPr>
                    <w:pStyle w:val="123"/>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本项目不涉及废水外排，本项目临时占地恢复</w:t>
                  </w:r>
                  <w:r>
                    <w:rPr>
                      <w:rFonts w:hint="eastAsia" w:cs="Times New Roman"/>
                      <w:bCs/>
                      <w:color w:val="auto"/>
                      <w:highlight w:val="none"/>
                      <w:lang w:eastAsia="zh-CN"/>
                    </w:rPr>
                    <w:t>按照</w:t>
                  </w:r>
                  <w:r>
                    <w:rPr>
                      <w:rFonts w:hint="default" w:ascii="Times New Roman" w:hAnsi="Times New Roman" w:cs="Times New Roman"/>
                      <w:bCs/>
                      <w:color w:val="auto"/>
                      <w:highlight w:val="none"/>
                    </w:rPr>
                    <w:t>乔、灌、草</w:t>
                  </w:r>
                  <w:r>
                    <w:rPr>
                      <w:rFonts w:hint="eastAsia" w:cs="Times New Roman"/>
                      <w:bCs/>
                      <w:color w:val="auto"/>
                      <w:highlight w:val="none"/>
                      <w:lang w:eastAsia="zh-CN"/>
                    </w:rPr>
                    <w:t>相</w:t>
                  </w:r>
                  <w:r>
                    <w:rPr>
                      <w:rFonts w:hint="default" w:ascii="Times New Roman" w:hAnsi="Times New Roman" w:cs="Times New Roman"/>
                      <w:bCs/>
                      <w:color w:val="auto"/>
                      <w:highlight w:val="none"/>
                    </w:rPr>
                    <w:t>结合的措施进行恢复，临时占地全部恢复原有生态功能。</w:t>
                  </w:r>
                </w:p>
              </w:tc>
              <w:tc>
                <w:tcPr>
                  <w:tcW w:w="155" w:type="pct"/>
                  <w:tcMar>
                    <w:top w:w="0" w:type="dxa"/>
                    <w:left w:w="0" w:type="dxa"/>
                    <w:bottom w:w="0" w:type="dxa"/>
                    <w:right w:w="0" w:type="dxa"/>
                  </w:tcMar>
                  <w:vAlign w:val="center"/>
                </w:tcPr>
                <w:p w14:paraId="5962C358">
                  <w:pPr>
                    <w:pStyle w:val="123"/>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符合</w:t>
                  </w:r>
                </w:p>
              </w:tc>
            </w:tr>
          </w:tbl>
          <w:p w14:paraId="6916F8BC">
            <w:pPr>
              <w:spacing w:before="120" w:beforeLines="50" w:line="36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表1-</w:t>
            </w:r>
            <w:r>
              <w:rPr>
                <w:rFonts w:hint="eastAsia" w:ascii="Times New Roman" w:hAnsi="Times New Roman" w:eastAsia="宋体"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rPr>
              <w:t xml:space="preserve">  生态保护红线内、自然保护地核心保护区外准入清单与原则对照检查表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
              <w:gridCol w:w="4806"/>
              <w:gridCol w:w="2248"/>
              <w:gridCol w:w="514"/>
            </w:tblGrid>
            <w:tr w14:paraId="5B0B1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81" w:type="pct"/>
                  <w:tcBorders>
                    <w:tl2br w:val="nil"/>
                    <w:tr2bl w:val="nil"/>
                  </w:tcBorders>
                  <w:vAlign w:val="center"/>
                </w:tcPr>
                <w:p w14:paraId="315142ED">
                  <w:pPr>
                    <w:pStyle w:val="120"/>
                    <w:keepLines/>
                    <w:spacing w:line="360" w:lineRule="exact"/>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Cs w:val="21"/>
                      <w:highlight w:val="none"/>
                    </w:rPr>
                    <w:t>类别</w:t>
                  </w:r>
                </w:p>
              </w:tc>
              <w:tc>
                <w:tcPr>
                  <w:tcW w:w="2996" w:type="pct"/>
                  <w:tcBorders>
                    <w:tl2br w:val="nil"/>
                    <w:tr2bl w:val="nil"/>
                  </w:tcBorders>
                  <w:vAlign w:val="center"/>
                </w:tcPr>
                <w:p w14:paraId="158156E4">
                  <w:pPr>
                    <w:pStyle w:val="120"/>
                    <w:keepLines/>
                    <w:spacing w:line="360" w:lineRule="exact"/>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Cs w:val="21"/>
                      <w:highlight w:val="none"/>
                    </w:rPr>
                    <w:t>生态保护红线内、自然保护地核心保护区外</w:t>
                  </w:r>
                </w:p>
              </w:tc>
              <w:tc>
                <w:tcPr>
                  <w:tcW w:w="1401" w:type="pct"/>
                  <w:tcBorders>
                    <w:tl2br w:val="nil"/>
                    <w:tr2bl w:val="nil"/>
                  </w:tcBorders>
                  <w:vAlign w:val="center"/>
                </w:tcPr>
                <w:p w14:paraId="1DEF25A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项目情况</w:t>
                  </w:r>
                </w:p>
              </w:tc>
              <w:tc>
                <w:tcPr>
                  <w:tcW w:w="320" w:type="pct"/>
                  <w:tcBorders>
                    <w:tl2br w:val="nil"/>
                    <w:tr2bl w:val="nil"/>
                  </w:tcBorders>
                  <w:vAlign w:val="center"/>
                </w:tcPr>
                <w:p w14:paraId="7A84FDD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符合性</w:t>
                  </w:r>
                </w:p>
              </w:tc>
            </w:tr>
            <w:tr w14:paraId="7DAF6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81" w:type="pct"/>
                  <w:tcBorders>
                    <w:tl2br w:val="nil"/>
                    <w:tr2bl w:val="nil"/>
                  </w:tcBorders>
                  <w:vAlign w:val="center"/>
                </w:tcPr>
                <w:p w14:paraId="5282E29E">
                  <w:pPr>
                    <w:pStyle w:val="120"/>
                    <w:keepLines/>
                    <w:autoSpaceDE/>
                    <w:autoSpaceDN/>
                    <w:spacing w:line="240" w:lineRule="auto"/>
                    <w:rPr>
                      <w:rFonts w:hint="default" w:ascii="Times New Roman" w:hAnsi="Times New Roman" w:eastAsia="宋体" w:cs="Times New Roman"/>
                      <w:color w:val="auto"/>
                      <w:kern w:val="2"/>
                      <w:sz w:val="21"/>
                      <w:szCs w:val="21"/>
                      <w:highlight w:val="none"/>
                      <w:lang w:val="en-US"/>
                    </w:rPr>
                  </w:pPr>
                  <w:r>
                    <w:rPr>
                      <w:rFonts w:hint="default" w:ascii="Times New Roman" w:hAnsi="Times New Roman" w:eastAsia="宋体" w:cs="Times New Roman"/>
                      <w:color w:val="auto"/>
                      <w:kern w:val="2"/>
                      <w:sz w:val="21"/>
                      <w:szCs w:val="21"/>
                      <w:highlight w:val="none"/>
                      <w:lang w:val="en-US"/>
                    </w:rPr>
                    <w:t>正面清单</w:t>
                  </w:r>
                </w:p>
              </w:tc>
              <w:tc>
                <w:tcPr>
                  <w:tcW w:w="2996" w:type="pct"/>
                  <w:tcBorders>
                    <w:tl2br w:val="nil"/>
                    <w:tr2bl w:val="nil"/>
                  </w:tcBorders>
                  <w:vAlign w:val="center"/>
                </w:tcPr>
                <w:p w14:paraId="023CB53F">
                  <w:pPr>
                    <w:widowControl/>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生态保护红线内自然保护区、风景名胜区、饮用水水源保护区等区域，依照法律法规执行。</w:t>
                  </w:r>
                </w:p>
                <w:p w14:paraId="6E01F04D">
                  <w:pPr>
                    <w:widowControl/>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规范管控对生态功能不造成破坏的有限人为活动，禁止开发性、生产性建设活动，在符合法律法规的前提下，仅允许以下对生态功能不造成破坏的有限人为活动。</w:t>
                  </w:r>
                </w:p>
                <w:p w14:paraId="5B6C9F94">
                  <w:pPr>
                    <w:widowControl/>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（1）管护巡护、保护执法、科学研究、调查监测、测绘导航、防灾减灾救灾、军事国防、疫情防控等活动及相关的必要设施修筑。</w:t>
                  </w:r>
                </w:p>
                <w:p w14:paraId="7132C701">
                  <w:pPr>
                    <w:widowControl/>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2）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14:paraId="44097430">
                  <w:pPr>
                    <w:widowControl/>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（3）经依法批准的考古调查发掘、古生物化石调查发掘、标本采集和文物保护活动。</w:t>
                  </w:r>
                </w:p>
                <w:p w14:paraId="39BB34F9">
                  <w:pPr>
                    <w:widowControl/>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（4）按规定对人工商品林进行抚育采伐，或以提升森林质量、优化栖息地、建设生物防火隔离带等为目的的树种更新，依法开展的竹林采伐经营。</w:t>
                  </w:r>
                </w:p>
                <w:p w14:paraId="5DEBFEA2">
                  <w:pPr>
                    <w:widowControl/>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（5）不破坏生态功能的适度参观旅游、科普宣教及符合相关规划的配套性服务设施和相关的必要公共设施建设及维护。</w:t>
                  </w:r>
                </w:p>
                <w:p w14:paraId="41948650">
                  <w:pPr>
                    <w:widowControl/>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（6）必须且无法避让、符合县级以上国土空间规划的线性基础设施、通讯和防洪、供水设施建设和船舶航行、航道疏浚清淤等活动；已有的合法水利、交通运输等设施运行维护改造。</w:t>
                  </w:r>
                </w:p>
                <w:p w14:paraId="79F16F65">
                  <w:pPr>
                    <w:widowControl/>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 xml:space="preserve">（7）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 </w:t>
                  </w:r>
                </w:p>
                <w:p w14:paraId="3E4B68B5">
                  <w:pPr>
                    <w:widowControl/>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 xml:space="preserve">展勘查活动，可办理探矿权登记，因国家战略需要开展开采活动的，可办理采矿权登记。上述勘查开采活动，应落实减缓生态环境影响措施，严格执行绿色勘查、开采及矿山环境生态修复相关要求。 </w:t>
                  </w:r>
                </w:p>
                <w:p w14:paraId="6DFCBAB2">
                  <w:pPr>
                    <w:widowControl/>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（8）依据县级以上国土空间规划和生态保护修复专项规划开展的生态修复。</w:t>
                  </w:r>
                </w:p>
                <w:p w14:paraId="139341CB">
                  <w:pPr>
                    <w:widowControl/>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（9）根据我国相关法律法规和与邻国签署的国界管理制度协定（条约）开展的边界边境通道清理以及界务工程的修建、维护和拆除工作。</w:t>
                  </w:r>
                </w:p>
                <w:p w14:paraId="134FB76E">
                  <w:pPr>
                    <w:widowControl/>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（10）法律法规规定允许的其他人为活动。</w:t>
                  </w:r>
                </w:p>
              </w:tc>
              <w:tc>
                <w:tcPr>
                  <w:tcW w:w="1401" w:type="pct"/>
                  <w:tcBorders>
                    <w:tl2br w:val="nil"/>
                    <w:tr2bl w:val="nil"/>
                  </w:tcBorders>
                  <w:vAlign w:val="center"/>
                </w:tcPr>
                <w:p w14:paraId="743CB0A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w:t>
                  </w:r>
                  <w:r>
                    <w:rPr>
                      <w:rFonts w:hint="eastAsia" w:ascii="Times New Roman" w:hAnsi="Times New Roman" w:eastAsia="宋体" w:cs="Times New Roman"/>
                      <w:color w:val="auto"/>
                      <w:sz w:val="21"/>
                      <w:szCs w:val="21"/>
                      <w:highlight w:val="none"/>
                      <w:lang w:val="en-US" w:eastAsia="zh-CN"/>
                    </w:rPr>
                    <w:t>为</w:t>
                  </w:r>
                  <w:r>
                    <w:rPr>
                      <w:rFonts w:hint="default" w:ascii="Times New Roman" w:hAnsi="Times New Roman" w:eastAsia="宋体" w:cs="Times New Roman"/>
                      <w:color w:val="auto"/>
                      <w:sz w:val="21"/>
                      <w:szCs w:val="21"/>
                      <w:highlight w:val="none"/>
                    </w:rPr>
                    <w:t>输电线路，部分线路</w:t>
                  </w:r>
                  <w:r>
                    <w:rPr>
                      <w:rFonts w:hint="eastAsia" w:ascii="Times New Roman" w:hAnsi="Times New Roman" w:eastAsia="宋体" w:cs="Times New Roman"/>
                      <w:color w:val="auto"/>
                      <w:sz w:val="21"/>
                      <w:szCs w:val="21"/>
                      <w:highlight w:val="none"/>
                      <w:lang w:val="en-US" w:eastAsia="zh-CN"/>
                    </w:rPr>
                    <w:t>塔基</w:t>
                  </w:r>
                  <w:r>
                    <w:rPr>
                      <w:rFonts w:hint="default" w:ascii="Times New Roman" w:hAnsi="Times New Roman" w:eastAsia="宋体" w:cs="Times New Roman"/>
                      <w:color w:val="auto"/>
                      <w:sz w:val="21"/>
                      <w:szCs w:val="21"/>
                      <w:highlight w:val="none"/>
                    </w:rPr>
                    <w:t>占用河北滦河上游国家级自然保护区实验区和生态保护红线，属于</w:t>
                  </w:r>
                  <w:r>
                    <w:rPr>
                      <w:rFonts w:hint="default" w:ascii="Times New Roman" w:hAnsi="Times New Roman" w:eastAsia="宋体" w:cs="Times New Roman"/>
                      <w:color w:val="auto"/>
                      <w:kern w:val="2"/>
                      <w:sz w:val="21"/>
                      <w:szCs w:val="21"/>
                      <w:highlight w:val="none"/>
                    </w:rPr>
                    <w:t>必须且无法避让，符合县级以上国土空间规划的线性基础设施建设（输电点状附属设施），</w:t>
                  </w:r>
                  <w:r>
                    <w:rPr>
                      <w:rFonts w:hint="default" w:ascii="Times New Roman" w:hAnsi="Times New Roman" w:eastAsia="宋体" w:cs="Times New Roman"/>
                      <w:color w:val="auto"/>
                      <w:sz w:val="21"/>
                      <w:szCs w:val="21"/>
                      <w:highlight w:val="none"/>
                    </w:rPr>
                    <w:t>国家林业和草原局出具了《关于同意华能围场“风光储氢热一体化”项目（光伏200MW）项目220kV送出线路工程穿越河北滦河上游国家级自然保护区实验区的行政许可决定》（林保许准（冀）[2024]10号），围场满族蒙古族自治县自然资源和规划局出具《华能围场“风光储氢热一体化”项目（光伏200MW）项目220kV送出线路工程不可避让生态保护红线报告》的审查意见和关于华能围场“风光储氢热一体化”项目（光伏200MW）项目220kV送出线路工程路径的说明：该工程</w:t>
                  </w:r>
                  <w:r>
                    <w:rPr>
                      <w:rFonts w:hint="eastAsia" w:ascii="Times New Roman" w:hAnsi="Times New Roman" w:eastAsia="宋体" w:cs="Times New Roman"/>
                      <w:color w:val="auto"/>
                      <w:sz w:val="21"/>
                      <w:szCs w:val="21"/>
                      <w:highlight w:val="none"/>
                      <w:lang w:eastAsia="zh-CN"/>
                    </w:rPr>
                    <w:t>已纳入县国土空间总体规划，</w:t>
                  </w:r>
                  <w:r>
                    <w:rPr>
                      <w:rFonts w:hint="default" w:ascii="Times New Roman" w:hAnsi="Times New Roman" w:eastAsia="宋体" w:cs="Times New Roman"/>
                      <w:color w:val="auto"/>
                      <w:sz w:val="21"/>
                      <w:szCs w:val="21"/>
                      <w:highlight w:val="none"/>
                    </w:rPr>
                    <w:t>部分</w:t>
                  </w:r>
                  <w:r>
                    <w:rPr>
                      <w:rFonts w:hint="eastAsia" w:ascii="Times New Roman" w:hAnsi="Times New Roman" w:eastAsia="宋体" w:cs="Times New Roman"/>
                      <w:color w:val="auto"/>
                      <w:sz w:val="21"/>
                      <w:szCs w:val="21"/>
                      <w:highlight w:val="none"/>
                      <w:lang w:eastAsia="zh-CN"/>
                    </w:rPr>
                    <w:t>线路</w:t>
                  </w:r>
                  <w:r>
                    <w:rPr>
                      <w:rFonts w:hint="default" w:ascii="Times New Roman" w:hAnsi="Times New Roman" w:eastAsia="宋体" w:cs="Times New Roman"/>
                      <w:color w:val="auto"/>
                      <w:sz w:val="21"/>
                      <w:szCs w:val="21"/>
                      <w:highlight w:val="none"/>
                    </w:rPr>
                    <w:t>涉及</w:t>
                  </w:r>
                  <w:r>
                    <w:rPr>
                      <w:rFonts w:hint="eastAsia" w:ascii="Times New Roman" w:hAnsi="Times New Roman" w:eastAsia="宋体" w:cs="Times New Roman"/>
                      <w:color w:val="auto"/>
                      <w:sz w:val="21"/>
                      <w:szCs w:val="21"/>
                      <w:highlight w:val="none"/>
                      <w:lang w:eastAsia="zh-CN"/>
                    </w:rPr>
                    <w:t>穿越生态保护</w:t>
                  </w:r>
                  <w:r>
                    <w:rPr>
                      <w:rFonts w:hint="default" w:ascii="Times New Roman" w:hAnsi="Times New Roman" w:eastAsia="宋体" w:cs="Times New Roman"/>
                      <w:color w:val="auto"/>
                      <w:sz w:val="21"/>
                      <w:szCs w:val="21"/>
                      <w:highlight w:val="none"/>
                    </w:rPr>
                    <w:t>红线，</w:t>
                  </w:r>
                  <w:r>
                    <w:rPr>
                      <w:rFonts w:hint="eastAsia" w:ascii="Times New Roman" w:hAnsi="Times New Roman" w:eastAsia="宋体" w:cs="Times New Roman"/>
                      <w:color w:val="auto"/>
                      <w:sz w:val="21"/>
                      <w:szCs w:val="21"/>
                      <w:highlight w:val="none"/>
                      <w:lang w:eastAsia="zh-CN"/>
                    </w:rPr>
                    <w:t>编制了不可避让论证报告并通过</w:t>
                  </w:r>
                  <w:r>
                    <w:rPr>
                      <w:rFonts w:hint="default" w:ascii="Times New Roman" w:hAnsi="Times New Roman" w:eastAsia="宋体" w:cs="Times New Roman"/>
                      <w:color w:val="auto"/>
                      <w:sz w:val="21"/>
                      <w:szCs w:val="21"/>
                      <w:highlight w:val="none"/>
                    </w:rPr>
                    <w:t>专家论证，原则同意该线路</w:t>
                  </w:r>
                  <w:r>
                    <w:rPr>
                      <w:rFonts w:hint="eastAsia" w:ascii="Times New Roman" w:hAnsi="Times New Roman" w:eastAsia="宋体" w:cs="Times New Roman"/>
                      <w:color w:val="auto"/>
                      <w:sz w:val="21"/>
                      <w:szCs w:val="21"/>
                      <w:highlight w:val="none"/>
                      <w:lang w:eastAsia="zh-CN"/>
                    </w:rPr>
                    <w:t>预</w:t>
                  </w:r>
                  <w:r>
                    <w:rPr>
                      <w:rFonts w:hint="default" w:ascii="Times New Roman" w:hAnsi="Times New Roman" w:eastAsia="宋体" w:cs="Times New Roman"/>
                      <w:color w:val="auto"/>
                      <w:sz w:val="21"/>
                      <w:szCs w:val="21"/>
                      <w:highlight w:val="none"/>
                    </w:rPr>
                    <w:t>选址。</w:t>
                  </w:r>
                </w:p>
              </w:tc>
              <w:tc>
                <w:tcPr>
                  <w:tcW w:w="320" w:type="pct"/>
                  <w:tcBorders>
                    <w:tl2br w:val="nil"/>
                    <w:tr2bl w:val="nil"/>
                  </w:tcBorders>
                  <w:vAlign w:val="center"/>
                </w:tcPr>
                <w:p w14:paraId="5751F1A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14:paraId="4C94F07D">
            <w:pPr>
              <w:spacing w:before="120" w:beforeLines="50" w:line="36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表1-</w:t>
            </w:r>
            <w:r>
              <w:rPr>
                <w:rFonts w:hint="eastAsia" w:ascii="Times New Roman" w:hAnsi="Times New Roman" w:eastAsia="宋体"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rPr>
              <w:t xml:space="preserve">  自然保护地管控要求对照检查表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451"/>
              <w:gridCol w:w="340"/>
              <w:gridCol w:w="3486"/>
              <w:gridCol w:w="2874"/>
              <w:gridCol w:w="413"/>
            </w:tblGrid>
            <w:tr w14:paraId="2FD04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84" w:type="pct"/>
                  <w:tcBorders>
                    <w:tl2br w:val="nil"/>
                    <w:tr2bl w:val="nil"/>
                  </w:tcBorders>
                  <w:vAlign w:val="center"/>
                </w:tcPr>
                <w:p w14:paraId="08DAC1A8">
                  <w:pPr>
                    <w:pStyle w:val="120"/>
                    <w:keepNext w:val="0"/>
                    <w:keepLines/>
                    <w:pageBreakBefore w:val="0"/>
                    <w:widowControl w:val="0"/>
                    <w:kinsoku/>
                    <w:wordWrap/>
                    <w:overflowPunct/>
                    <w:topLinePunct w:val="0"/>
                    <w:autoSpaceDE w:val="0"/>
                    <w:autoSpaceDN w:val="0"/>
                    <w:bidi w:val="0"/>
                    <w:spacing w:line="240" w:lineRule="auto"/>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要素属性</w:t>
                  </w:r>
                </w:p>
              </w:tc>
              <w:tc>
                <w:tcPr>
                  <w:tcW w:w="281" w:type="pct"/>
                  <w:tcBorders>
                    <w:tl2br w:val="nil"/>
                    <w:tr2bl w:val="nil"/>
                  </w:tcBorders>
                  <w:vAlign w:val="center"/>
                </w:tcPr>
                <w:p w14:paraId="4B440021">
                  <w:pPr>
                    <w:pStyle w:val="120"/>
                    <w:keepNext w:val="0"/>
                    <w:keepLines/>
                    <w:pageBreakBefore w:val="0"/>
                    <w:widowControl w:val="0"/>
                    <w:kinsoku/>
                    <w:wordWrap/>
                    <w:overflowPunct/>
                    <w:topLinePunct w:val="0"/>
                    <w:autoSpaceDE w:val="0"/>
                    <w:autoSpaceDN w:val="0"/>
                    <w:bidi w:val="0"/>
                    <w:spacing w:line="240" w:lineRule="auto"/>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管理维度</w:t>
                  </w:r>
                </w:p>
              </w:tc>
              <w:tc>
                <w:tcPr>
                  <w:tcW w:w="212" w:type="pct"/>
                  <w:tcBorders>
                    <w:tl2br w:val="nil"/>
                    <w:tr2bl w:val="nil"/>
                  </w:tcBorders>
                  <w:vAlign w:val="center"/>
                </w:tcPr>
                <w:p w14:paraId="0AC5D160">
                  <w:pPr>
                    <w:keepNext w:val="0"/>
                    <w:pageBreakBefore w:val="0"/>
                    <w:widowControl w:val="0"/>
                    <w:kinsoku/>
                    <w:wordWrap/>
                    <w:overflowPunct/>
                    <w:topLinePunct w:val="0"/>
                    <w:autoSpaceDE w:val="0"/>
                    <w:autoSpaceDN w:val="0"/>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类别</w:t>
                  </w:r>
                </w:p>
              </w:tc>
              <w:tc>
                <w:tcPr>
                  <w:tcW w:w="2172" w:type="pct"/>
                  <w:tcBorders>
                    <w:tl2br w:val="nil"/>
                    <w:tr2bl w:val="nil"/>
                  </w:tcBorders>
                  <w:vAlign w:val="center"/>
                </w:tcPr>
                <w:p w14:paraId="61FE0C1E">
                  <w:pPr>
                    <w:keepNext w:val="0"/>
                    <w:pageBreakBefore w:val="0"/>
                    <w:widowControl w:val="0"/>
                    <w:kinsoku/>
                    <w:wordWrap/>
                    <w:overflowPunct/>
                    <w:topLinePunct w:val="0"/>
                    <w:autoSpaceDE w:val="0"/>
                    <w:autoSpaceDN w:val="0"/>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管控要求</w:t>
                  </w:r>
                </w:p>
              </w:tc>
              <w:tc>
                <w:tcPr>
                  <w:tcW w:w="1791" w:type="pct"/>
                  <w:tcBorders>
                    <w:tl2br w:val="nil"/>
                    <w:tr2bl w:val="nil"/>
                  </w:tcBorders>
                  <w:vAlign w:val="center"/>
                </w:tcPr>
                <w:p w14:paraId="6A23B63C">
                  <w:pPr>
                    <w:keepNext w:val="0"/>
                    <w:pageBreakBefore w:val="0"/>
                    <w:widowControl w:val="0"/>
                    <w:kinsoku/>
                    <w:wordWrap/>
                    <w:overflowPunct/>
                    <w:topLinePunct w:val="0"/>
                    <w:autoSpaceDE w:val="0"/>
                    <w:autoSpaceDN w:val="0"/>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项目情况</w:t>
                  </w:r>
                </w:p>
              </w:tc>
              <w:tc>
                <w:tcPr>
                  <w:tcW w:w="257" w:type="pct"/>
                  <w:tcBorders>
                    <w:tl2br w:val="nil"/>
                    <w:tr2bl w:val="nil"/>
                  </w:tcBorders>
                  <w:vAlign w:val="center"/>
                </w:tcPr>
                <w:p w14:paraId="771305BE">
                  <w:pPr>
                    <w:keepNext w:val="0"/>
                    <w:pageBreakBefore w:val="0"/>
                    <w:widowControl w:val="0"/>
                    <w:kinsoku/>
                    <w:wordWrap/>
                    <w:overflowPunct/>
                    <w:topLinePunct w:val="0"/>
                    <w:autoSpaceDE w:val="0"/>
                    <w:autoSpaceDN w:val="0"/>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符合性</w:t>
                  </w:r>
                </w:p>
              </w:tc>
            </w:tr>
            <w:tr w14:paraId="16301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84" w:type="pct"/>
                  <w:tcBorders>
                    <w:tl2br w:val="nil"/>
                    <w:tr2bl w:val="nil"/>
                  </w:tcBorders>
                  <w:vAlign w:val="center"/>
                </w:tcPr>
                <w:p w14:paraId="63D0AF6C">
                  <w:pPr>
                    <w:pStyle w:val="120"/>
                    <w:keepLines/>
                    <w:autoSpaceDE/>
                    <w:autoSpaceDN/>
                    <w:spacing w:line="240" w:lineRule="auto"/>
                    <w:rPr>
                      <w:rFonts w:hint="default" w:ascii="Times New Roman" w:hAnsi="Times New Roman" w:eastAsia="宋体" w:cs="Times New Roman"/>
                      <w:color w:val="auto"/>
                      <w:kern w:val="2"/>
                      <w:sz w:val="21"/>
                      <w:szCs w:val="21"/>
                      <w:highlight w:val="none"/>
                      <w:lang w:val="en-US"/>
                    </w:rPr>
                  </w:pPr>
                  <w:r>
                    <w:rPr>
                      <w:rFonts w:hint="default" w:ascii="Times New Roman" w:hAnsi="Times New Roman" w:eastAsia="宋体" w:cs="Times New Roman"/>
                      <w:color w:val="auto"/>
                      <w:kern w:val="2"/>
                      <w:sz w:val="21"/>
                      <w:szCs w:val="21"/>
                      <w:highlight w:val="none"/>
                      <w:lang w:val="en-US"/>
                    </w:rPr>
                    <w:t>自然保护地</w:t>
                  </w:r>
                </w:p>
              </w:tc>
              <w:tc>
                <w:tcPr>
                  <w:tcW w:w="281" w:type="pct"/>
                  <w:tcBorders>
                    <w:tl2br w:val="nil"/>
                    <w:tr2bl w:val="nil"/>
                  </w:tcBorders>
                  <w:vAlign w:val="center"/>
                </w:tcPr>
                <w:p w14:paraId="57E69B40">
                  <w:pPr>
                    <w:widowControl/>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空间约束布局</w:t>
                  </w:r>
                </w:p>
              </w:tc>
              <w:tc>
                <w:tcPr>
                  <w:tcW w:w="212" w:type="pct"/>
                  <w:tcBorders>
                    <w:tl2br w:val="nil"/>
                    <w:tr2bl w:val="nil"/>
                  </w:tcBorders>
                  <w:vAlign w:val="center"/>
                </w:tcPr>
                <w:p w14:paraId="44DEB7F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一般管控区</w:t>
                  </w:r>
                </w:p>
              </w:tc>
              <w:tc>
                <w:tcPr>
                  <w:tcW w:w="2172" w:type="pct"/>
                  <w:tcBorders>
                    <w:tl2br w:val="nil"/>
                    <w:tr2bl w:val="nil"/>
                  </w:tcBorders>
                  <w:vAlign w:val="center"/>
                </w:tcPr>
                <w:p w14:paraId="2F4591FF">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除满足国家特殊战略需要的有关活动外，原则上禁止开发性、生产性建设活动。仅允许以下对生态功能不造成破坏的有限人为活动：</w:t>
                  </w:r>
                </w:p>
                <w:p w14:paraId="1AFEADBE">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1.核心保护区允许开展的活动。</w:t>
                  </w:r>
                </w:p>
                <w:p w14:paraId="375C1E27">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2.零星的原住居民在不扩大现有建设用地和耕地规模前提下，允许修缮生产生活设施，保留生活必需种植、放牧、捕捞、养殖等活动。</w:t>
                  </w:r>
                </w:p>
                <w:p w14:paraId="63FD869F">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3.自然资源、生态环境监测和执法，包括水文水资源监测和涉水违法事件的查处等，灾害风险监测、灾害防治活动。</w:t>
                  </w:r>
                </w:p>
                <w:p w14:paraId="10227468">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4.经依法批准的非破坏性科学研究观测、标本采集。</w:t>
                  </w:r>
                </w:p>
                <w:p w14:paraId="14D869D0">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5.经依法批准的考古调查发掘和文物保护活动。</w:t>
                  </w:r>
                </w:p>
                <w:p w14:paraId="4D601499">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6.适度的参观旅游及相关的必要公共设施建设。</w:t>
                  </w:r>
                </w:p>
                <w:p w14:paraId="7A0308B8">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7.必须且无法避让、符合县级以上国土空间规划的线性基础设施建设、防洪和供水设施建设与运行维护；已有的合法水利、交通运输等设施运行和维护。</w:t>
                  </w:r>
                </w:p>
                <w:p w14:paraId="6172848F">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战略性矿产资源基础地质调查和矿产远景调查等公益性工作；已依法设立的油气采矿权在不扩大生产区域范围，以及矿泉水、地热采矿权在不扩大生产规模、不新增生产设施的条件下，继续开采活动；其他矿业权停止勘查开采活动。</w:t>
                  </w:r>
                </w:p>
                <w:p w14:paraId="01545CC3">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9.确实难以避让的军事设施建设项目及重大军事演训活动。</w:t>
                  </w:r>
                </w:p>
              </w:tc>
              <w:tc>
                <w:tcPr>
                  <w:tcW w:w="1791" w:type="pct"/>
                  <w:tcBorders>
                    <w:tl2br w:val="nil"/>
                    <w:tr2bl w:val="nil"/>
                  </w:tcBorders>
                  <w:vAlign w:val="center"/>
                </w:tcPr>
                <w:p w14:paraId="1C774D2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w:t>
                  </w:r>
                  <w:r>
                    <w:rPr>
                      <w:rFonts w:hint="eastAsia" w:ascii="Times New Roman" w:hAnsi="Times New Roman" w:eastAsia="宋体" w:cs="Times New Roman"/>
                      <w:color w:val="auto"/>
                      <w:sz w:val="21"/>
                      <w:szCs w:val="21"/>
                      <w:highlight w:val="none"/>
                      <w:lang w:val="en-US" w:eastAsia="zh-CN"/>
                    </w:rPr>
                    <w:t>为</w:t>
                  </w:r>
                  <w:r>
                    <w:rPr>
                      <w:rFonts w:hint="default" w:ascii="Times New Roman" w:hAnsi="Times New Roman" w:eastAsia="宋体" w:cs="Times New Roman"/>
                      <w:color w:val="auto"/>
                      <w:sz w:val="21"/>
                      <w:szCs w:val="21"/>
                      <w:highlight w:val="none"/>
                    </w:rPr>
                    <w:t>输电线路，部分线路</w:t>
                  </w:r>
                  <w:r>
                    <w:rPr>
                      <w:rFonts w:hint="eastAsia" w:ascii="Times New Roman" w:hAnsi="Times New Roman" w:eastAsia="宋体" w:cs="Times New Roman"/>
                      <w:color w:val="auto"/>
                      <w:sz w:val="21"/>
                      <w:szCs w:val="21"/>
                      <w:highlight w:val="none"/>
                      <w:lang w:val="en-US" w:eastAsia="zh-CN"/>
                    </w:rPr>
                    <w:t>塔基</w:t>
                  </w:r>
                  <w:r>
                    <w:rPr>
                      <w:rFonts w:hint="default" w:ascii="Times New Roman" w:hAnsi="Times New Roman" w:eastAsia="宋体" w:cs="Times New Roman"/>
                      <w:color w:val="auto"/>
                      <w:sz w:val="21"/>
                      <w:szCs w:val="21"/>
                      <w:highlight w:val="none"/>
                    </w:rPr>
                    <w:t>占用河北滦河上游国家级自然保护区实验区和生态保护红线，属于</w:t>
                  </w:r>
                  <w:r>
                    <w:rPr>
                      <w:rFonts w:hint="default" w:ascii="Times New Roman" w:hAnsi="Times New Roman" w:eastAsia="宋体" w:cs="Times New Roman"/>
                      <w:color w:val="auto"/>
                      <w:kern w:val="2"/>
                      <w:sz w:val="21"/>
                      <w:szCs w:val="21"/>
                      <w:highlight w:val="none"/>
                    </w:rPr>
                    <w:t>必须且无法避让，符合县级以上国土空间规划的线性基础设施建设（输电点状附属设施），</w:t>
                  </w:r>
                  <w:r>
                    <w:rPr>
                      <w:rFonts w:hint="default" w:ascii="Times New Roman" w:hAnsi="Times New Roman" w:eastAsia="宋体" w:cs="Times New Roman"/>
                      <w:color w:val="auto"/>
                      <w:sz w:val="21"/>
                      <w:szCs w:val="21"/>
                      <w:highlight w:val="none"/>
                    </w:rPr>
                    <w:t>国家林业和草原局出具了《关于同意华能围场“风光储氢热一体化”项目（光伏200MW）项目220kV送出线路工程穿越河北滦河上游国家级自然保护区实验区的行政许可决定》（林保许准（冀）[2024]10号），围场满族蒙古族自治县自然资源和规划局出具《华能围场“风光储氢热一体化”项目（光伏200MW）项目220kV送出线路工程不可避让生态保护红线报告》的审查意见和关于华能围场“风光储氢热一体化”项目（光伏200MW）项目220kV送出线路工程路径的说明：该工程</w:t>
                  </w:r>
                  <w:r>
                    <w:rPr>
                      <w:rFonts w:hint="eastAsia" w:ascii="Times New Roman" w:hAnsi="Times New Roman" w:eastAsia="宋体" w:cs="Times New Roman"/>
                      <w:color w:val="auto"/>
                      <w:sz w:val="21"/>
                      <w:szCs w:val="21"/>
                      <w:highlight w:val="none"/>
                      <w:lang w:eastAsia="zh-CN"/>
                    </w:rPr>
                    <w:t>已纳入县国土空间总体规划，</w:t>
                  </w:r>
                  <w:r>
                    <w:rPr>
                      <w:rFonts w:hint="default" w:ascii="Times New Roman" w:hAnsi="Times New Roman" w:eastAsia="宋体" w:cs="Times New Roman"/>
                      <w:color w:val="auto"/>
                      <w:sz w:val="21"/>
                      <w:szCs w:val="21"/>
                      <w:highlight w:val="none"/>
                    </w:rPr>
                    <w:t>部分</w:t>
                  </w:r>
                  <w:r>
                    <w:rPr>
                      <w:rFonts w:hint="eastAsia" w:ascii="Times New Roman" w:hAnsi="Times New Roman" w:eastAsia="宋体" w:cs="Times New Roman"/>
                      <w:color w:val="auto"/>
                      <w:sz w:val="21"/>
                      <w:szCs w:val="21"/>
                      <w:highlight w:val="none"/>
                      <w:lang w:eastAsia="zh-CN"/>
                    </w:rPr>
                    <w:t>线路</w:t>
                  </w:r>
                  <w:r>
                    <w:rPr>
                      <w:rFonts w:hint="default" w:ascii="Times New Roman" w:hAnsi="Times New Roman" w:eastAsia="宋体" w:cs="Times New Roman"/>
                      <w:color w:val="auto"/>
                      <w:sz w:val="21"/>
                      <w:szCs w:val="21"/>
                      <w:highlight w:val="none"/>
                    </w:rPr>
                    <w:t>涉及</w:t>
                  </w:r>
                  <w:r>
                    <w:rPr>
                      <w:rFonts w:hint="eastAsia" w:ascii="Times New Roman" w:hAnsi="Times New Roman" w:eastAsia="宋体" w:cs="Times New Roman"/>
                      <w:color w:val="auto"/>
                      <w:sz w:val="21"/>
                      <w:szCs w:val="21"/>
                      <w:highlight w:val="none"/>
                      <w:lang w:eastAsia="zh-CN"/>
                    </w:rPr>
                    <w:t>穿越生态保护</w:t>
                  </w:r>
                  <w:r>
                    <w:rPr>
                      <w:rFonts w:hint="default" w:ascii="Times New Roman" w:hAnsi="Times New Roman" w:eastAsia="宋体" w:cs="Times New Roman"/>
                      <w:color w:val="auto"/>
                      <w:sz w:val="21"/>
                      <w:szCs w:val="21"/>
                      <w:highlight w:val="none"/>
                    </w:rPr>
                    <w:t>红线，</w:t>
                  </w:r>
                  <w:r>
                    <w:rPr>
                      <w:rFonts w:hint="eastAsia" w:ascii="Times New Roman" w:hAnsi="Times New Roman" w:eastAsia="宋体" w:cs="Times New Roman"/>
                      <w:color w:val="auto"/>
                      <w:sz w:val="21"/>
                      <w:szCs w:val="21"/>
                      <w:highlight w:val="none"/>
                      <w:lang w:eastAsia="zh-CN"/>
                    </w:rPr>
                    <w:t>编制了不可避让论证报告并通过</w:t>
                  </w:r>
                  <w:r>
                    <w:rPr>
                      <w:rFonts w:hint="default" w:ascii="Times New Roman" w:hAnsi="Times New Roman" w:eastAsia="宋体" w:cs="Times New Roman"/>
                      <w:color w:val="auto"/>
                      <w:sz w:val="21"/>
                      <w:szCs w:val="21"/>
                      <w:highlight w:val="none"/>
                    </w:rPr>
                    <w:t>专家论证，原则同意该线路</w:t>
                  </w:r>
                  <w:r>
                    <w:rPr>
                      <w:rFonts w:hint="eastAsia" w:ascii="Times New Roman" w:hAnsi="Times New Roman" w:eastAsia="宋体" w:cs="Times New Roman"/>
                      <w:color w:val="auto"/>
                      <w:sz w:val="21"/>
                      <w:szCs w:val="21"/>
                      <w:highlight w:val="none"/>
                      <w:lang w:eastAsia="zh-CN"/>
                    </w:rPr>
                    <w:t>预</w:t>
                  </w:r>
                  <w:r>
                    <w:rPr>
                      <w:rFonts w:hint="default" w:ascii="Times New Roman" w:hAnsi="Times New Roman" w:eastAsia="宋体" w:cs="Times New Roman"/>
                      <w:color w:val="auto"/>
                      <w:sz w:val="21"/>
                      <w:szCs w:val="21"/>
                      <w:highlight w:val="none"/>
                    </w:rPr>
                    <w:t>选址。</w:t>
                  </w:r>
                </w:p>
              </w:tc>
              <w:tc>
                <w:tcPr>
                  <w:tcW w:w="257" w:type="pct"/>
                  <w:tcBorders>
                    <w:tl2br w:val="nil"/>
                    <w:tr2bl w:val="nil"/>
                  </w:tcBorders>
                  <w:vAlign w:val="center"/>
                </w:tcPr>
                <w:p w14:paraId="27D7A05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14:paraId="181C142A">
            <w:pPr>
              <w:spacing w:before="120" w:beforeLines="50" w:line="360" w:lineRule="auto"/>
              <w:jc w:val="center"/>
              <w:rPr>
                <w:rFonts w:hint="default" w:ascii="Times New Roman" w:hAnsi="Times New Roman" w:eastAsia="宋体" w:cs="Times New Roman"/>
                <w:b/>
                <w:bCs/>
                <w:color w:val="auto"/>
                <w:sz w:val="21"/>
                <w:szCs w:val="21"/>
                <w:highlight w:val="none"/>
              </w:rPr>
            </w:pPr>
          </w:p>
          <w:p w14:paraId="4E92CB1E">
            <w:pPr>
              <w:spacing w:before="120" w:beforeLines="50" w:line="36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表1-</w:t>
            </w:r>
            <w:r>
              <w:rPr>
                <w:rFonts w:hint="eastAsia" w:ascii="Times New Roman" w:hAnsi="Times New Roman" w:eastAsia="宋体" w:cs="Times New Roman"/>
                <w:b/>
                <w:bCs/>
                <w:color w:val="auto"/>
                <w:sz w:val="21"/>
                <w:szCs w:val="21"/>
                <w:highlight w:val="none"/>
                <w:lang w:val="en-US" w:eastAsia="zh-CN"/>
              </w:rPr>
              <w:t>7</w:t>
            </w:r>
            <w:r>
              <w:rPr>
                <w:rFonts w:hint="default" w:ascii="Times New Roman" w:hAnsi="Times New Roman" w:eastAsia="宋体" w:cs="Times New Roman"/>
                <w:b/>
                <w:bCs/>
                <w:color w:val="auto"/>
                <w:sz w:val="21"/>
                <w:szCs w:val="21"/>
                <w:highlight w:val="none"/>
              </w:rPr>
              <w:t xml:space="preserve">  一般生态空间准入要求对照检查表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300"/>
              <w:gridCol w:w="3800"/>
              <w:gridCol w:w="2828"/>
              <w:gridCol w:w="435"/>
            </w:tblGrid>
            <w:tr w14:paraId="61B74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10" w:type="pct"/>
                  <w:tcBorders>
                    <w:tl2br w:val="nil"/>
                    <w:tr2bl w:val="nil"/>
                  </w:tcBorders>
                  <w:vAlign w:val="center"/>
                </w:tcPr>
                <w:p w14:paraId="7087240F">
                  <w:pPr>
                    <w:pStyle w:val="120"/>
                    <w:keepNext w:val="0"/>
                    <w:keepLines/>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要素属性</w:t>
                  </w:r>
                </w:p>
              </w:tc>
              <w:tc>
                <w:tcPr>
                  <w:tcW w:w="187" w:type="pct"/>
                  <w:tcBorders>
                    <w:tl2br w:val="nil"/>
                    <w:tr2bl w:val="nil"/>
                  </w:tcBorders>
                  <w:vAlign w:val="center"/>
                </w:tcPr>
                <w:p w14:paraId="0B7F5A0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类别</w:t>
                  </w:r>
                </w:p>
              </w:tc>
              <w:tc>
                <w:tcPr>
                  <w:tcW w:w="2368" w:type="pct"/>
                  <w:tcBorders>
                    <w:tl2br w:val="nil"/>
                    <w:tr2bl w:val="nil"/>
                  </w:tcBorders>
                  <w:vAlign w:val="center"/>
                </w:tcPr>
                <w:p w14:paraId="2FAD545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管控要求</w:t>
                  </w:r>
                </w:p>
              </w:tc>
              <w:tc>
                <w:tcPr>
                  <w:tcW w:w="1762" w:type="pct"/>
                  <w:tcBorders>
                    <w:tl2br w:val="nil"/>
                    <w:tr2bl w:val="nil"/>
                  </w:tcBorders>
                  <w:vAlign w:val="center"/>
                </w:tcPr>
                <w:p w14:paraId="2789AEB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项目情况</w:t>
                  </w:r>
                </w:p>
              </w:tc>
              <w:tc>
                <w:tcPr>
                  <w:tcW w:w="271" w:type="pct"/>
                  <w:tcBorders>
                    <w:tl2br w:val="nil"/>
                    <w:tr2bl w:val="nil"/>
                  </w:tcBorders>
                  <w:vAlign w:val="center"/>
                </w:tcPr>
                <w:p w14:paraId="67FFF71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符合性</w:t>
                  </w:r>
                </w:p>
              </w:tc>
            </w:tr>
            <w:tr w14:paraId="0078A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10" w:type="pct"/>
                  <w:vMerge w:val="restart"/>
                  <w:tcBorders>
                    <w:tl2br w:val="nil"/>
                    <w:tr2bl w:val="nil"/>
                  </w:tcBorders>
                  <w:vAlign w:val="center"/>
                </w:tcPr>
                <w:p w14:paraId="502141A8">
                  <w:pPr>
                    <w:pStyle w:val="120"/>
                    <w:keepLines/>
                    <w:autoSpaceDE/>
                    <w:autoSpaceDN/>
                    <w:spacing w:line="240" w:lineRule="auto"/>
                    <w:rPr>
                      <w:rFonts w:hint="default" w:ascii="Times New Roman" w:hAnsi="Times New Roman" w:eastAsia="宋体" w:cs="Times New Roman"/>
                      <w:color w:val="auto"/>
                      <w:kern w:val="2"/>
                      <w:sz w:val="21"/>
                      <w:szCs w:val="21"/>
                      <w:highlight w:val="none"/>
                      <w:lang w:val="en-US"/>
                    </w:rPr>
                  </w:pPr>
                  <w:r>
                    <w:rPr>
                      <w:rFonts w:hint="default" w:ascii="Times New Roman" w:hAnsi="Times New Roman" w:eastAsia="宋体" w:cs="Times New Roman"/>
                      <w:color w:val="auto"/>
                      <w:kern w:val="2"/>
                      <w:sz w:val="21"/>
                      <w:szCs w:val="21"/>
                      <w:highlight w:val="none"/>
                      <w:lang w:val="en-US"/>
                    </w:rPr>
                    <w:t>一般生态空间</w:t>
                  </w:r>
                </w:p>
              </w:tc>
              <w:tc>
                <w:tcPr>
                  <w:tcW w:w="187" w:type="pct"/>
                  <w:tcBorders>
                    <w:tl2br w:val="nil"/>
                    <w:tr2bl w:val="nil"/>
                  </w:tcBorders>
                  <w:vAlign w:val="center"/>
                </w:tcPr>
                <w:p w14:paraId="26E0B0A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总体管控要求</w:t>
                  </w:r>
                </w:p>
              </w:tc>
              <w:tc>
                <w:tcPr>
                  <w:tcW w:w="2368" w:type="pct"/>
                  <w:tcBorders>
                    <w:tl2br w:val="nil"/>
                    <w:tr2bl w:val="nil"/>
                  </w:tcBorders>
                  <w:vAlign w:val="center"/>
                </w:tcPr>
                <w:p w14:paraId="14E6FD92">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1.承德市生态功能主要为水源涵养与防风固沙，重点执行河北省一般生态空间总体管控要求中“水源涵养”与“防风固沙”管控要求。</w:t>
                  </w:r>
                </w:p>
              </w:tc>
              <w:tc>
                <w:tcPr>
                  <w:tcW w:w="1762" w:type="pct"/>
                  <w:tcBorders>
                    <w:tl2br w:val="nil"/>
                    <w:tr2bl w:val="nil"/>
                  </w:tcBorders>
                  <w:vAlign w:val="center"/>
                </w:tcPr>
                <w:p w14:paraId="7C9A9544">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bCs/>
                      <w:color w:val="auto"/>
                      <w:sz w:val="21"/>
                      <w:szCs w:val="21"/>
                      <w:highlight w:val="none"/>
                    </w:rPr>
                    <w:t>本项目临时占地恢复</w:t>
                  </w:r>
                  <w:r>
                    <w:rPr>
                      <w:rFonts w:hint="eastAsia" w:ascii="Times New Roman" w:hAnsi="Times New Roman" w:eastAsia="宋体" w:cs="Times New Roman"/>
                      <w:bCs/>
                      <w:color w:val="auto"/>
                      <w:sz w:val="21"/>
                      <w:szCs w:val="21"/>
                      <w:highlight w:val="none"/>
                      <w:lang w:eastAsia="zh-CN"/>
                    </w:rPr>
                    <w:t>按照</w:t>
                  </w:r>
                  <w:r>
                    <w:rPr>
                      <w:rFonts w:hint="default" w:ascii="Times New Roman" w:hAnsi="Times New Roman" w:cs="Times New Roman"/>
                      <w:bCs/>
                      <w:color w:val="auto"/>
                      <w:sz w:val="21"/>
                      <w:szCs w:val="21"/>
                      <w:highlight w:val="none"/>
                    </w:rPr>
                    <w:t>乔、灌、草</w:t>
                  </w:r>
                  <w:r>
                    <w:rPr>
                      <w:rFonts w:hint="eastAsia" w:ascii="Times New Roman" w:hAnsi="Times New Roman" w:eastAsia="宋体" w:cs="Times New Roman"/>
                      <w:bCs/>
                      <w:color w:val="auto"/>
                      <w:sz w:val="21"/>
                      <w:szCs w:val="21"/>
                      <w:highlight w:val="none"/>
                      <w:lang w:eastAsia="zh-CN"/>
                    </w:rPr>
                    <w:t>相</w:t>
                  </w:r>
                  <w:r>
                    <w:rPr>
                      <w:rFonts w:hint="default" w:ascii="Times New Roman" w:hAnsi="Times New Roman" w:cs="Times New Roman"/>
                      <w:bCs/>
                      <w:color w:val="auto"/>
                      <w:sz w:val="21"/>
                      <w:szCs w:val="21"/>
                      <w:highlight w:val="none"/>
                    </w:rPr>
                    <w:t>结合的措施进行恢复，临时占地全部恢复原有生态功能。</w:t>
                  </w:r>
                </w:p>
              </w:tc>
              <w:tc>
                <w:tcPr>
                  <w:tcW w:w="271" w:type="pct"/>
                  <w:tcBorders>
                    <w:tl2br w:val="nil"/>
                    <w:tr2bl w:val="nil"/>
                  </w:tcBorders>
                  <w:vAlign w:val="center"/>
                </w:tcPr>
                <w:p w14:paraId="515D39A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B81A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10" w:type="pct"/>
                  <w:vMerge w:val="continue"/>
                  <w:tcBorders>
                    <w:tl2br w:val="nil"/>
                    <w:tr2bl w:val="nil"/>
                  </w:tcBorders>
                  <w:vAlign w:val="center"/>
                </w:tcPr>
                <w:p w14:paraId="308EFF54">
                  <w:pPr>
                    <w:pStyle w:val="120"/>
                    <w:keepLines/>
                    <w:autoSpaceDE/>
                    <w:autoSpaceDN/>
                    <w:spacing w:line="240" w:lineRule="auto"/>
                    <w:rPr>
                      <w:rFonts w:hint="default" w:ascii="Times New Roman" w:hAnsi="Times New Roman" w:eastAsia="宋体" w:cs="Times New Roman"/>
                      <w:color w:val="auto"/>
                      <w:kern w:val="2"/>
                      <w:sz w:val="21"/>
                      <w:szCs w:val="21"/>
                      <w:highlight w:val="none"/>
                      <w:lang w:val="en-US"/>
                    </w:rPr>
                  </w:pPr>
                </w:p>
              </w:tc>
              <w:tc>
                <w:tcPr>
                  <w:tcW w:w="187" w:type="pct"/>
                  <w:vMerge w:val="restart"/>
                  <w:tcBorders>
                    <w:tl2br w:val="nil"/>
                    <w:tr2bl w:val="nil"/>
                  </w:tcBorders>
                  <w:vAlign w:val="center"/>
                </w:tcPr>
                <w:p w14:paraId="78E5FD5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水源涵养型</w:t>
                  </w:r>
                </w:p>
              </w:tc>
              <w:tc>
                <w:tcPr>
                  <w:tcW w:w="2368" w:type="pct"/>
                  <w:tcBorders>
                    <w:tl2br w:val="nil"/>
                    <w:tr2bl w:val="nil"/>
                  </w:tcBorders>
                  <w:vAlign w:val="center"/>
                </w:tcPr>
                <w:p w14:paraId="2A344D41">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1.在不影响区域主导生态功能、不降低区域环境质量的基础上，新建与扩建项目在满足国土空间规划及有关专项规划的条件下，可适度进行合理有序的开发建设活动。</w:t>
                  </w:r>
                </w:p>
              </w:tc>
              <w:tc>
                <w:tcPr>
                  <w:tcW w:w="1762" w:type="pct"/>
                  <w:tcBorders>
                    <w:tl2br w:val="nil"/>
                    <w:tr2bl w:val="nil"/>
                  </w:tcBorders>
                  <w:vAlign w:val="center"/>
                </w:tcPr>
                <w:p w14:paraId="33848EA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本项目符合产业规划、国土空间规划和功能区划。</w:t>
                  </w:r>
                </w:p>
              </w:tc>
              <w:tc>
                <w:tcPr>
                  <w:tcW w:w="271" w:type="pct"/>
                  <w:tcBorders>
                    <w:tl2br w:val="nil"/>
                    <w:tr2bl w:val="nil"/>
                  </w:tcBorders>
                  <w:vAlign w:val="center"/>
                </w:tcPr>
                <w:p w14:paraId="7F6186E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2503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10" w:type="pct"/>
                  <w:vMerge w:val="continue"/>
                  <w:tcBorders>
                    <w:tl2br w:val="nil"/>
                    <w:tr2bl w:val="nil"/>
                  </w:tcBorders>
                  <w:vAlign w:val="center"/>
                </w:tcPr>
                <w:p w14:paraId="19132914">
                  <w:pPr>
                    <w:pStyle w:val="120"/>
                    <w:keepLines/>
                    <w:autoSpaceDE/>
                    <w:autoSpaceDN/>
                    <w:spacing w:line="240" w:lineRule="auto"/>
                    <w:rPr>
                      <w:rFonts w:hint="default" w:ascii="Times New Roman" w:hAnsi="Times New Roman" w:eastAsia="宋体" w:cs="Times New Roman"/>
                      <w:color w:val="auto"/>
                      <w:kern w:val="2"/>
                      <w:sz w:val="21"/>
                      <w:szCs w:val="21"/>
                      <w:highlight w:val="none"/>
                      <w:lang w:val="en-US"/>
                    </w:rPr>
                  </w:pPr>
                </w:p>
              </w:tc>
              <w:tc>
                <w:tcPr>
                  <w:tcW w:w="187" w:type="pct"/>
                  <w:vMerge w:val="continue"/>
                  <w:tcBorders>
                    <w:tl2br w:val="nil"/>
                    <w:tr2bl w:val="nil"/>
                  </w:tcBorders>
                  <w:vAlign w:val="center"/>
                </w:tcPr>
                <w:p w14:paraId="0F1B986B">
                  <w:pPr>
                    <w:jc w:val="center"/>
                    <w:rPr>
                      <w:rFonts w:hint="default" w:ascii="Times New Roman" w:hAnsi="Times New Roman" w:eastAsia="宋体" w:cs="Times New Roman"/>
                      <w:color w:val="auto"/>
                      <w:sz w:val="21"/>
                      <w:szCs w:val="21"/>
                      <w:highlight w:val="none"/>
                    </w:rPr>
                  </w:pPr>
                </w:p>
              </w:tc>
              <w:tc>
                <w:tcPr>
                  <w:tcW w:w="2368" w:type="pct"/>
                  <w:tcBorders>
                    <w:tl2br w:val="nil"/>
                    <w:tr2bl w:val="nil"/>
                  </w:tcBorders>
                  <w:vAlign w:val="center"/>
                </w:tcPr>
                <w:p w14:paraId="30B30488">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2.禁止新建、扩建导致水体污染的产业项目，开展生态清洁小流域的建设；坚持自然恢复为主，人工造林为辅的原则。</w:t>
                  </w:r>
                </w:p>
              </w:tc>
              <w:tc>
                <w:tcPr>
                  <w:tcW w:w="1762" w:type="pct"/>
                  <w:tcBorders>
                    <w:tl2br w:val="nil"/>
                    <w:tr2bl w:val="nil"/>
                  </w:tcBorders>
                  <w:vAlign w:val="center"/>
                </w:tcPr>
                <w:p w14:paraId="5EC1B01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本项目无废水外排</w:t>
                  </w:r>
                </w:p>
              </w:tc>
              <w:tc>
                <w:tcPr>
                  <w:tcW w:w="271" w:type="pct"/>
                  <w:tcBorders>
                    <w:tl2br w:val="nil"/>
                    <w:tr2bl w:val="nil"/>
                  </w:tcBorders>
                  <w:vAlign w:val="center"/>
                </w:tcPr>
                <w:p w14:paraId="478C742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23CD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10" w:type="pct"/>
                  <w:vMerge w:val="continue"/>
                  <w:tcBorders>
                    <w:tl2br w:val="nil"/>
                    <w:tr2bl w:val="nil"/>
                  </w:tcBorders>
                  <w:vAlign w:val="center"/>
                </w:tcPr>
                <w:p w14:paraId="0A135211">
                  <w:pPr>
                    <w:pStyle w:val="120"/>
                    <w:keepLines/>
                    <w:autoSpaceDE/>
                    <w:autoSpaceDN/>
                    <w:spacing w:line="240" w:lineRule="auto"/>
                    <w:rPr>
                      <w:rFonts w:hint="default" w:ascii="Times New Roman" w:hAnsi="Times New Roman" w:eastAsia="宋体" w:cs="Times New Roman"/>
                      <w:color w:val="auto"/>
                      <w:kern w:val="2"/>
                      <w:sz w:val="21"/>
                      <w:szCs w:val="21"/>
                      <w:highlight w:val="none"/>
                      <w:lang w:val="en-US"/>
                    </w:rPr>
                  </w:pPr>
                </w:p>
              </w:tc>
              <w:tc>
                <w:tcPr>
                  <w:tcW w:w="187" w:type="pct"/>
                  <w:vMerge w:val="continue"/>
                  <w:tcBorders>
                    <w:tl2br w:val="nil"/>
                    <w:tr2bl w:val="nil"/>
                  </w:tcBorders>
                  <w:vAlign w:val="center"/>
                </w:tcPr>
                <w:p w14:paraId="223FFB44">
                  <w:pPr>
                    <w:jc w:val="center"/>
                    <w:rPr>
                      <w:rFonts w:hint="default" w:ascii="Times New Roman" w:hAnsi="Times New Roman" w:eastAsia="宋体" w:cs="Times New Roman"/>
                      <w:color w:val="auto"/>
                      <w:sz w:val="21"/>
                      <w:szCs w:val="21"/>
                      <w:highlight w:val="none"/>
                    </w:rPr>
                  </w:pPr>
                </w:p>
              </w:tc>
              <w:tc>
                <w:tcPr>
                  <w:tcW w:w="2368" w:type="pct"/>
                  <w:tcBorders>
                    <w:tl2br w:val="nil"/>
                    <w:tr2bl w:val="nil"/>
                  </w:tcBorders>
                  <w:vAlign w:val="center"/>
                </w:tcPr>
                <w:p w14:paraId="0B97362D">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3.严格控制载畜量，实行以草定畜，在农牧交错区提倡农牧结合，发展生态产业，培育替代产业，减轻区内畜牧业对水源和生态系统的压力。</w:t>
                  </w:r>
                </w:p>
              </w:tc>
              <w:tc>
                <w:tcPr>
                  <w:tcW w:w="1762" w:type="pct"/>
                  <w:tcBorders>
                    <w:tl2br w:val="nil"/>
                    <w:tr2bl w:val="nil"/>
                  </w:tcBorders>
                  <w:vAlign w:val="center"/>
                </w:tcPr>
                <w:p w14:paraId="430600F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本项目不涉及</w:t>
                  </w:r>
                </w:p>
              </w:tc>
              <w:tc>
                <w:tcPr>
                  <w:tcW w:w="271" w:type="pct"/>
                  <w:tcBorders>
                    <w:tl2br w:val="nil"/>
                    <w:tr2bl w:val="nil"/>
                  </w:tcBorders>
                  <w:vAlign w:val="center"/>
                </w:tcPr>
                <w:p w14:paraId="5860BCE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67B6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10" w:type="pct"/>
                  <w:vMerge w:val="continue"/>
                  <w:tcBorders>
                    <w:tl2br w:val="nil"/>
                    <w:tr2bl w:val="nil"/>
                  </w:tcBorders>
                  <w:vAlign w:val="center"/>
                </w:tcPr>
                <w:p w14:paraId="438B5A93">
                  <w:pPr>
                    <w:pStyle w:val="120"/>
                    <w:keepLines/>
                    <w:autoSpaceDE/>
                    <w:autoSpaceDN/>
                    <w:spacing w:line="240" w:lineRule="auto"/>
                    <w:rPr>
                      <w:rFonts w:hint="default" w:ascii="Times New Roman" w:hAnsi="Times New Roman" w:eastAsia="宋体" w:cs="Times New Roman"/>
                      <w:color w:val="auto"/>
                      <w:kern w:val="2"/>
                      <w:sz w:val="21"/>
                      <w:szCs w:val="21"/>
                      <w:highlight w:val="none"/>
                      <w:lang w:val="en-US"/>
                    </w:rPr>
                  </w:pPr>
                </w:p>
              </w:tc>
              <w:tc>
                <w:tcPr>
                  <w:tcW w:w="187" w:type="pct"/>
                  <w:vMerge w:val="restart"/>
                  <w:tcBorders>
                    <w:tl2br w:val="nil"/>
                    <w:tr2bl w:val="nil"/>
                  </w:tcBorders>
                  <w:vAlign w:val="center"/>
                </w:tcPr>
                <w:p w14:paraId="541E8BE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防风固沙型</w:t>
                  </w:r>
                </w:p>
              </w:tc>
              <w:tc>
                <w:tcPr>
                  <w:tcW w:w="2368" w:type="pct"/>
                  <w:tcBorders>
                    <w:tl2br w:val="nil"/>
                    <w:tr2bl w:val="nil"/>
                  </w:tcBorders>
                  <w:vAlign w:val="center"/>
                </w:tcPr>
                <w:p w14:paraId="32E9CFDF">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1.对主要沙尘源区、沙尘暴频发区实行封禁管理。</w:t>
                  </w:r>
                </w:p>
              </w:tc>
              <w:tc>
                <w:tcPr>
                  <w:tcW w:w="1762" w:type="pct"/>
                  <w:tcBorders>
                    <w:tl2br w:val="nil"/>
                    <w:tr2bl w:val="nil"/>
                  </w:tcBorders>
                  <w:vAlign w:val="center"/>
                </w:tcPr>
                <w:p w14:paraId="4ED8654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本项目占地不涉及沙尘源区、沙尘暴频发区。</w:t>
                  </w:r>
                </w:p>
              </w:tc>
              <w:tc>
                <w:tcPr>
                  <w:tcW w:w="271" w:type="pct"/>
                  <w:tcBorders>
                    <w:tl2br w:val="nil"/>
                    <w:tr2bl w:val="nil"/>
                  </w:tcBorders>
                  <w:vAlign w:val="center"/>
                </w:tcPr>
                <w:p w14:paraId="5EB1D7F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20198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10" w:type="pct"/>
                  <w:vMerge w:val="continue"/>
                  <w:tcBorders>
                    <w:tl2br w:val="nil"/>
                    <w:tr2bl w:val="nil"/>
                  </w:tcBorders>
                  <w:vAlign w:val="center"/>
                </w:tcPr>
                <w:p w14:paraId="4CCA3092">
                  <w:pPr>
                    <w:pStyle w:val="120"/>
                    <w:keepLines/>
                    <w:autoSpaceDE/>
                    <w:autoSpaceDN/>
                    <w:spacing w:line="240" w:lineRule="auto"/>
                    <w:rPr>
                      <w:rFonts w:hint="default" w:ascii="Times New Roman" w:hAnsi="Times New Roman" w:eastAsia="宋体" w:cs="Times New Roman"/>
                      <w:color w:val="auto"/>
                      <w:kern w:val="2"/>
                      <w:sz w:val="21"/>
                      <w:szCs w:val="21"/>
                      <w:highlight w:val="none"/>
                      <w:lang w:val="en-US"/>
                    </w:rPr>
                  </w:pPr>
                </w:p>
              </w:tc>
              <w:tc>
                <w:tcPr>
                  <w:tcW w:w="187" w:type="pct"/>
                  <w:vMerge w:val="continue"/>
                  <w:tcBorders>
                    <w:tl2br w:val="nil"/>
                    <w:tr2bl w:val="nil"/>
                  </w:tcBorders>
                  <w:vAlign w:val="center"/>
                </w:tcPr>
                <w:p w14:paraId="03B63A2B">
                  <w:pPr>
                    <w:jc w:val="center"/>
                    <w:rPr>
                      <w:rFonts w:hint="default" w:ascii="Times New Roman" w:hAnsi="Times New Roman" w:eastAsia="宋体" w:cs="Times New Roman"/>
                      <w:color w:val="auto"/>
                      <w:sz w:val="21"/>
                      <w:szCs w:val="21"/>
                      <w:highlight w:val="none"/>
                    </w:rPr>
                  </w:pPr>
                </w:p>
              </w:tc>
              <w:tc>
                <w:tcPr>
                  <w:tcW w:w="2368" w:type="pct"/>
                  <w:tcBorders>
                    <w:tl2br w:val="nil"/>
                    <w:tr2bl w:val="nil"/>
                  </w:tcBorders>
                  <w:vAlign w:val="center"/>
                </w:tcPr>
                <w:p w14:paraId="00E23108">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2.严格控制放牧和草原生物资源的利用，加强植被恢复和保护。</w:t>
                  </w:r>
                </w:p>
              </w:tc>
              <w:tc>
                <w:tcPr>
                  <w:tcW w:w="1762" w:type="pct"/>
                  <w:tcBorders>
                    <w:tl2br w:val="nil"/>
                    <w:tr2bl w:val="nil"/>
                  </w:tcBorders>
                  <w:vAlign w:val="center"/>
                </w:tcPr>
                <w:p w14:paraId="007FB63C">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bCs/>
                      <w:color w:val="auto"/>
                      <w:sz w:val="21"/>
                      <w:szCs w:val="21"/>
                      <w:highlight w:val="none"/>
                    </w:rPr>
                    <w:t>本项目临时占地恢复按照按照乔、灌、草</w:t>
                  </w:r>
                  <w:r>
                    <w:rPr>
                      <w:rFonts w:hint="eastAsia" w:ascii="Times New Roman" w:hAnsi="Times New Roman" w:eastAsia="宋体" w:cs="Times New Roman"/>
                      <w:bCs/>
                      <w:color w:val="auto"/>
                      <w:sz w:val="21"/>
                      <w:szCs w:val="21"/>
                      <w:highlight w:val="none"/>
                      <w:lang w:eastAsia="zh-CN"/>
                    </w:rPr>
                    <w:t>相</w:t>
                  </w:r>
                  <w:r>
                    <w:rPr>
                      <w:rFonts w:hint="default" w:ascii="Times New Roman" w:hAnsi="Times New Roman" w:cs="Times New Roman"/>
                      <w:bCs/>
                      <w:color w:val="auto"/>
                      <w:sz w:val="21"/>
                      <w:szCs w:val="21"/>
                      <w:highlight w:val="none"/>
                    </w:rPr>
                    <w:t>结合的措施进行恢复，临时占地全部恢复原有生态功能。</w:t>
                  </w:r>
                </w:p>
              </w:tc>
              <w:tc>
                <w:tcPr>
                  <w:tcW w:w="271" w:type="pct"/>
                  <w:tcBorders>
                    <w:tl2br w:val="nil"/>
                    <w:tr2bl w:val="nil"/>
                  </w:tcBorders>
                  <w:vAlign w:val="center"/>
                </w:tcPr>
                <w:p w14:paraId="3E7EC35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5137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10" w:type="pct"/>
                  <w:vMerge w:val="continue"/>
                  <w:tcBorders>
                    <w:tl2br w:val="nil"/>
                    <w:tr2bl w:val="nil"/>
                  </w:tcBorders>
                  <w:vAlign w:val="center"/>
                </w:tcPr>
                <w:p w14:paraId="0DA35968">
                  <w:pPr>
                    <w:pStyle w:val="120"/>
                    <w:keepLines/>
                    <w:autoSpaceDE/>
                    <w:autoSpaceDN/>
                    <w:spacing w:line="240" w:lineRule="auto"/>
                    <w:rPr>
                      <w:rFonts w:hint="default" w:ascii="Times New Roman" w:hAnsi="Times New Roman" w:eastAsia="宋体" w:cs="Times New Roman"/>
                      <w:color w:val="auto"/>
                      <w:kern w:val="2"/>
                      <w:sz w:val="21"/>
                      <w:szCs w:val="21"/>
                      <w:highlight w:val="none"/>
                      <w:lang w:val="en-US"/>
                    </w:rPr>
                  </w:pPr>
                </w:p>
              </w:tc>
              <w:tc>
                <w:tcPr>
                  <w:tcW w:w="187" w:type="pct"/>
                  <w:vMerge w:val="continue"/>
                  <w:tcBorders>
                    <w:tl2br w:val="nil"/>
                    <w:tr2bl w:val="nil"/>
                  </w:tcBorders>
                  <w:vAlign w:val="center"/>
                </w:tcPr>
                <w:p w14:paraId="4EA99D95">
                  <w:pPr>
                    <w:jc w:val="center"/>
                    <w:rPr>
                      <w:rFonts w:hint="default" w:ascii="Times New Roman" w:hAnsi="Times New Roman" w:eastAsia="宋体" w:cs="Times New Roman"/>
                      <w:color w:val="auto"/>
                      <w:sz w:val="21"/>
                      <w:szCs w:val="21"/>
                      <w:highlight w:val="none"/>
                    </w:rPr>
                  </w:pPr>
                </w:p>
              </w:tc>
              <w:tc>
                <w:tcPr>
                  <w:tcW w:w="2368" w:type="pct"/>
                  <w:tcBorders>
                    <w:tl2br w:val="nil"/>
                    <w:tr2bl w:val="nil"/>
                  </w:tcBorders>
                  <w:vAlign w:val="center"/>
                </w:tcPr>
                <w:p w14:paraId="5C0F3CD0">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3.严格控制过度放牧、樵采、开荒，合理利用水资源，保障生态用水，提高区域生态系统防沙固沙的能力。</w:t>
                  </w:r>
                </w:p>
              </w:tc>
              <w:tc>
                <w:tcPr>
                  <w:tcW w:w="1762" w:type="pct"/>
                  <w:tcBorders>
                    <w:tl2br w:val="nil"/>
                    <w:tr2bl w:val="nil"/>
                  </w:tcBorders>
                  <w:vAlign w:val="center"/>
                </w:tcPr>
                <w:p w14:paraId="4F9CCFA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本项目不涉及放牧、樵采、开荒</w:t>
                  </w:r>
                </w:p>
              </w:tc>
              <w:tc>
                <w:tcPr>
                  <w:tcW w:w="271" w:type="pct"/>
                  <w:tcBorders>
                    <w:tl2br w:val="nil"/>
                    <w:tr2bl w:val="nil"/>
                  </w:tcBorders>
                  <w:vAlign w:val="center"/>
                </w:tcPr>
                <w:p w14:paraId="4DD8111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6C709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10" w:type="pct"/>
                  <w:vMerge w:val="continue"/>
                  <w:tcBorders>
                    <w:tl2br w:val="nil"/>
                    <w:tr2bl w:val="nil"/>
                  </w:tcBorders>
                  <w:vAlign w:val="center"/>
                </w:tcPr>
                <w:p w14:paraId="07DF95F4">
                  <w:pPr>
                    <w:pStyle w:val="120"/>
                    <w:keepLines/>
                    <w:autoSpaceDE/>
                    <w:autoSpaceDN/>
                    <w:spacing w:line="240" w:lineRule="auto"/>
                    <w:rPr>
                      <w:rFonts w:hint="default" w:ascii="Times New Roman" w:hAnsi="Times New Roman" w:eastAsia="宋体" w:cs="Times New Roman"/>
                      <w:color w:val="auto"/>
                      <w:kern w:val="2"/>
                      <w:sz w:val="21"/>
                      <w:szCs w:val="21"/>
                      <w:highlight w:val="none"/>
                      <w:lang w:val="en-US"/>
                    </w:rPr>
                  </w:pPr>
                </w:p>
              </w:tc>
              <w:tc>
                <w:tcPr>
                  <w:tcW w:w="187" w:type="pct"/>
                  <w:vMerge w:val="continue"/>
                  <w:tcBorders>
                    <w:tl2br w:val="nil"/>
                    <w:tr2bl w:val="nil"/>
                  </w:tcBorders>
                  <w:vAlign w:val="center"/>
                </w:tcPr>
                <w:p w14:paraId="27885B61">
                  <w:pPr>
                    <w:jc w:val="center"/>
                    <w:rPr>
                      <w:rFonts w:hint="default" w:ascii="Times New Roman" w:hAnsi="Times New Roman" w:eastAsia="宋体" w:cs="Times New Roman"/>
                      <w:color w:val="auto"/>
                      <w:sz w:val="21"/>
                      <w:szCs w:val="21"/>
                      <w:highlight w:val="none"/>
                    </w:rPr>
                  </w:pPr>
                </w:p>
              </w:tc>
              <w:tc>
                <w:tcPr>
                  <w:tcW w:w="2368" w:type="pct"/>
                  <w:tcBorders>
                    <w:tl2br w:val="nil"/>
                    <w:tr2bl w:val="nil"/>
                  </w:tcBorders>
                  <w:vAlign w:val="center"/>
                </w:tcPr>
                <w:p w14:paraId="35265262">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4.开展荒漠植被和沙化土地封禁保护，加强退化林带修复，禁止滥开垦、滥放牧和滥樵采，构建乔灌草相结合的防护林体系，对防风固沙林只能进行抚育和更新性质的采伐。</w:t>
                  </w:r>
                </w:p>
              </w:tc>
              <w:tc>
                <w:tcPr>
                  <w:tcW w:w="1762" w:type="pct"/>
                  <w:tcBorders>
                    <w:tl2br w:val="nil"/>
                    <w:tr2bl w:val="nil"/>
                  </w:tcBorders>
                  <w:vAlign w:val="center"/>
                </w:tcPr>
                <w:p w14:paraId="1A3351A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本项目不涉及</w:t>
                  </w:r>
                </w:p>
              </w:tc>
              <w:tc>
                <w:tcPr>
                  <w:tcW w:w="271" w:type="pct"/>
                  <w:tcBorders>
                    <w:tl2br w:val="nil"/>
                    <w:tr2bl w:val="nil"/>
                  </w:tcBorders>
                  <w:vAlign w:val="center"/>
                </w:tcPr>
                <w:p w14:paraId="3DCFEAD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F4FE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10" w:type="pct"/>
                  <w:vMerge w:val="continue"/>
                  <w:tcBorders>
                    <w:tl2br w:val="nil"/>
                    <w:tr2bl w:val="nil"/>
                  </w:tcBorders>
                  <w:vAlign w:val="center"/>
                </w:tcPr>
                <w:p w14:paraId="35599FF1">
                  <w:pPr>
                    <w:pStyle w:val="120"/>
                    <w:keepLines/>
                    <w:autoSpaceDE/>
                    <w:autoSpaceDN/>
                    <w:spacing w:line="240" w:lineRule="auto"/>
                    <w:rPr>
                      <w:rFonts w:hint="default" w:ascii="Times New Roman" w:hAnsi="Times New Roman" w:eastAsia="宋体" w:cs="Times New Roman"/>
                      <w:color w:val="auto"/>
                      <w:kern w:val="2"/>
                      <w:sz w:val="21"/>
                      <w:szCs w:val="21"/>
                      <w:highlight w:val="none"/>
                      <w:lang w:val="en-US"/>
                    </w:rPr>
                  </w:pPr>
                </w:p>
              </w:tc>
              <w:tc>
                <w:tcPr>
                  <w:tcW w:w="187" w:type="pct"/>
                  <w:vMerge w:val="continue"/>
                  <w:tcBorders>
                    <w:tl2br w:val="nil"/>
                    <w:tr2bl w:val="nil"/>
                  </w:tcBorders>
                  <w:vAlign w:val="center"/>
                </w:tcPr>
                <w:p w14:paraId="4A59B418">
                  <w:pPr>
                    <w:jc w:val="center"/>
                    <w:rPr>
                      <w:rFonts w:hint="default" w:ascii="Times New Roman" w:hAnsi="Times New Roman" w:eastAsia="宋体" w:cs="Times New Roman"/>
                      <w:color w:val="auto"/>
                      <w:sz w:val="21"/>
                      <w:szCs w:val="21"/>
                      <w:highlight w:val="none"/>
                    </w:rPr>
                  </w:pPr>
                </w:p>
              </w:tc>
              <w:tc>
                <w:tcPr>
                  <w:tcW w:w="2368" w:type="pct"/>
                  <w:tcBorders>
                    <w:tl2br w:val="nil"/>
                    <w:tr2bl w:val="nil"/>
                  </w:tcBorders>
                  <w:vAlign w:val="center"/>
                </w:tcPr>
                <w:p w14:paraId="6E5EEADC">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5.转变畜牧业生产方式，实行禁牧休牧，推行舍饲圈养，以草定畜，严格控制载畜量。</w:t>
                  </w:r>
                </w:p>
              </w:tc>
              <w:tc>
                <w:tcPr>
                  <w:tcW w:w="1762" w:type="pct"/>
                  <w:tcBorders>
                    <w:tl2br w:val="nil"/>
                    <w:tr2bl w:val="nil"/>
                  </w:tcBorders>
                  <w:vAlign w:val="center"/>
                </w:tcPr>
                <w:p w14:paraId="4A64FA9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本项目不涉及</w:t>
                  </w:r>
                </w:p>
              </w:tc>
              <w:tc>
                <w:tcPr>
                  <w:tcW w:w="271" w:type="pct"/>
                  <w:tcBorders>
                    <w:tl2br w:val="nil"/>
                    <w:tr2bl w:val="nil"/>
                  </w:tcBorders>
                  <w:vAlign w:val="center"/>
                </w:tcPr>
                <w:p w14:paraId="1EEDAE9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0B3A8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10" w:type="pct"/>
                  <w:vMerge w:val="continue"/>
                  <w:tcBorders>
                    <w:tl2br w:val="nil"/>
                    <w:tr2bl w:val="nil"/>
                  </w:tcBorders>
                  <w:vAlign w:val="center"/>
                </w:tcPr>
                <w:p w14:paraId="57FF6955">
                  <w:pPr>
                    <w:pStyle w:val="120"/>
                    <w:keepLines/>
                    <w:autoSpaceDE/>
                    <w:autoSpaceDN/>
                    <w:spacing w:line="240" w:lineRule="auto"/>
                    <w:rPr>
                      <w:rFonts w:hint="default" w:ascii="Times New Roman" w:hAnsi="Times New Roman" w:eastAsia="宋体" w:cs="Times New Roman"/>
                      <w:color w:val="auto"/>
                      <w:kern w:val="2"/>
                      <w:sz w:val="21"/>
                      <w:szCs w:val="21"/>
                      <w:highlight w:val="none"/>
                      <w:lang w:val="en-US"/>
                    </w:rPr>
                  </w:pPr>
                </w:p>
              </w:tc>
              <w:tc>
                <w:tcPr>
                  <w:tcW w:w="187" w:type="pct"/>
                  <w:vMerge w:val="continue"/>
                  <w:tcBorders>
                    <w:tl2br w:val="nil"/>
                    <w:tr2bl w:val="nil"/>
                  </w:tcBorders>
                  <w:vAlign w:val="center"/>
                </w:tcPr>
                <w:p w14:paraId="7C78BF3C">
                  <w:pPr>
                    <w:jc w:val="center"/>
                    <w:rPr>
                      <w:rFonts w:hint="default" w:ascii="Times New Roman" w:hAnsi="Times New Roman" w:eastAsia="宋体" w:cs="Times New Roman"/>
                      <w:color w:val="auto"/>
                      <w:sz w:val="21"/>
                      <w:szCs w:val="21"/>
                      <w:highlight w:val="none"/>
                    </w:rPr>
                  </w:pPr>
                </w:p>
              </w:tc>
              <w:tc>
                <w:tcPr>
                  <w:tcW w:w="2368" w:type="pct"/>
                  <w:tcBorders>
                    <w:tl2br w:val="nil"/>
                    <w:tr2bl w:val="nil"/>
                  </w:tcBorders>
                  <w:vAlign w:val="center"/>
                </w:tcPr>
                <w:p w14:paraId="3F4D6D70">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6.加大退耕还林力度，恢复草原植被。</w:t>
                  </w:r>
                </w:p>
              </w:tc>
              <w:tc>
                <w:tcPr>
                  <w:tcW w:w="1762" w:type="pct"/>
                  <w:tcBorders>
                    <w:tl2br w:val="nil"/>
                    <w:tr2bl w:val="nil"/>
                  </w:tcBorders>
                  <w:vAlign w:val="center"/>
                </w:tcPr>
                <w:p w14:paraId="186C394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本项目不涉及</w:t>
                  </w:r>
                </w:p>
              </w:tc>
              <w:tc>
                <w:tcPr>
                  <w:tcW w:w="271" w:type="pct"/>
                  <w:tcBorders>
                    <w:tl2br w:val="nil"/>
                    <w:tr2bl w:val="nil"/>
                  </w:tcBorders>
                  <w:vAlign w:val="center"/>
                </w:tcPr>
                <w:p w14:paraId="0ADE3F9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C622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10" w:type="pct"/>
                  <w:vMerge w:val="continue"/>
                  <w:tcBorders>
                    <w:tl2br w:val="nil"/>
                    <w:tr2bl w:val="nil"/>
                  </w:tcBorders>
                  <w:vAlign w:val="center"/>
                </w:tcPr>
                <w:p w14:paraId="601F7727">
                  <w:pPr>
                    <w:pStyle w:val="120"/>
                    <w:keepLines/>
                    <w:autoSpaceDE/>
                    <w:autoSpaceDN/>
                    <w:spacing w:line="240" w:lineRule="auto"/>
                    <w:rPr>
                      <w:rFonts w:hint="default" w:ascii="Times New Roman" w:hAnsi="Times New Roman" w:eastAsia="宋体" w:cs="Times New Roman"/>
                      <w:color w:val="auto"/>
                      <w:kern w:val="2"/>
                      <w:sz w:val="21"/>
                      <w:szCs w:val="21"/>
                      <w:highlight w:val="none"/>
                      <w:lang w:val="en-US"/>
                    </w:rPr>
                  </w:pPr>
                </w:p>
              </w:tc>
              <w:tc>
                <w:tcPr>
                  <w:tcW w:w="187" w:type="pct"/>
                  <w:vMerge w:val="continue"/>
                  <w:tcBorders>
                    <w:tl2br w:val="nil"/>
                    <w:tr2bl w:val="nil"/>
                  </w:tcBorders>
                  <w:vAlign w:val="center"/>
                </w:tcPr>
                <w:p w14:paraId="322AFBD8">
                  <w:pPr>
                    <w:jc w:val="center"/>
                    <w:rPr>
                      <w:rFonts w:hint="default" w:ascii="Times New Roman" w:hAnsi="Times New Roman" w:eastAsia="宋体" w:cs="Times New Roman"/>
                      <w:color w:val="auto"/>
                      <w:sz w:val="21"/>
                      <w:szCs w:val="21"/>
                      <w:highlight w:val="none"/>
                    </w:rPr>
                  </w:pPr>
                </w:p>
              </w:tc>
              <w:tc>
                <w:tcPr>
                  <w:tcW w:w="2368" w:type="pct"/>
                  <w:tcBorders>
                    <w:tl2br w:val="nil"/>
                    <w:tr2bl w:val="nil"/>
                  </w:tcBorders>
                  <w:vAlign w:val="center"/>
                </w:tcPr>
                <w:p w14:paraId="360C5DCB">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7.加强对内陆河流的规划和管理，保护沙区湿地。</w:t>
                  </w:r>
                </w:p>
              </w:tc>
              <w:tc>
                <w:tcPr>
                  <w:tcW w:w="1762" w:type="pct"/>
                  <w:tcBorders>
                    <w:tl2br w:val="nil"/>
                    <w:tr2bl w:val="nil"/>
                  </w:tcBorders>
                  <w:vAlign w:val="center"/>
                </w:tcPr>
                <w:p w14:paraId="137703C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本项目不涉及</w:t>
                  </w:r>
                </w:p>
              </w:tc>
              <w:tc>
                <w:tcPr>
                  <w:tcW w:w="271" w:type="pct"/>
                  <w:tcBorders>
                    <w:tl2br w:val="nil"/>
                    <w:tr2bl w:val="nil"/>
                  </w:tcBorders>
                  <w:vAlign w:val="center"/>
                </w:tcPr>
                <w:p w14:paraId="57D974C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9E4D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10" w:type="pct"/>
                  <w:vMerge w:val="continue"/>
                  <w:tcBorders>
                    <w:tl2br w:val="nil"/>
                    <w:tr2bl w:val="nil"/>
                  </w:tcBorders>
                  <w:vAlign w:val="center"/>
                </w:tcPr>
                <w:p w14:paraId="6D9A9754">
                  <w:pPr>
                    <w:pStyle w:val="120"/>
                    <w:keepLines/>
                    <w:autoSpaceDE/>
                    <w:autoSpaceDN/>
                    <w:spacing w:line="240" w:lineRule="auto"/>
                    <w:rPr>
                      <w:rFonts w:hint="default" w:ascii="Times New Roman" w:hAnsi="Times New Roman" w:eastAsia="宋体" w:cs="Times New Roman"/>
                      <w:color w:val="auto"/>
                      <w:kern w:val="2"/>
                      <w:sz w:val="21"/>
                      <w:szCs w:val="21"/>
                      <w:highlight w:val="none"/>
                      <w:lang w:val="en-US"/>
                    </w:rPr>
                  </w:pPr>
                </w:p>
              </w:tc>
              <w:tc>
                <w:tcPr>
                  <w:tcW w:w="187" w:type="pct"/>
                  <w:tcBorders>
                    <w:tl2br w:val="nil"/>
                    <w:tr2bl w:val="nil"/>
                  </w:tcBorders>
                  <w:vAlign w:val="center"/>
                </w:tcPr>
                <w:p w14:paraId="5EAC6C0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禁止开发建设活动的</w:t>
                  </w:r>
                </w:p>
                <w:p w14:paraId="17B8FB6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要求</w:t>
                  </w:r>
                </w:p>
              </w:tc>
              <w:tc>
                <w:tcPr>
                  <w:tcW w:w="2368" w:type="pct"/>
                  <w:tcBorders>
                    <w:tl2br w:val="nil"/>
                    <w:tr2bl w:val="nil"/>
                  </w:tcBorders>
                  <w:vAlign w:val="center"/>
                </w:tcPr>
                <w:p w14:paraId="2E921E86">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一般生态空间内应在重要水源保护区上游干流、支流沿岸的规划建设，在河道干流、支流两岸因地制宜划定生态缓冲带和生态绿化廊道。生态缓冲带内应保持自然岸线和生态系统的完整性，严禁建设项目侵占责任生态空间和“贴边”发展。在重要的生态功能区和“四区”（水源保护区、自然保护区、风景名胜区、湿地公园）区域，严禁违规建设别墅类和高尔夫球场等项目，严禁破坏生态环境功能的开发建设活动。严格饮用水水源保护区、自然保护区、风景名胜区、森林公园、地质公园等环境敏感区域及周边地区开发建设管理。</w:t>
                  </w:r>
                </w:p>
                <w:p w14:paraId="36A9CEAD">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在上述环境敏感区域内，严禁建设污染环境、破坏资源和景观的生产设施。对未经批准擅自建设“玻璃栈道”、观光索道等破坏生态和景观的违法建设项目，可依法责令拆除并恢复原状。对擅自在法律法规规定禁止建设区域内建成的违法违规项目和设施，要依法采取行政处罚和移交司法部门强制执行等措施，依法责令拆除并恢复原状。未纳入生态保护红线的各类自然保护地等按照相关法律法规规定进行管控。</w:t>
                  </w:r>
                </w:p>
              </w:tc>
              <w:tc>
                <w:tcPr>
                  <w:tcW w:w="1762" w:type="pct"/>
                  <w:tcBorders>
                    <w:tl2br w:val="nil"/>
                    <w:tr2bl w:val="nil"/>
                  </w:tcBorders>
                  <w:vAlign w:val="center"/>
                </w:tcPr>
                <w:p w14:paraId="2B6A8E1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w:t>
                  </w:r>
                  <w:r>
                    <w:rPr>
                      <w:rFonts w:hint="eastAsia" w:ascii="Times New Roman" w:hAnsi="Times New Roman" w:eastAsia="宋体" w:cs="Times New Roman"/>
                      <w:color w:val="auto"/>
                      <w:sz w:val="21"/>
                      <w:szCs w:val="21"/>
                      <w:highlight w:val="none"/>
                      <w:lang w:val="en-US" w:eastAsia="zh-CN"/>
                    </w:rPr>
                    <w:t>为</w:t>
                  </w:r>
                  <w:r>
                    <w:rPr>
                      <w:rFonts w:hint="default" w:ascii="Times New Roman" w:hAnsi="Times New Roman" w:eastAsia="宋体" w:cs="Times New Roman"/>
                      <w:color w:val="auto"/>
                      <w:sz w:val="21"/>
                      <w:szCs w:val="21"/>
                      <w:highlight w:val="none"/>
                    </w:rPr>
                    <w:t>输电线路，部分线路</w:t>
                  </w:r>
                  <w:r>
                    <w:rPr>
                      <w:rFonts w:hint="eastAsia" w:ascii="Times New Roman" w:hAnsi="Times New Roman" w:eastAsia="宋体" w:cs="Times New Roman"/>
                      <w:color w:val="auto"/>
                      <w:sz w:val="21"/>
                      <w:szCs w:val="21"/>
                      <w:highlight w:val="none"/>
                      <w:lang w:val="en-US" w:eastAsia="zh-CN"/>
                    </w:rPr>
                    <w:t>塔基</w:t>
                  </w:r>
                  <w:r>
                    <w:rPr>
                      <w:rFonts w:hint="default" w:ascii="Times New Roman" w:hAnsi="Times New Roman" w:eastAsia="宋体" w:cs="Times New Roman"/>
                      <w:color w:val="auto"/>
                      <w:sz w:val="21"/>
                      <w:szCs w:val="21"/>
                      <w:highlight w:val="none"/>
                    </w:rPr>
                    <w:t>占用河北滦河上游国家级自然保护区实验区和生态保护红线，属于</w:t>
                  </w:r>
                  <w:r>
                    <w:rPr>
                      <w:rFonts w:hint="default" w:ascii="Times New Roman" w:hAnsi="Times New Roman" w:eastAsia="宋体" w:cs="Times New Roman"/>
                      <w:color w:val="auto"/>
                      <w:kern w:val="2"/>
                      <w:sz w:val="21"/>
                      <w:szCs w:val="21"/>
                      <w:highlight w:val="none"/>
                    </w:rPr>
                    <w:t>必须且无法避让，符合县级以上国土空间规划的线性基础设施建设，</w:t>
                  </w:r>
                  <w:r>
                    <w:rPr>
                      <w:rFonts w:hint="default" w:ascii="Times New Roman" w:hAnsi="Times New Roman" w:eastAsia="宋体" w:cs="Times New Roman"/>
                      <w:color w:val="auto"/>
                      <w:sz w:val="21"/>
                      <w:szCs w:val="21"/>
                      <w:highlight w:val="none"/>
                    </w:rPr>
                    <w:t>国家林业和草原局出具了《关于同意华能围场“风光储氢热一体化”项目（光伏200MW）项目220kV送出线路工程穿越河北滦河上游国家级自然保护区实验区的行政许可决定》（林保许准（冀）[2024]10号），围场满族蒙古族自治县自然资源和规划局出具《华能围场“风光储氢热一体化”项目（光伏200MW）项目220kV送出线路工程不可避让生态保护红线报告》的审查意见和关于华能围场“风光储氢热一体化”项目（光伏200MW）项目220kV送出线路工程路径的说明：该工程</w:t>
                  </w:r>
                  <w:r>
                    <w:rPr>
                      <w:rFonts w:hint="eastAsia" w:ascii="Times New Roman" w:hAnsi="Times New Roman" w:eastAsia="宋体" w:cs="Times New Roman"/>
                      <w:color w:val="auto"/>
                      <w:sz w:val="21"/>
                      <w:szCs w:val="21"/>
                      <w:highlight w:val="none"/>
                      <w:lang w:eastAsia="zh-CN"/>
                    </w:rPr>
                    <w:t>已纳入县国土空间总体规划，</w:t>
                  </w:r>
                  <w:r>
                    <w:rPr>
                      <w:rFonts w:hint="default" w:ascii="Times New Roman" w:hAnsi="Times New Roman" w:eastAsia="宋体" w:cs="Times New Roman"/>
                      <w:color w:val="auto"/>
                      <w:sz w:val="21"/>
                      <w:szCs w:val="21"/>
                      <w:highlight w:val="none"/>
                    </w:rPr>
                    <w:t>部分</w:t>
                  </w:r>
                  <w:r>
                    <w:rPr>
                      <w:rFonts w:hint="eastAsia" w:ascii="Times New Roman" w:hAnsi="Times New Roman" w:eastAsia="宋体" w:cs="Times New Roman"/>
                      <w:color w:val="auto"/>
                      <w:sz w:val="21"/>
                      <w:szCs w:val="21"/>
                      <w:highlight w:val="none"/>
                      <w:lang w:eastAsia="zh-CN"/>
                    </w:rPr>
                    <w:t>线路</w:t>
                  </w:r>
                  <w:r>
                    <w:rPr>
                      <w:rFonts w:hint="default" w:ascii="Times New Roman" w:hAnsi="Times New Roman" w:eastAsia="宋体" w:cs="Times New Roman"/>
                      <w:color w:val="auto"/>
                      <w:sz w:val="21"/>
                      <w:szCs w:val="21"/>
                      <w:highlight w:val="none"/>
                    </w:rPr>
                    <w:t>涉及</w:t>
                  </w:r>
                  <w:r>
                    <w:rPr>
                      <w:rFonts w:hint="eastAsia" w:ascii="Times New Roman" w:hAnsi="Times New Roman" w:eastAsia="宋体" w:cs="Times New Roman"/>
                      <w:color w:val="auto"/>
                      <w:sz w:val="21"/>
                      <w:szCs w:val="21"/>
                      <w:highlight w:val="none"/>
                      <w:lang w:eastAsia="zh-CN"/>
                    </w:rPr>
                    <w:t>穿越生态保护</w:t>
                  </w:r>
                  <w:r>
                    <w:rPr>
                      <w:rFonts w:hint="default" w:ascii="Times New Roman" w:hAnsi="Times New Roman" w:eastAsia="宋体" w:cs="Times New Roman"/>
                      <w:color w:val="auto"/>
                      <w:sz w:val="21"/>
                      <w:szCs w:val="21"/>
                      <w:highlight w:val="none"/>
                    </w:rPr>
                    <w:t>红线，</w:t>
                  </w:r>
                  <w:r>
                    <w:rPr>
                      <w:rFonts w:hint="eastAsia" w:ascii="Times New Roman" w:hAnsi="Times New Roman" w:eastAsia="宋体" w:cs="Times New Roman"/>
                      <w:color w:val="auto"/>
                      <w:sz w:val="21"/>
                      <w:szCs w:val="21"/>
                      <w:highlight w:val="none"/>
                      <w:lang w:eastAsia="zh-CN"/>
                    </w:rPr>
                    <w:t>编制了不可避让论证报告并通过</w:t>
                  </w:r>
                  <w:r>
                    <w:rPr>
                      <w:rFonts w:hint="default" w:ascii="Times New Roman" w:hAnsi="Times New Roman" w:eastAsia="宋体" w:cs="Times New Roman"/>
                      <w:color w:val="auto"/>
                      <w:sz w:val="21"/>
                      <w:szCs w:val="21"/>
                      <w:highlight w:val="none"/>
                    </w:rPr>
                    <w:t>专家论证，原则同意该线路</w:t>
                  </w:r>
                  <w:r>
                    <w:rPr>
                      <w:rFonts w:hint="eastAsia" w:ascii="Times New Roman" w:hAnsi="Times New Roman" w:eastAsia="宋体" w:cs="Times New Roman"/>
                      <w:color w:val="auto"/>
                      <w:sz w:val="21"/>
                      <w:szCs w:val="21"/>
                      <w:highlight w:val="none"/>
                      <w:lang w:eastAsia="zh-CN"/>
                    </w:rPr>
                    <w:t>预</w:t>
                  </w:r>
                  <w:r>
                    <w:rPr>
                      <w:rFonts w:hint="default" w:ascii="Times New Roman" w:hAnsi="Times New Roman" w:eastAsia="宋体" w:cs="Times New Roman"/>
                      <w:color w:val="auto"/>
                      <w:sz w:val="21"/>
                      <w:szCs w:val="21"/>
                      <w:highlight w:val="none"/>
                    </w:rPr>
                    <w:t>选址。</w:t>
                  </w:r>
                </w:p>
              </w:tc>
              <w:tc>
                <w:tcPr>
                  <w:tcW w:w="271" w:type="pct"/>
                  <w:tcBorders>
                    <w:tl2br w:val="nil"/>
                    <w:tr2bl w:val="nil"/>
                  </w:tcBorders>
                  <w:vAlign w:val="center"/>
                </w:tcPr>
                <w:p w14:paraId="31D956D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5BED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10" w:type="pct"/>
                  <w:vMerge w:val="continue"/>
                  <w:tcBorders>
                    <w:tl2br w:val="nil"/>
                    <w:tr2bl w:val="nil"/>
                  </w:tcBorders>
                  <w:vAlign w:val="center"/>
                </w:tcPr>
                <w:p w14:paraId="5B9AB37F">
                  <w:pPr>
                    <w:pStyle w:val="120"/>
                    <w:keepLines/>
                    <w:autoSpaceDE/>
                    <w:autoSpaceDN/>
                    <w:spacing w:line="240" w:lineRule="auto"/>
                    <w:rPr>
                      <w:rFonts w:hint="default" w:ascii="Times New Roman" w:hAnsi="Times New Roman" w:eastAsia="宋体" w:cs="Times New Roman"/>
                      <w:color w:val="auto"/>
                      <w:kern w:val="2"/>
                      <w:sz w:val="21"/>
                      <w:szCs w:val="21"/>
                      <w:highlight w:val="none"/>
                      <w:lang w:val="en-US"/>
                    </w:rPr>
                  </w:pPr>
                </w:p>
              </w:tc>
              <w:tc>
                <w:tcPr>
                  <w:tcW w:w="187" w:type="pct"/>
                  <w:tcBorders>
                    <w:tl2br w:val="nil"/>
                    <w:tr2bl w:val="nil"/>
                  </w:tcBorders>
                  <w:vAlign w:val="center"/>
                </w:tcPr>
                <w:p w14:paraId="58E4FD8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限制开发建设活动的</w:t>
                  </w:r>
                </w:p>
                <w:p w14:paraId="63DE2D0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要求</w:t>
                  </w:r>
                </w:p>
              </w:tc>
              <w:tc>
                <w:tcPr>
                  <w:tcW w:w="2368" w:type="pct"/>
                  <w:tcBorders>
                    <w:tl2br w:val="nil"/>
                    <w:tr2bl w:val="nil"/>
                  </w:tcBorders>
                  <w:vAlign w:val="center"/>
                </w:tcPr>
                <w:p w14:paraId="5D736134">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严格控制矿产资源开发范围。非经国务院授权的有关主管部门同意，不得在下列地区新批固体矿产资源开发项目，严格控制新批液体、气体矿产资源开发项目：在机场、国防工程设施圈定地区以内；重要工业区、大型水利工程设施、城镇市政工程设施附近一定距离以内；永久基本农田、城镇开发边界内、自然保护区、风景名胜区、饮用水水源保护区、地质遗迹保护区、文物保护单位等保护范围内，国家规定不得开采矿产资源的其他地区。矿产资源勘查实行最严格的生态环境保护制度，全面推行绿色勘查。矿产资源勘查项目应当严格落实国土空间规划和矿产资源总体规划，符合生态保护红线管控相关要求，充分考虑区域生态环境承载能力，科学评估勘查作业可能对生态环境、水源涵养的影响。勘察设计方案应当落实绿色勘察理念，严格执行国家绿色勘察有关标准和规范。勘查单位应当严格按照地质矿产勘查规范、绿色勘查规范和勘查设计方案进行施工作业。严格控制露天矿山开采，对已有露天矿山推广先进适用的开采技术；露天矿山企业应当实行平台式开采，提高生产质量、生产效率，保障矿山采后高标准复垦复绿。</w:t>
                  </w:r>
                </w:p>
              </w:tc>
              <w:tc>
                <w:tcPr>
                  <w:tcW w:w="1762" w:type="pct"/>
                  <w:tcBorders>
                    <w:tl2br w:val="nil"/>
                    <w:tr2bl w:val="nil"/>
                  </w:tcBorders>
                  <w:vAlign w:val="center"/>
                </w:tcPr>
                <w:p w14:paraId="2E64F00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本项目输电线路，</w:t>
                  </w:r>
                  <w:r>
                    <w:rPr>
                      <w:rFonts w:hint="eastAsia" w:ascii="Times New Roman" w:hAnsi="Times New Roman" w:eastAsia="宋体" w:cs="Times New Roman"/>
                      <w:color w:val="auto"/>
                      <w:sz w:val="21"/>
                      <w:szCs w:val="21"/>
                      <w:highlight w:val="none"/>
                      <w:lang w:eastAsia="zh-CN"/>
                    </w:rPr>
                    <w:t>不涉及矿产开发和矿产勘查</w:t>
                  </w:r>
                  <w:r>
                    <w:rPr>
                      <w:rFonts w:hint="default" w:ascii="Times New Roman" w:hAnsi="Times New Roman" w:eastAsia="宋体" w:cs="Times New Roman"/>
                      <w:color w:val="auto"/>
                      <w:sz w:val="21"/>
                      <w:szCs w:val="21"/>
                      <w:highlight w:val="none"/>
                    </w:rPr>
                    <w:t>。</w:t>
                  </w:r>
                </w:p>
              </w:tc>
              <w:tc>
                <w:tcPr>
                  <w:tcW w:w="271" w:type="pct"/>
                  <w:tcBorders>
                    <w:tl2br w:val="nil"/>
                    <w:tr2bl w:val="nil"/>
                  </w:tcBorders>
                  <w:vAlign w:val="center"/>
                </w:tcPr>
                <w:p w14:paraId="71599BE7">
                  <w:pPr>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符合</w:t>
                  </w:r>
                </w:p>
              </w:tc>
            </w:tr>
          </w:tbl>
          <w:p w14:paraId="559092FB">
            <w:pPr>
              <w:autoSpaceDE/>
              <w:autoSpaceDN/>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综上所述，本项目建设符合《关于以改善环境质量为核心加强环境影响评价管理的通知》（环环评[2016]150号）、《承德市</w:t>
            </w:r>
            <w:r>
              <w:rPr>
                <w:rFonts w:hint="default" w:ascii="Times New Roman" w:hAnsi="Times New Roman" w:cs="Times New Roman"/>
                <w:color w:val="auto"/>
                <w:sz w:val="24"/>
                <w:szCs w:val="24"/>
                <w:highlight w:val="none"/>
              </w:rPr>
              <w:t>“</w:t>
            </w:r>
            <w:r>
              <w:rPr>
                <w:rFonts w:hint="default" w:ascii="Times New Roman" w:hAnsi="Times New Roman" w:eastAsia="宋体" w:cs="Times New Roman"/>
                <w:color w:val="auto"/>
                <w:sz w:val="24"/>
                <w:szCs w:val="24"/>
                <w:highlight w:val="none"/>
              </w:rPr>
              <w:t>三线一单</w:t>
            </w:r>
            <w:r>
              <w:rPr>
                <w:rFonts w:hint="default" w:ascii="Times New Roman" w:hAnsi="Times New Roman" w:cs="Times New Roman"/>
                <w:color w:val="auto"/>
                <w:sz w:val="24"/>
                <w:szCs w:val="24"/>
                <w:highlight w:val="none"/>
              </w:rPr>
              <w:t>”</w:t>
            </w:r>
            <w:r>
              <w:rPr>
                <w:rFonts w:hint="default" w:ascii="Times New Roman" w:hAnsi="Times New Roman" w:eastAsia="宋体" w:cs="Times New Roman"/>
                <w:color w:val="auto"/>
                <w:sz w:val="24"/>
                <w:szCs w:val="24"/>
                <w:highlight w:val="none"/>
              </w:rPr>
              <w:t>生态环境准入清单》、《承德市生态环境准入清单（2023年版）》的要求，项目建设可行。</w:t>
            </w:r>
          </w:p>
          <w:p w14:paraId="266384D9">
            <w:pPr>
              <w:pStyle w:val="41"/>
              <w:spacing w:line="360" w:lineRule="auto"/>
              <w:ind w:firstLine="482"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3、空间规划符合性分析</w:t>
            </w:r>
          </w:p>
          <w:p w14:paraId="52EC2E41">
            <w:pPr>
              <w:pStyle w:val="41"/>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（1）河北省主体功能区划符合性</w:t>
            </w:r>
          </w:p>
          <w:p w14:paraId="49B76102">
            <w:pPr>
              <w:pStyle w:val="41"/>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本项目位于河北省承德市围场满族蒙古族自治县老窝铺乡、城子镇</w:t>
            </w:r>
            <w:r>
              <w:rPr>
                <w:rFonts w:hint="eastAsia" w:eastAsia="宋体"/>
                <w:lang w:eastAsia="zh-CN"/>
              </w:rPr>
              <w:t>、</w:t>
            </w:r>
            <w:r>
              <w:rPr>
                <w:rFonts w:hint="eastAsia" w:eastAsia="宋体"/>
                <w:sz w:val="24"/>
                <w:szCs w:val="24"/>
                <w:lang w:eastAsia="zh-CN"/>
              </w:rPr>
              <w:t>御道口镇</w:t>
            </w:r>
            <w:r>
              <w:rPr>
                <w:rFonts w:hint="default" w:ascii="Times New Roman" w:hAnsi="Times New Roman" w:eastAsia="宋体" w:cs="Times New Roman"/>
                <w:bCs/>
                <w:color w:val="auto"/>
                <w:sz w:val="24"/>
                <w:highlight w:val="none"/>
              </w:rPr>
              <w:t>，对照《河北省主体功能区规划》，项目所在区域属于“限制开发区域—国家重点生态功能区—坝上高原山地区”。</w:t>
            </w:r>
          </w:p>
          <w:p w14:paraId="1B116B10">
            <w:pPr>
              <w:pStyle w:val="41"/>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区域现状：本区自然条件差异较大，西部和北部的坝上高原地区为内流区，东部和南部的燕山山区为外流区，是滦河、潮河和白河的发源地。区域面积31591平方公里，2011年人口163.71万人，地区生产总值274.23亿元，分别占全省的16.83%、2.26%和1.12%。人均地区生产总值16751元，公路网密度0.39公里/平方公里。</w:t>
            </w:r>
          </w:p>
          <w:p w14:paraId="0644F66B">
            <w:pPr>
              <w:pStyle w:val="41"/>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发展方向：公共基础设施。继续实施倾斜政策，大力支持坝上地区教育、医疗、文化、旅游等公共服务设施和农村交通、水利、电力、通讯等基础设施建设，重点推广风能、太阳能、沼气等清洁能源利用。</w:t>
            </w:r>
          </w:p>
          <w:p w14:paraId="1EAE23CA">
            <w:pPr>
              <w:pStyle w:val="41"/>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sz w:val="24"/>
                <w:szCs w:val="24"/>
                <w:highlight w:val="none"/>
              </w:rPr>
              <w:t>本项目为</w:t>
            </w:r>
            <w:r>
              <w:rPr>
                <w:rFonts w:hint="eastAsia" w:ascii="Times New Roman" w:hAnsi="Times New Roman" w:eastAsia="宋体" w:cs="Times New Roman"/>
                <w:color w:val="auto"/>
                <w:sz w:val="24"/>
                <w:szCs w:val="24"/>
                <w:highlight w:val="none"/>
                <w:lang w:eastAsia="zh-CN"/>
              </w:rPr>
              <w:t>新能源光伏发电配套电力送出工程</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Cs/>
                <w:color w:val="auto"/>
                <w:sz w:val="24"/>
                <w:highlight w:val="none"/>
              </w:rPr>
              <w:t>项目的建设有利于改善地区电源结构，充分利用承德市太阳能资源，可较大幅度提高承德电网中的可再生能源比重，调整能源结构，有利于区域环境保护，符合河北省主体功能区划要求。</w:t>
            </w:r>
          </w:p>
          <w:p w14:paraId="199FC9B6">
            <w:pPr>
              <w:pStyle w:val="41"/>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（2）与《河北省生态功能区划》符合性分析</w:t>
            </w:r>
          </w:p>
          <w:p w14:paraId="220A0FFA">
            <w:pPr>
              <w:pStyle w:val="41"/>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根据《河北省生态功能区划》，本项目属于Ⅰ2-3御道口农牧与水土保持功能区、</w:t>
            </w:r>
            <w:r>
              <w:rPr>
                <w:rFonts w:hint="default" w:ascii="Times New Roman" w:hAnsi="Times New Roman" w:eastAsia="宋体" w:cs="Times New Roman"/>
                <w:bCs/>
                <w:color w:val="auto"/>
                <w:sz w:val="24"/>
                <w:szCs w:val="24"/>
                <w:highlight w:val="none"/>
              </w:rPr>
              <w:fldChar w:fldCharType="begin"/>
            </w:r>
            <w:r>
              <w:rPr>
                <w:rFonts w:hint="default" w:ascii="Times New Roman" w:hAnsi="Times New Roman" w:eastAsia="宋体" w:cs="Times New Roman"/>
                <w:bCs/>
                <w:color w:val="auto"/>
                <w:sz w:val="24"/>
                <w:szCs w:val="24"/>
                <w:highlight w:val="none"/>
              </w:rPr>
              <w:instrText xml:space="preserve"> = 2 \* ROMAN \* MERGEFORMAT </w:instrText>
            </w:r>
            <w:r>
              <w:rPr>
                <w:rFonts w:hint="default" w:ascii="Times New Roman" w:hAnsi="Times New Roman" w:eastAsia="宋体" w:cs="Times New Roman"/>
                <w:bCs/>
                <w:color w:val="auto"/>
                <w:sz w:val="24"/>
                <w:szCs w:val="24"/>
                <w:highlight w:val="none"/>
              </w:rPr>
              <w:fldChar w:fldCharType="separate"/>
            </w:r>
            <w:r>
              <w:rPr>
                <w:rFonts w:hint="default" w:ascii="Times New Roman" w:hAnsi="Times New Roman" w:cs="Times New Roman"/>
                <w:color w:val="auto"/>
                <w:sz w:val="24"/>
                <w:szCs w:val="24"/>
                <w:highlight w:val="none"/>
              </w:rPr>
              <w:t>II</w:t>
            </w:r>
            <w:r>
              <w:rPr>
                <w:rFonts w:hint="default" w:ascii="Times New Roman" w:hAnsi="Times New Roman" w:eastAsia="宋体" w:cs="Times New Roman"/>
                <w:bCs/>
                <w:color w:val="auto"/>
                <w:sz w:val="24"/>
                <w:szCs w:val="24"/>
                <w:highlight w:val="none"/>
              </w:rPr>
              <w:fldChar w:fldCharType="end"/>
            </w:r>
            <w:r>
              <w:rPr>
                <w:rFonts w:hint="default" w:ascii="Times New Roman" w:hAnsi="Times New Roman" w:eastAsia="宋体" w:cs="Times New Roman"/>
                <w:bCs/>
                <w:color w:val="auto"/>
                <w:sz w:val="24"/>
                <w:szCs w:val="24"/>
                <w:highlight w:val="none"/>
              </w:rPr>
              <w:t>1-2燕山山地北部水源涵养与水土保持生态功能区</w:t>
            </w:r>
            <w:r>
              <w:rPr>
                <w:rFonts w:hint="default" w:ascii="Times New Roman" w:hAnsi="Times New Roman" w:eastAsia="宋体" w:cs="Times New Roman"/>
                <w:bCs/>
                <w:color w:val="auto"/>
                <w:sz w:val="24"/>
                <w:highlight w:val="none"/>
              </w:rPr>
              <w:t>。根据本项目生态专项影响分析，本项目施工期对水土流失、水源涵养产生轻微影响，影响时段较短，项目施工期在采取生态保护及水土保持措施后，能够满足其所在功能区的环境保护要求。对区域生物多样性产生影响较小。</w:t>
            </w:r>
          </w:p>
          <w:p w14:paraId="7713C0E2">
            <w:pPr>
              <w:pStyle w:val="41"/>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（3）《承德市城市总体规划（2016-2030年）》符合性分析</w:t>
            </w:r>
          </w:p>
          <w:p w14:paraId="4BDBA0DA">
            <w:pPr>
              <w:pStyle w:val="41"/>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A.市域生态环境保护规划</w:t>
            </w:r>
          </w:p>
          <w:p w14:paraId="43B6A3B0">
            <w:pPr>
              <w:pStyle w:val="41"/>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《承德市城市总体规划（2016-2030年）》中的“市域生态环境保护规划 ”中指出：探索循环经济发展模式，以本地区的资源与生态环境承载能力为基础，以资源节约利用和环境生态保护为前提，调整升级产业经济结构，积极推动经济增长方式转变，引入闭环式循环经济模式，形成节地、节水、节能、节材的生产生活模式。</w:t>
            </w:r>
          </w:p>
          <w:p w14:paraId="50B25E45">
            <w:pPr>
              <w:pStyle w:val="41"/>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本项目为新能源光伏发电配套电力送出工程，本次环评是在原有“围环评﹝2022﹞20号”基础上输电辐射环评内容，项目建设有利于提高清洁能源使用比例，有利于节约化石能源的消耗，有利于相关规划目标的达成。</w:t>
            </w:r>
          </w:p>
          <w:p w14:paraId="65D753E8">
            <w:pPr>
              <w:pStyle w:val="41"/>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B.承德市生态功能区划</w:t>
            </w:r>
          </w:p>
          <w:p w14:paraId="10BAD921">
            <w:pPr>
              <w:pStyle w:val="41"/>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本项目所属区域为“坝上高原生态区（I）—坝上高原东部森林草原亚区（I-2）—御道口生物多样性保护、水源涵养功能区（I-2-3）”</w:t>
            </w:r>
            <w:r>
              <w:rPr>
                <w:rFonts w:hint="eastAsia" w:ascii="Times New Roman" w:hAnsi="Times New Roman" w:eastAsia="宋体" w:cs="Times New Roman"/>
                <w:bCs/>
                <w:color w:val="auto"/>
                <w:sz w:val="24"/>
                <w:highlight w:val="none"/>
                <w:lang w:eastAsia="zh-CN"/>
              </w:rPr>
              <w:t>和</w:t>
            </w:r>
            <w:r>
              <w:rPr>
                <w:rFonts w:hint="default" w:ascii="Times New Roman" w:hAnsi="Times New Roman" w:eastAsia="宋体" w:cs="Times New Roman"/>
                <w:bCs/>
                <w:color w:val="auto"/>
                <w:sz w:val="24"/>
                <w:highlight w:val="none"/>
                <w:lang w:eastAsia="zh-CN"/>
              </w:rPr>
              <w:t>“冀北及燕山山地生态区</w:t>
            </w:r>
            <w:r>
              <w:rPr>
                <w:rFonts w:hint="eastAsia" w:ascii="Times New Roman" w:hAnsi="Times New Roman" w:eastAsia="宋体" w:cs="Times New Roman"/>
                <w:bCs/>
                <w:color w:val="auto"/>
                <w:sz w:val="24"/>
                <w:highlight w:val="none"/>
                <w:lang w:eastAsia="zh-CN"/>
              </w:rPr>
              <w:t>（</w:t>
            </w:r>
            <w:r>
              <w:rPr>
                <w:rFonts w:hint="default" w:ascii="Times New Roman" w:hAnsi="Times New Roman" w:eastAsia="微软雅黑" w:cs="Times New Roman"/>
                <w:bCs/>
                <w:color w:val="auto"/>
                <w:sz w:val="24"/>
                <w:highlight w:val="none"/>
                <w:lang w:eastAsia="zh-CN"/>
              </w:rPr>
              <w:t>Ⅱ</w:t>
            </w:r>
            <w:r>
              <w:rPr>
                <w:rFonts w:hint="eastAsia"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bCs/>
                <w:color w:val="auto"/>
                <w:sz w:val="24"/>
                <w:highlight w:val="none"/>
                <w:lang w:eastAsia="zh-CN"/>
              </w:rPr>
              <w:t>冀北山地森林生态亚区</w:t>
            </w:r>
            <w:r>
              <w:rPr>
                <w:rFonts w:hint="eastAsia" w:ascii="Times New Roman" w:hAnsi="Times New Roman" w:eastAsia="宋体" w:cs="Times New Roman"/>
                <w:bCs/>
                <w:color w:val="auto"/>
                <w:sz w:val="24"/>
                <w:highlight w:val="none"/>
                <w:lang w:eastAsia="zh-CN"/>
              </w:rPr>
              <w:t>（</w:t>
            </w:r>
            <w:r>
              <w:rPr>
                <w:rFonts w:hint="default" w:ascii="Times New Roman" w:hAnsi="Times New Roman" w:eastAsia="微软雅黑" w:cs="Times New Roman"/>
                <w:bCs/>
                <w:color w:val="auto"/>
                <w:sz w:val="24"/>
                <w:highlight w:val="none"/>
                <w:lang w:eastAsia="zh-CN"/>
              </w:rPr>
              <w:t>Ⅱ</w:t>
            </w:r>
            <w:r>
              <w:rPr>
                <w:rFonts w:hint="default" w:ascii="Times New Roman" w:hAnsi="Times New Roman" w:eastAsia="微软雅黑" w:cs="Times New Roman"/>
                <w:bCs/>
                <w:color w:val="auto"/>
                <w:sz w:val="24"/>
                <w:highlight w:val="none"/>
                <w:lang w:val="en-US" w:eastAsia="zh-CN"/>
              </w:rPr>
              <w:t>-1</w:t>
            </w:r>
            <w:r>
              <w:rPr>
                <w:rFonts w:hint="eastAsia"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bCs/>
                <w:color w:val="auto"/>
                <w:sz w:val="24"/>
                <w:highlight w:val="none"/>
                <w:lang w:eastAsia="zh-CN"/>
              </w:rPr>
              <w:t>滦河上游生物多样性保护功能区</w:t>
            </w:r>
            <w:r>
              <w:rPr>
                <w:rFonts w:hint="eastAsia" w:ascii="Times New Roman" w:hAnsi="Times New Roman" w:eastAsia="宋体" w:cs="Times New Roman"/>
                <w:bCs/>
                <w:color w:val="auto"/>
                <w:sz w:val="24"/>
                <w:highlight w:val="none"/>
                <w:lang w:eastAsia="zh-CN"/>
              </w:rPr>
              <w:t>（</w:t>
            </w:r>
            <w:r>
              <w:rPr>
                <w:rFonts w:hint="default" w:ascii="Times New Roman" w:hAnsi="Times New Roman" w:eastAsia="微软雅黑" w:cs="Times New Roman"/>
                <w:bCs/>
                <w:color w:val="auto"/>
                <w:sz w:val="24"/>
                <w:highlight w:val="none"/>
                <w:lang w:eastAsia="zh-CN"/>
              </w:rPr>
              <w:t>Ⅱ</w:t>
            </w:r>
            <w:r>
              <w:rPr>
                <w:rFonts w:hint="default" w:ascii="Times New Roman" w:hAnsi="Times New Roman" w:eastAsia="微软雅黑" w:cs="Times New Roman"/>
                <w:bCs/>
                <w:color w:val="auto"/>
                <w:sz w:val="24"/>
                <w:highlight w:val="none"/>
                <w:lang w:val="en-US" w:eastAsia="zh-CN"/>
              </w:rPr>
              <w:t>-1-3</w:t>
            </w:r>
            <w:r>
              <w:rPr>
                <w:rFonts w:hint="eastAsia"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，本项目为新能源光伏发电配套电力送出工程，本次环评是在原有“围环评﹝2022﹞20号”基础上输变电辐射环评内容，项目施工期在采取生态保护及水土保持措施后，能够满足其所在功能区的环境保护要求。</w:t>
            </w:r>
          </w:p>
          <w:p w14:paraId="6B288567">
            <w:pPr>
              <w:adjustRightInd w:val="0"/>
              <w:snapToGrid w:val="0"/>
              <w:spacing w:line="440" w:lineRule="exact"/>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4、环境保护规划符合性分析</w:t>
            </w:r>
          </w:p>
          <w:p w14:paraId="0C92A606">
            <w:pPr>
              <w:adjustRightInd w:val="0"/>
              <w:snapToGrid w:val="0"/>
              <w:spacing w:line="44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（1）《河北省生态环境保护“十四五”规划》符合性分析</w:t>
            </w:r>
          </w:p>
          <w:p w14:paraId="70F7F357">
            <w:pPr>
              <w:adjustRightInd w:val="0"/>
              <w:snapToGrid w:val="0"/>
              <w:spacing w:line="44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河北省生态环境保护“十四五”规划》：河北省在“十四五”期间要调整优化能源供给结构；控制化石能源消费总量，推动非化石能源成为能源消费增量的主体；大力发展风能、太阳能等可再生能源发电，有序推动抽水蓄能电站规划建设，打造冀北清洁能源基地，积极推动可再生能源制氢，完善产供储销配套设施，拓展氢能应用领域。新增可再生能源和原料用能不纳入能源消费总量控制，创造条件尽早实现能耗“双控”向碳排放总量和强度“双控”转变。坚持“增气减煤”同步，加强天然气基础设施建设，扩大管道气覆盖范围。因地制宜推进生物质热电联产，加快建设垃圾焚烧发电项目。到2025年，非化石能源消费占能源消费比重提高到13%以上，可再生能源装机占全部电力装机比重达到60%左右。</w:t>
            </w:r>
          </w:p>
          <w:p w14:paraId="733F5587">
            <w:pPr>
              <w:pStyle w:val="41"/>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rPr>
              <w:t>本项目为</w:t>
            </w:r>
            <w:r>
              <w:rPr>
                <w:rFonts w:hint="eastAsia" w:ascii="Times New Roman" w:hAnsi="Times New Roman" w:eastAsia="宋体" w:cs="Times New Roman"/>
                <w:color w:val="auto"/>
                <w:sz w:val="24"/>
                <w:szCs w:val="24"/>
                <w:highlight w:val="none"/>
                <w:lang w:eastAsia="zh-CN"/>
              </w:rPr>
              <w:t>新能源光伏发电配套电力送出工程</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highlight w:val="none"/>
              </w:rPr>
              <w:t>符合《河北省生态环境保护“十四五”规划》中的相关要求。</w:t>
            </w:r>
          </w:p>
          <w:p w14:paraId="5FC0FEDF">
            <w:pPr>
              <w:pStyle w:val="41"/>
              <w:spacing w:line="480" w:lineRule="exact"/>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（2）承德市生态环境保护“十四五”规划</w:t>
            </w:r>
          </w:p>
          <w:p w14:paraId="09FEA155">
            <w:pPr>
              <w:pStyle w:val="41"/>
              <w:spacing w:line="480" w:lineRule="exact"/>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对照《承德市生态环境保护“十四五”规划》（承德市人民政府 2022年5月27日发布），在规划重点任务中提出了“推动能源清洁高效利用”，具体包括：调整优化能源供给结构。控制化石能源消费总量，推动非化石能源成为能源消费增量的主体。大力发展风能、太阳能等可再生能源发电，有序推动抽水蓄能电站规划建设，加快承德百万千瓦风电基地二期、光伏发电应用基地和分布式光伏项目建设，推进丰宁、滦平等抽水蓄能电站建设，积极推动可再生能源制氢，完善产供储销配套设施，拓展氢能应用领域。坚持“增气减煤”同步，加强天然气基础设施建设，扩大管道气覆盖范围。因地制宜推进生物质热电联产，加快建设垃圾焚烧发电项目。到2025年，非化石能源消费占能源消费比重和可再生能源装机占全部电力装机比重明显提升。</w:t>
            </w:r>
          </w:p>
          <w:p w14:paraId="087FF813">
            <w:pPr>
              <w:pStyle w:val="41"/>
              <w:spacing w:line="480" w:lineRule="exact"/>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本项目为新能源光伏发电配套电力送出工程，本次环评是在原有“围环评﹝2022﹞20号”基础上输电辐射环评内容，属于承德市大力推进太阳能光伏发电的组成部分，工程实施有利于降低化石能源消费总量，提高可再生能源装机比重。因此，本项目符合承德市生态环境保护“十四五”规划相关要求。</w:t>
            </w:r>
          </w:p>
          <w:p w14:paraId="305C9B3D">
            <w:pPr>
              <w:pStyle w:val="41"/>
              <w:spacing w:line="480" w:lineRule="exact"/>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（3）《承德市重点水源涵养生态功能保护区规划》符合性</w:t>
            </w:r>
          </w:p>
          <w:p w14:paraId="6BBC3EAF">
            <w:pPr>
              <w:pStyle w:val="41"/>
              <w:spacing w:line="480" w:lineRule="exact"/>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根据《承德市重点水源涵养生态功能保护区规划》，承德市重点水源涵养生态功能保护区包含了承德市的双桥区、双滦区、平泉县、隆化县的全部，滦平县、承德县、丰宁县、围场县的大部分，宽城县、兴隆县的小部分。承德市重点水源涵养生态功能保护区总面积</w:t>
            </w:r>
            <w:r>
              <w:rPr>
                <w:rFonts w:hint="default" w:ascii="Times New Roman" w:hAnsi="Times New Roman" w:cs="Times New Roman"/>
                <w:bCs/>
                <w:color w:val="auto"/>
                <w:sz w:val="24"/>
                <w:highlight w:val="none"/>
              </w:rPr>
              <w:t>8015.92km</w:t>
            </w:r>
            <w:r>
              <w:rPr>
                <w:rFonts w:hint="default" w:ascii="Times New Roman" w:hAnsi="Times New Roman" w:cs="Times New Roman"/>
                <w:bCs/>
                <w:color w:val="auto"/>
                <w:sz w:val="24"/>
                <w:highlight w:val="none"/>
                <w:vertAlign w:val="superscript"/>
              </w:rPr>
              <w:t>2</w:t>
            </w:r>
            <w:r>
              <w:rPr>
                <w:rFonts w:hint="default" w:ascii="Times New Roman" w:hAnsi="Times New Roman" w:eastAsia="宋体" w:cs="Times New Roman"/>
                <w:bCs/>
                <w:color w:val="auto"/>
                <w:sz w:val="24"/>
                <w:highlight w:val="none"/>
              </w:rPr>
              <w:t>，占全市土地面积的</w:t>
            </w:r>
            <w:r>
              <w:rPr>
                <w:rFonts w:hint="default" w:ascii="Times New Roman" w:hAnsi="Times New Roman" w:cs="Times New Roman"/>
                <w:bCs/>
                <w:color w:val="auto"/>
                <w:sz w:val="24"/>
                <w:highlight w:val="none"/>
              </w:rPr>
              <w:t>20.29%</w:t>
            </w:r>
            <w:r>
              <w:rPr>
                <w:rFonts w:hint="default" w:ascii="Times New Roman" w:hAnsi="Times New Roman" w:eastAsia="宋体" w:cs="Times New Roman"/>
                <w:bCs/>
                <w:color w:val="auto"/>
                <w:sz w:val="24"/>
                <w:highlight w:val="none"/>
              </w:rPr>
              <w:t>。</w:t>
            </w:r>
          </w:p>
          <w:p w14:paraId="2FBDC360">
            <w:pPr>
              <w:pStyle w:val="41"/>
              <w:spacing w:line="480" w:lineRule="exact"/>
              <w:ind w:firstLine="480" w:firstLineChars="200"/>
              <w:jc w:val="both"/>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本项目为</w:t>
            </w:r>
            <w:r>
              <w:rPr>
                <w:rFonts w:hint="eastAsia" w:ascii="Times New Roman" w:hAnsi="Times New Roman" w:eastAsia="宋体" w:cs="Times New Roman"/>
                <w:bCs/>
                <w:color w:val="auto"/>
                <w:sz w:val="24"/>
                <w:highlight w:val="none"/>
                <w:lang w:eastAsia="zh-CN"/>
              </w:rPr>
              <w:t>新能源光伏发电配套电力送出工程</w:t>
            </w:r>
            <w:r>
              <w:rPr>
                <w:rFonts w:hint="default" w:ascii="Times New Roman" w:hAnsi="Times New Roman" w:eastAsia="宋体" w:cs="Times New Roman"/>
                <w:bCs/>
                <w:color w:val="auto"/>
                <w:sz w:val="24"/>
                <w:highlight w:val="none"/>
              </w:rPr>
              <w:t>，本次环评是在原有“围环评﹝2022﹞20号”基础上输变电辐射环评内容，对照《承德市重点水源涵养生态功能保护区规划》，本项目线路</w:t>
            </w:r>
            <w:r>
              <w:rPr>
                <w:rFonts w:hint="eastAsia" w:ascii="Times New Roman" w:hAnsi="Times New Roman" w:eastAsia="宋体" w:cs="Times New Roman"/>
                <w:bCs/>
                <w:color w:val="auto"/>
                <w:sz w:val="24"/>
                <w:highlight w:val="none"/>
                <w:lang w:val="en-US" w:eastAsia="zh-CN"/>
              </w:rPr>
              <w:t>不涉及承德市重点水源涵养生态功能保护区</w:t>
            </w:r>
            <w:r>
              <w:rPr>
                <w:rFonts w:hint="default" w:ascii="Times New Roman" w:hAnsi="Times New Roman" w:eastAsia="宋体" w:cs="Times New Roman"/>
                <w:bCs/>
                <w:color w:val="auto"/>
                <w:sz w:val="24"/>
                <w:highlight w:val="none"/>
              </w:rPr>
              <w:t>，项目与承德市重点水源涵养生态功能保护区规划不冲突。本项目与承德市重点水源涵养生态功能保护区划位置关系见附图。</w:t>
            </w:r>
          </w:p>
          <w:p w14:paraId="1DFD00D6">
            <w:pPr>
              <w:pStyle w:val="41"/>
              <w:spacing w:line="480" w:lineRule="exact"/>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5、与冀环环评函﹝2019﹞308号符合性分析</w:t>
            </w:r>
          </w:p>
          <w:p w14:paraId="0E15C5BF">
            <w:pPr>
              <w:pStyle w:val="41"/>
              <w:spacing w:line="480" w:lineRule="exact"/>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根据产业政策符合性判定，本项目的建设符合国家、省管理要求，不在环境准入负面清单之列。对照《关于印发改善大气环境质量实施区域差别化环境准入的指导意见的通知》（冀环环评函﹝2019﹞308号），张家口市属于重点生态功能区，依托现有资源适当发展生态旅游、商务会展等第三服务产业；积极发展农林牧业、食品加工、新能源等；重点建设制造、电子信息技术产业。重点提高矿山开采、金属制品加工等行业环境准入要求。禁止露天采矿、石灰石制造、平板玻璃制造、氮肥制造等。</w:t>
            </w:r>
          </w:p>
          <w:p w14:paraId="744FE61C">
            <w:pPr>
              <w:pStyle w:val="41"/>
              <w:spacing w:line="480" w:lineRule="exact"/>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sz w:val="24"/>
                <w:szCs w:val="24"/>
                <w:highlight w:val="none"/>
              </w:rPr>
              <w:t>本项目为</w:t>
            </w:r>
            <w:r>
              <w:rPr>
                <w:rFonts w:hint="eastAsia" w:ascii="Times New Roman" w:hAnsi="Times New Roman" w:eastAsia="宋体" w:cs="Times New Roman"/>
                <w:color w:val="auto"/>
                <w:sz w:val="24"/>
                <w:szCs w:val="24"/>
                <w:highlight w:val="none"/>
                <w:lang w:eastAsia="zh-CN"/>
              </w:rPr>
              <w:t>新能源光伏发电配套电力送出工程</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Cs/>
                <w:color w:val="auto"/>
                <w:sz w:val="24"/>
                <w:highlight w:val="none"/>
              </w:rPr>
              <w:t>不属于“改善大气环境质量实施差别化环境准入管理名录”中限制、禁止行业，符合关于印发改善大气环境质量实施区域差别化环境准入的指导意见的通知》（冀环环评函﹝2019﹞308号）要求。</w:t>
            </w:r>
          </w:p>
          <w:p w14:paraId="383BA314">
            <w:pPr>
              <w:pStyle w:val="41"/>
              <w:spacing w:line="480" w:lineRule="exact"/>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6、与国家重点生态功能区产业准入负面清单符合性分析</w:t>
            </w:r>
          </w:p>
          <w:p w14:paraId="62EC071D">
            <w:pPr>
              <w:pStyle w:val="41"/>
              <w:spacing w:line="480" w:lineRule="exact"/>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依据河北省发展和改革委员会关于印发《康保县等坝上六县国家重点生态功能区产业准入负面清单（试行））》（冀发改规划[2017]248号）中河北省</w:t>
            </w:r>
            <w:r>
              <w:rPr>
                <w:rFonts w:hint="eastAsia" w:ascii="Times New Roman" w:hAnsi="Times New Roman" w:eastAsia="宋体" w:cs="Times New Roman"/>
                <w:bCs/>
                <w:color w:val="auto"/>
                <w:sz w:val="24"/>
                <w:highlight w:val="none"/>
                <w:lang w:val="en-US" w:eastAsia="zh-CN"/>
              </w:rPr>
              <w:t>围场县</w:t>
            </w:r>
            <w:r>
              <w:rPr>
                <w:rFonts w:hint="default" w:ascii="Times New Roman" w:hAnsi="Times New Roman" w:eastAsia="宋体" w:cs="Times New Roman"/>
                <w:bCs/>
                <w:color w:val="auto"/>
                <w:sz w:val="24"/>
                <w:highlight w:val="none"/>
              </w:rPr>
              <w:t>国家重点生态功能区产业准入负面清单。本项目不属于发电工程，属于《国民经济行业分类（GB/T4754-2017）》中的电力供应工程（D4420），未列入该负面清单管控范围。</w:t>
            </w:r>
          </w:p>
          <w:p w14:paraId="13D9BD01">
            <w:pPr>
              <w:pStyle w:val="41"/>
              <w:spacing w:line="480" w:lineRule="exact"/>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本项目与《康保县等坝上六县国家重点生态功能区产业准入负面清单（试行））》管控要求不冲突，项目所服务的</w:t>
            </w:r>
            <w:r>
              <w:rPr>
                <w:rFonts w:hint="default" w:ascii="Times New Roman" w:hAnsi="Times New Roman" w:eastAsia="宋体" w:cs="Times New Roman"/>
                <w:color w:val="auto"/>
                <w:sz w:val="24"/>
                <w:szCs w:val="24"/>
                <w:highlight w:val="none"/>
              </w:rPr>
              <w:t>光伏发电项目环境影响报告表</w:t>
            </w:r>
            <w:r>
              <w:rPr>
                <w:rFonts w:hint="default" w:ascii="Times New Roman" w:hAnsi="Times New Roman" w:eastAsia="宋体" w:cs="Times New Roman"/>
                <w:bCs/>
                <w:color w:val="auto"/>
                <w:sz w:val="24"/>
                <w:highlight w:val="none"/>
              </w:rPr>
              <w:t>已取得管理部门行政许可。</w:t>
            </w:r>
          </w:p>
          <w:p w14:paraId="23347E32">
            <w:pPr>
              <w:pStyle w:val="41"/>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7、行业规划符合性</w:t>
            </w:r>
          </w:p>
          <w:p w14:paraId="2FDA0BCC">
            <w:pPr>
              <w:pStyle w:val="41"/>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（1）承德市电网布局相关规划符合性</w:t>
            </w:r>
          </w:p>
          <w:p w14:paraId="5B035D76">
            <w:pPr>
              <w:pStyle w:val="41"/>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承德市能源“十四五”规划和2035年远景目标纲要》提出，“构建综合能源体系，提升电力设施保障能力和智慧化水平，完善油气管网和新能源配套基础设施，强化能源安全保障能力。提升电力设施保障能力和智慧化水平。全力实施清洁能源送出工程，加快建设承德首座1000千伏特高压升压站，同步配套建设500千伏升压站项目，形成“三站一送大基地”清洁能源送出网架，着力提升清洁能源消纳送出能力。 ……加快推进智能电网和微电网示范项目建设。”</w:t>
            </w:r>
          </w:p>
          <w:p w14:paraId="2B25553B">
            <w:pPr>
              <w:pStyle w:val="41"/>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本项目为</w:t>
            </w:r>
            <w:r>
              <w:rPr>
                <w:rFonts w:hint="eastAsia" w:ascii="Times New Roman" w:hAnsi="Times New Roman" w:eastAsia="宋体" w:cs="Times New Roman"/>
                <w:color w:val="auto"/>
                <w:sz w:val="24"/>
                <w:szCs w:val="24"/>
                <w:highlight w:val="none"/>
                <w:lang w:eastAsia="zh-CN"/>
              </w:rPr>
              <w:t>新能源光伏发电配套电力送出工程</w:t>
            </w:r>
            <w:r>
              <w:rPr>
                <w:rFonts w:hint="default" w:ascii="Times New Roman" w:hAnsi="Times New Roman" w:eastAsia="宋体" w:cs="Times New Roman"/>
                <w:color w:val="auto"/>
                <w:sz w:val="24"/>
                <w:highlight w:val="none"/>
              </w:rPr>
              <w:t>，本次环评是在原有“</w:t>
            </w:r>
            <w:r>
              <w:rPr>
                <w:rFonts w:hint="default" w:ascii="Times New Roman" w:hAnsi="Times New Roman" w:eastAsia="宋体" w:cs="Times New Roman"/>
                <w:bCs/>
                <w:color w:val="auto"/>
                <w:sz w:val="24"/>
                <w:highlight w:val="none"/>
              </w:rPr>
              <w:t>围环评﹝2022﹞20号</w:t>
            </w:r>
            <w:r>
              <w:rPr>
                <w:rFonts w:hint="default" w:ascii="Times New Roman" w:hAnsi="Times New Roman" w:eastAsia="宋体" w:cs="Times New Roman"/>
                <w:color w:val="auto"/>
                <w:sz w:val="24"/>
                <w:highlight w:val="none"/>
              </w:rPr>
              <w:t>”基础上输变电辐射环评内容，有利于促进综合能源体系的构建，可保证清洁能源的顺利并网。</w:t>
            </w:r>
          </w:p>
          <w:p w14:paraId="52437859">
            <w:pPr>
              <w:pStyle w:val="41"/>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对照电网发展规划，“至2025年，承德电网主体结构与2022年保持基本不变，依托承德、金山岭、御道口、宽城4座500kV升压站，在220kV层面建成承德~高寺台~隆城~周营子~金山岭~屯南~营子~柴河~热河~袁庄~西营子~袁庄~承德升压站的双环网结构，以及承德~榆树沟~瀑河~都山~承德东~森园~建平~承德不完全双环结构。”</w:t>
            </w:r>
          </w:p>
          <w:p w14:paraId="016CC5DA">
            <w:pPr>
              <w:spacing w:before="10" w:after="120" w:afterLines="50" w:line="360" w:lineRule="auto"/>
              <w:jc w:val="center"/>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drawing>
                <wp:inline distT="0" distB="0" distL="114300" distR="114300">
                  <wp:extent cx="4862195" cy="2802890"/>
                  <wp:effectExtent l="0" t="0" r="14605" b="1651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9"/>
                          <a:stretch>
                            <a:fillRect/>
                          </a:stretch>
                        </pic:blipFill>
                        <pic:spPr>
                          <a:xfrm>
                            <a:off x="0" y="0"/>
                            <a:ext cx="4862195" cy="2802890"/>
                          </a:xfrm>
                          <a:prstGeom prst="rect">
                            <a:avLst/>
                          </a:prstGeom>
                          <a:noFill/>
                          <a:ln>
                            <a:noFill/>
                          </a:ln>
                        </pic:spPr>
                      </pic:pic>
                    </a:graphicData>
                  </a:graphic>
                </wp:inline>
              </w:drawing>
            </w:r>
          </w:p>
          <w:p w14:paraId="44EEF5AA">
            <w:pPr>
              <w:pStyle w:val="118"/>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图1-1  本项目接入系统方案图</w:t>
            </w:r>
          </w:p>
          <w:p w14:paraId="1E5360D0">
            <w:pPr>
              <w:pStyle w:val="41"/>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2、与《输变电建设项目环境保护技术要求》相符性分析</w:t>
            </w:r>
          </w:p>
          <w:p w14:paraId="7FB5D9A2">
            <w:pPr>
              <w:pStyle w:val="27"/>
              <w:spacing w:before="0" w:beforeAutospacing="0" w:after="0" w:afterAutospacing="0" w:line="360" w:lineRule="auto"/>
              <w:ind w:firstLine="480" w:firstLineChars="20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本工程与《输变电建设项目环境保护技术要求》(HJ1113-2020)符合性分析见下表：</w:t>
            </w:r>
          </w:p>
          <w:p w14:paraId="7E6B2664">
            <w:pPr>
              <w:pStyle w:val="41"/>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表1-</w:t>
            </w:r>
            <w:r>
              <w:rPr>
                <w:rFonts w:hint="eastAsia" w:ascii="Times New Roman" w:hAnsi="Times New Roman" w:eastAsia="宋体" w:cs="Times New Roman"/>
                <w:b/>
                <w:color w:val="auto"/>
                <w:sz w:val="21"/>
                <w:szCs w:val="21"/>
                <w:highlight w:val="none"/>
                <w:lang w:val="en-US" w:eastAsia="zh-CN"/>
              </w:rPr>
              <w:t>8</w:t>
            </w:r>
            <w:r>
              <w:rPr>
                <w:rFonts w:hint="default" w:ascii="Times New Roman" w:hAnsi="Times New Roman" w:eastAsia="宋体" w:cs="Times New Roman"/>
                <w:b/>
                <w:color w:val="auto"/>
                <w:sz w:val="21"/>
                <w:szCs w:val="21"/>
                <w:highlight w:val="none"/>
              </w:rPr>
              <w:t xml:space="preserve">  与《输变电建设项目环境保护技术要求》符合性分析表</w:t>
            </w:r>
          </w:p>
          <w:tbl>
            <w:tblPr>
              <w:tblStyle w:val="3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3978"/>
              <w:gridCol w:w="3056"/>
              <w:gridCol w:w="487"/>
            </w:tblGrid>
            <w:tr w14:paraId="4B198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2791" w:type="pct"/>
                  <w:gridSpan w:val="2"/>
                  <w:vAlign w:val="center"/>
                </w:tcPr>
                <w:p w14:paraId="6FACC4FC">
                  <w:pPr>
                    <w:pStyle w:val="4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《输变电建设项目环境保护技术要求》</w:t>
                  </w:r>
                </w:p>
              </w:tc>
              <w:tc>
                <w:tcPr>
                  <w:tcW w:w="1904" w:type="pct"/>
                  <w:vAlign w:val="center"/>
                </w:tcPr>
                <w:p w14:paraId="520DDEB9">
                  <w:pPr>
                    <w:pStyle w:val="4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本项目情况</w:t>
                  </w:r>
                </w:p>
              </w:tc>
              <w:tc>
                <w:tcPr>
                  <w:tcW w:w="303" w:type="pct"/>
                  <w:vAlign w:val="center"/>
                </w:tcPr>
                <w:p w14:paraId="79263DB0">
                  <w:pPr>
                    <w:pStyle w:val="41"/>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符合性</w:t>
                  </w:r>
                </w:p>
              </w:tc>
            </w:tr>
            <w:tr w14:paraId="112DC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312" w:type="pct"/>
                  <w:vMerge w:val="restart"/>
                  <w:vAlign w:val="center"/>
                </w:tcPr>
                <w:p w14:paraId="2DF6D885">
                  <w:pPr>
                    <w:pStyle w:val="4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5选址选线</w:t>
                  </w:r>
                </w:p>
              </w:tc>
              <w:tc>
                <w:tcPr>
                  <w:tcW w:w="2479" w:type="pct"/>
                  <w:vAlign w:val="center"/>
                </w:tcPr>
                <w:p w14:paraId="71DD2567">
                  <w:pPr>
                    <w:pStyle w:val="4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 输变电建设项目选址选线应符合生态保护红线管控要求，避让自然保护区、饮用水水源保护区等环境敏感区。确实因自然条件等因素限制无法避让自然保护区实验区、饮用水水源二级保护区等环境敏感区的输电线路，应在满足相关法律法规及管理要求的前提下对线路方案进行唯一性论证，并采取无害化方式通过。</w:t>
                  </w:r>
                </w:p>
              </w:tc>
              <w:tc>
                <w:tcPr>
                  <w:tcW w:w="1904" w:type="pct"/>
                  <w:vAlign w:val="center"/>
                </w:tcPr>
                <w:p w14:paraId="4BF0DE5F">
                  <w:pPr>
                    <w:pStyle w:val="41"/>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本项目选线区域不可避让河北滦河上游国家级自然保护区实验区，国家林业和草原局出具了行政许可决定，采取措施后影响可接受，路线不涉及饮用水水源保护区，符合要求。</w:t>
                  </w:r>
                </w:p>
              </w:tc>
              <w:tc>
                <w:tcPr>
                  <w:tcW w:w="303" w:type="pct"/>
                  <w:vAlign w:val="center"/>
                </w:tcPr>
                <w:p w14:paraId="728FC963">
                  <w:pPr>
                    <w:pStyle w:val="4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FC22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312" w:type="pct"/>
                  <w:vMerge w:val="continue"/>
                  <w:vAlign w:val="center"/>
                </w:tcPr>
                <w:p w14:paraId="23BFDA84">
                  <w:pPr>
                    <w:widowControl/>
                    <w:autoSpaceDE/>
                    <w:autoSpaceDN/>
                    <w:jc w:val="center"/>
                    <w:rPr>
                      <w:rFonts w:hint="default" w:ascii="Times New Roman" w:hAnsi="Times New Roman" w:eastAsia="宋体" w:cs="Times New Roman"/>
                      <w:color w:val="auto"/>
                      <w:sz w:val="21"/>
                      <w:szCs w:val="21"/>
                      <w:highlight w:val="none"/>
                    </w:rPr>
                  </w:pPr>
                </w:p>
              </w:tc>
              <w:tc>
                <w:tcPr>
                  <w:tcW w:w="2479" w:type="pct"/>
                  <w:vAlign w:val="center"/>
                </w:tcPr>
                <w:p w14:paraId="122EBCA4">
                  <w:pPr>
                    <w:pStyle w:val="4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 变电工程在选址时应按终期规模综合考虑进出线走廊规划，避免进出线进入自然保护区、饮用水水源保护区等环境敏感区。</w:t>
                  </w:r>
                </w:p>
              </w:tc>
              <w:tc>
                <w:tcPr>
                  <w:tcW w:w="1904" w:type="pct"/>
                  <w:vAlign w:val="center"/>
                </w:tcPr>
                <w:p w14:paraId="2607AC62">
                  <w:pPr>
                    <w:pStyle w:val="41"/>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本项目不涉及变电工程，符合要求。</w:t>
                  </w:r>
                </w:p>
              </w:tc>
              <w:tc>
                <w:tcPr>
                  <w:tcW w:w="303" w:type="pct"/>
                  <w:vAlign w:val="center"/>
                </w:tcPr>
                <w:p w14:paraId="0F6CE60D">
                  <w:pPr>
                    <w:pStyle w:val="4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2EA2D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312" w:type="pct"/>
                  <w:vMerge w:val="continue"/>
                  <w:vAlign w:val="center"/>
                </w:tcPr>
                <w:p w14:paraId="3681EF69">
                  <w:pPr>
                    <w:widowControl/>
                    <w:autoSpaceDE/>
                    <w:autoSpaceDN/>
                    <w:jc w:val="center"/>
                    <w:rPr>
                      <w:rFonts w:hint="default" w:ascii="Times New Roman" w:hAnsi="Times New Roman" w:eastAsia="宋体" w:cs="Times New Roman"/>
                      <w:color w:val="auto"/>
                      <w:sz w:val="21"/>
                      <w:szCs w:val="21"/>
                      <w:highlight w:val="none"/>
                    </w:rPr>
                  </w:pPr>
                </w:p>
              </w:tc>
              <w:tc>
                <w:tcPr>
                  <w:tcW w:w="2479" w:type="pct"/>
                  <w:vAlign w:val="center"/>
                </w:tcPr>
                <w:p w14:paraId="31CA59D9">
                  <w:pPr>
                    <w:pStyle w:val="4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5.4 户外变电工程及规划架空进出线选址选线时，应关注以居住、医疗卫生、文化教育、科研、行政办公等为主要功能的区域，采取综合措施，减少电磁和声环境影响。</w:t>
                  </w:r>
                </w:p>
              </w:tc>
              <w:tc>
                <w:tcPr>
                  <w:tcW w:w="1904" w:type="pct"/>
                  <w:vAlign w:val="center"/>
                </w:tcPr>
                <w:p w14:paraId="3AE5B758">
                  <w:pPr>
                    <w:pStyle w:val="41"/>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线路评价范围内避让居住、医疗卫生、文化教育、科研、行政办公等为主要功能的区域。采取高架方式，减少电磁和声环境影响，符合要求。</w:t>
                  </w:r>
                </w:p>
              </w:tc>
              <w:tc>
                <w:tcPr>
                  <w:tcW w:w="303" w:type="pct"/>
                  <w:vAlign w:val="center"/>
                </w:tcPr>
                <w:p w14:paraId="19B778D2">
                  <w:pPr>
                    <w:pStyle w:val="4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13A1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312" w:type="pct"/>
                  <w:vMerge w:val="continue"/>
                  <w:vAlign w:val="center"/>
                </w:tcPr>
                <w:p w14:paraId="396777E5">
                  <w:pPr>
                    <w:widowControl/>
                    <w:autoSpaceDE/>
                    <w:autoSpaceDN/>
                    <w:jc w:val="center"/>
                    <w:rPr>
                      <w:rFonts w:hint="default" w:ascii="Times New Roman" w:hAnsi="Times New Roman" w:eastAsia="宋体" w:cs="Times New Roman"/>
                      <w:color w:val="auto"/>
                      <w:sz w:val="21"/>
                      <w:szCs w:val="21"/>
                      <w:highlight w:val="none"/>
                    </w:rPr>
                  </w:pPr>
                </w:p>
              </w:tc>
              <w:tc>
                <w:tcPr>
                  <w:tcW w:w="2479" w:type="pct"/>
                  <w:vAlign w:val="center"/>
                </w:tcPr>
                <w:p w14:paraId="516F6B33">
                  <w:pPr>
                    <w:pStyle w:val="4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 同一走廊内的多回输电线路，宜采取同塔多回架设、并行架设等形式，减少新开辟走廊，优化线路走廊间距，降低环境影响。</w:t>
                  </w:r>
                </w:p>
              </w:tc>
              <w:tc>
                <w:tcPr>
                  <w:tcW w:w="1904" w:type="pct"/>
                  <w:vAlign w:val="center"/>
                </w:tcPr>
                <w:p w14:paraId="3A7069A8">
                  <w:pPr>
                    <w:pStyle w:val="41"/>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本项目不涉及多回输电线路，220kV线路采用单回架设，符合要求。</w:t>
                  </w:r>
                </w:p>
              </w:tc>
              <w:tc>
                <w:tcPr>
                  <w:tcW w:w="303" w:type="pct"/>
                  <w:vAlign w:val="center"/>
                </w:tcPr>
                <w:p w14:paraId="05921B9D">
                  <w:pPr>
                    <w:pStyle w:val="4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25085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312" w:type="pct"/>
                  <w:vMerge w:val="continue"/>
                  <w:vAlign w:val="center"/>
                </w:tcPr>
                <w:p w14:paraId="3CADDFB1">
                  <w:pPr>
                    <w:widowControl/>
                    <w:autoSpaceDE/>
                    <w:autoSpaceDN/>
                    <w:jc w:val="center"/>
                    <w:rPr>
                      <w:rFonts w:hint="default" w:ascii="Times New Roman" w:hAnsi="Times New Roman" w:eastAsia="宋体" w:cs="Times New Roman"/>
                      <w:color w:val="auto"/>
                      <w:sz w:val="21"/>
                      <w:szCs w:val="21"/>
                      <w:highlight w:val="none"/>
                    </w:rPr>
                  </w:pPr>
                </w:p>
              </w:tc>
              <w:tc>
                <w:tcPr>
                  <w:tcW w:w="2479" w:type="pct"/>
                  <w:vAlign w:val="center"/>
                </w:tcPr>
                <w:p w14:paraId="756B52F4">
                  <w:pPr>
                    <w:pStyle w:val="4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5.6 原则上避免在0类声环境功能区建设变电工程。</w:t>
                  </w:r>
                </w:p>
              </w:tc>
              <w:tc>
                <w:tcPr>
                  <w:tcW w:w="1904" w:type="pct"/>
                  <w:vAlign w:val="center"/>
                </w:tcPr>
                <w:p w14:paraId="315A49B0">
                  <w:pPr>
                    <w:pStyle w:val="41"/>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项目所在区域不涉及0类声环境功能区，符合要求。</w:t>
                  </w:r>
                </w:p>
              </w:tc>
              <w:tc>
                <w:tcPr>
                  <w:tcW w:w="303" w:type="pct"/>
                  <w:vAlign w:val="center"/>
                </w:tcPr>
                <w:p w14:paraId="6FC99FE7">
                  <w:pPr>
                    <w:pStyle w:val="4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2AC7C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312" w:type="pct"/>
                  <w:vMerge w:val="continue"/>
                  <w:vAlign w:val="center"/>
                </w:tcPr>
                <w:p w14:paraId="4D3AD751">
                  <w:pPr>
                    <w:widowControl/>
                    <w:autoSpaceDE/>
                    <w:autoSpaceDN/>
                    <w:jc w:val="center"/>
                    <w:rPr>
                      <w:rFonts w:hint="default" w:ascii="Times New Roman" w:hAnsi="Times New Roman" w:eastAsia="宋体" w:cs="Times New Roman"/>
                      <w:color w:val="auto"/>
                      <w:sz w:val="21"/>
                      <w:szCs w:val="21"/>
                      <w:highlight w:val="none"/>
                    </w:rPr>
                  </w:pPr>
                </w:p>
              </w:tc>
              <w:tc>
                <w:tcPr>
                  <w:tcW w:w="2479" w:type="pct"/>
                  <w:vAlign w:val="center"/>
                </w:tcPr>
                <w:p w14:paraId="656319B0">
                  <w:pPr>
                    <w:pStyle w:val="4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 变电工程选址时，应综合考虑减少土地占用、植被砍伐和弃土弃渣等，以减少对生态环境的不利影响。</w:t>
                  </w:r>
                </w:p>
              </w:tc>
              <w:tc>
                <w:tcPr>
                  <w:tcW w:w="1904" w:type="pct"/>
                  <w:vAlign w:val="center"/>
                </w:tcPr>
                <w:p w14:paraId="25DD57EB">
                  <w:pPr>
                    <w:pStyle w:val="41"/>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本项目不涉及变电工程，符合要求，线路土石方占地范围内平衡，不需设置弃土弃渣场，符合要求。</w:t>
                  </w:r>
                </w:p>
              </w:tc>
              <w:tc>
                <w:tcPr>
                  <w:tcW w:w="303" w:type="pct"/>
                  <w:vAlign w:val="center"/>
                </w:tcPr>
                <w:p w14:paraId="3782AA30">
                  <w:pPr>
                    <w:pStyle w:val="4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85F7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312" w:type="pct"/>
                  <w:vMerge w:val="continue"/>
                  <w:vAlign w:val="center"/>
                </w:tcPr>
                <w:p w14:paraId="4D6E7639">
                  <w:pPr>
                    <w:widowControl/>
                    <w:autoSpaceDE/>
                    <w:autoSpaceDN/>
                    <w:jc w:val="center"/>
                    <w:rPr>
                      <w:rFonts w:hint="default" w:ascii="Times New Roman" w:hAnsi="Times New Roman" w:eastAsia="宋体" w:cs="Times New Roman"/>
                      <w:color w:val="auto"/>
                      <w:sz w:val="21"/>
                      <w:szCs w:val="21"/>
                      <w:highlight w:val="none"/>
                    </w:rPr>
                  </w:pPr>
                </w:p>
              </w:tc>
              <w:tc>
                <w:tcPr>
                  <w:tcW w:w="2479" w:type="pct"/>
                  <w:vAlign w:val="center"/>
                </w:tcPr>
                <w:p w14:paraId="21BA532F">
                  <w:pPr>
                    <w:pStyle w:val="4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 输电线路宜避让集中林区，以减少林木砍伐，保护生态环境。</w:t>
                  </w:r>
                </w:p>
              </w:tc>
              <w:tc>
                <w:tcPr>
                  <w:tcW w:w="1904" w:type="pct"/>
                  <w:vAlign w:val="center"/>
                </w:tcPr>
                <w:p w14:paraId="0415E9D3">
                  <w:pPr>
                    <w:pStyle w:val="41"/>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输电线路不占用集中林区，符合要求。</w:t>
                  </w:r>
                </w:p>
              </w:tc>
              <w:tc>
                <w:tcPr>
                  <w:tcW w:w="303" w:type="pct"/>
                  <w:vAlign w:val="center"/>
                </w:tcPr>
                <w:p w14:paraId="57B7FC86">
                  <w:pPr>
                    <w:pStyle w:val="4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0392E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312" w:type="pct"/>
                  <w:vMerge w:val="continue"/>
                  <w:vAlign w:val="center"/>
                </w:tcPr>
                <w:p w14:paraId="1125BAEA">
                  <w:pPr>
                    <w:widowControl/>
                    <w:autoSpaceDE/>
                    <w:autoSpaceDN/>
                    <w:jc w:val="center"/>
                    <w:rPr>
                      <w:rFonts w:hint="default" w:ascii="Times New Roman" w:hAnsi="Times New Roman" w:eastAsia="宋体" w:cs="Times New Roman"/>
                      <w:color w:val="auto"/>
                      <w:sz w:val="21"/>
                      <w:szCs w:val="21"/>
                      <w:highlight w:val="none"/>
                    </w:rPr>
                  </w:pPr>
                </w:p>
              </w:tc>
              <w:tc>
                <w:tcPr>
                  <w:tcW w:w="2479" w:type="pct"/>
                  <w:vAlign w:val="center"/>
                </w:tcPr>
                <w:p w14:paraId="6F8065D7">
                  <w:pPr>
                    <w:pStyle w:val="4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 进入自然保护区的输电线路，应按照HJ19的要求开展生态现状调查，避让保护对象的集中分布区。</w:t>
                  </w:r>
                </w:p>
              </w:tc>
              <w:tc>
                <w:tcPr>
                  <w:tcW w:w="1904" w:type="pct"/>
                  <w:vAlign w:val="center"/>
                </w:tcPr>
                <w:p w14:paraId="2BCFEA35">
                  <w:pPr>
                    <w:pStyle w:val="41"/>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本项目选线区域不可避让河北滦河上游国家级自然保护区实验区，国家林业和草原局出具了行政许可决定，本项目编制了生态专项，对生态现状进行了调查，符合要求。</w:t>
                  </w:r>
                </w:p>
              </w:tc>
              <w:tc>
                <w:tcPr>
                  <w:tcW w:w="303" w:type="pct"/>
                  <w:vAlign w:val="center"/>
                </w:tcPr>
                <w:p w14:paraId="6258CBE4">
                  <w:pPr>
                    <w:pStyle w:val="4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694E8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312" w:type="pct"/>
                  <w:vMerge w:val="restart"/>
                  <w:vAlign w:val="center"/>
                </w:tcPr>
                <w:p w14:paraId="3579AE78">
                  <w:pPr>
                    <w:widowControl/>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6设计</w:t>
                  </w:r>
                </w:p>
              </w:tc>
              <w:tc>
                <w:tcPr>
                  <w:tcW w:w="2479" w:type="pct"/>
                  <w:vAlign w:val="center"/>
                </w:tcPr>
                <w:p w14:paraId="1826F9D4">
                  <w:pPr>
                    <w:pStyle w:val="4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输电线路设计应因地制宜选择线路型式、架设高度、杆塔塔型、导线参数、相序布置等，减少电磁环境影响。</w:t>
                  </w:r>
                </w:p>
              </w:tc>
              <w:tc>
                <w:tcPr>
                  <w:tcW w:w="1904" w:type="pct"/>
                  <w:vAlign w:val="center"/>
                </w:tcPr>
                <w:p w14:paraId="2A4AF164">
                  <w:pPr>
                    <w:pStyle w:val="4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本工程选用高跨线，提升架设高度，减少电磁环境影响。</w:t>
                  </w:r>
                </w:p>
              </w:tc>
              <w:tc>
                <w:tcPr>
                  <w:tcW w:w="303" w:type="pct"/>
                  <w:vAlign w:val="center"/>
                </w:tcPr>
                <w:p w14:paraId="181B45B9">
                  <w:pPr>
                    <w:pStyle w:val="41"/>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rPr>
                    <w:t>符合</w:t>
                  </w:r>
                </w:p>
              </w:tc>
            </w:tr>
            <w:tr w14:paraId="1D8EA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312" w:type="pct"/>
                  <w:vMerge w:val="continue"/>
                  <w:vAlign w:val="center"/>
                </w:tcPr>
                <w:p w14:paraId="0588999C">
                  <w:pPr>
                    <w:widowControl/>
                    <w:autoSpaceDE/>
                    <w:autoSpaceDN/>
                    <w:jc w:val="center"/>
                    <w:rPr>
                      <w:rFonts w:hint="default" w:ascii="Times New Roman" w:hAnsi="Times New Roman" w:eastAsia="宋体" w:cs="Times New Roman"/>
                      <w:color w:val="auto"/>
                      <w:sz w:val="21"/>
                      <w:szCs w:val="21"/>
                      <w:highlight w:val="none"/>
                    </w:rPr>
                  </w:pPr>
                </w:p>
              </w:tc>
              <w:tc>
                <w:tcPr>
                  <w:tcW w:w="2479" w:type="pct"/>
                  <w:vAlign w:val="center"/>
                </w:tcPr>
                <w:p w14:paraId="6479A3C0">
                  <w:pPr>
                    <w:pStyle w:val="4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架空输电线路经过电磁环境敏感目标时，应采取避让或增加导线对地高度等措施，减少电磁环境影响。</w:t>
                  </w:r>
                </w:p>
              </w:tc>
              <w:tc>
                <w:tcPr>
                  <w:tcW w:w="1904" w:type="pct"/>
                  <w:vAlign w:val="center"/>
                </w:tcPr>
                <w:p w14:paraId="298BF1CA">
                  <w:pPr>
                    <w:pStyle w:val="4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本工程避让电磁环境敏感目标，减少电磁环境影响。</w:t>
                  </w:r>
                </w:p>
              </w:tc>
              <w:tc>
                <w:tcPr>
                  <w:tcW w:w="303" w:type="pct"/>
                  <w:vAlign w:val="center"/>
                </w:tcPr>
                <w:p w14:paraId="78C7A194">
                  <w:pPr>
                    <w:pStyle w:val="41"/>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rPr>
                    <w:t>符合</w:t>
                  </w:r>
                </w:p>
              </w:tc>
            </w:tr>
            <w:tr w14:paraId="535E7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312" w:type="pct"/>
                  <w:vMerge w:val="continue"/>
                  <w:vAlign w:val="center"/>
                </w:tcPr>
                <w:p w14:paraId="05391E28">
                  <w:pPr>
                    <w:widowControl/>
                    <w:autoSpaceDE/>
                    <w:autoSpaceDN/>
                    <w:jc w:val="center"/>
                    <w:rPr>
                      <w:rFonts w:hint="default" w:ascii="Times New Roman" w:hAnsi="Times New Roman" w:eastAsia="宋体" w:cs="Times New Roman"/>
                      <w:color w:val="auto"/>
                      <w:sz w:val="21"/>
                      <w:szCs w:val="21"/>
                      <w:highlight w:val="none"/>
                    </w:rPr>
                  </w:pPr>
                </w:p>
              </w:tc>
              <w:tc>
                <w:tcPr>
                  <w:tcW w:w="2479" w:type="pct"/>
                  <w:vAlign w:val="center"/>
                </w:tcPr>
                <w:p w14:paraId="7B46A3EB">
                  <w:pPr>
                    <w:pStyle w:val="4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应按照避让、减缓、恢复的次序提出生态影响防护与恢复的措施。</w:t>
                  </w:r>
                </w:p>
              </w:tc>
              <w:tc>
                <w:tcPr>
                  <w:tcW w:w="1904" w:type="pct"/>
                  <w:vAlign w:val="center"/>
                </w:tcPr>
                <w:p w14:paraId="600B61D5">
                  <w:pPr>
                    <w:pStyle w:val="4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本工程线路设计、施工采取避让、减缓、恢复措施降低对生态环境的影响。</w:t>
                  </w:r>
                </w:p>
              </w:tc>
              <w:tc>
                <w:tcPr>
                  <w:tcW w:w="303" w:type="pct"/>
                  <w:vAlign w:val="center"/>
                </w:tcPr>
                <w:p w14:paraId="2FB52523">
                  <w:pPr>
                    <w:pStyle w:val="41"/>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rPr>
                    <w:t>符合</w:t>
                  </w:r>
                </w:p>
              </w:tc>
            </w:tr>
            <w:tr w14:paraId="392B8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312" w:type="pct"/>
                  <w:vMerge w:val="restart"/>
                  <w:vAlign w:val="center"/>
                </w:tcPr>
                <w:p w14:paraId="698B63E4">
                  <w:pPr>
                    <w:widowControl/>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7施工</w:t>
                  </w:r>
                </w:p>
              </w:tc>
              <w:tc>
                <w:tcPr>
                  <w:tcW w:w="2479" w:type="pct"/>
                  <w:vAlign w:val="center"/>
                </w:tcPr>
                <w:p w14:paraId="2384052F">
                  <w:pPr>
                    <w:pStyle w:val="118"/>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highlight w:val="none"/>
                    </w:rPr>
                    <w:t>施工临时道路应尽可能利用机耕路、林区小路等现有道路，新建道路应严格控制道路宽度，以减少临时工程对生态环境的影</w:t>
                  </w:r>
                  <w:r>
                    <w:rPr>
                      <w:rFonts w:hint="default" w:ascii="Times New Roman" w:hAnsi="Times New Roman" w:eastAsia="宋体" w:cs="Times New Roman"/>
                      <w:b w:val="0"/>
                      <w:color w:val="auto"/>
                      <w:spacing w:val="-9"/>
                      <w:highlight w:val="none"/>
                    </w:rPr>
                    <w:t>响。</w:t>
                  </w:r>
                </w:p>
              </w:tc>
              <w:tc>
                <w:tcPr>
                  <w:tcW w:w="1904" w:type="pct"/>
                  <w:vAlign w:val="center"/>
                </w:tcPr>
                <w:p w14:paraId="1AC7B05F">
                  <w:pPr>
                    <w:pStyle w:val="118"/>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spacing w:val="-1"/>
                      <w:highlight w:val="none"/>
                    </w:rPr>
                    <w:t>建议施工单位充分利用已有的乡间道路等，减少临时道路，降低临时道路</w:t>
                  </w:r>
                  <w:r>
                    <w:rPr>
                      <w:rFonts w:hint="default" w:ascii="Times New Roman" w:hAnsi="Times New Roman" w:eastAsia="宋体" w:cs="Times New Roman"/>
                      <w:b w:val="0"/>
                      <w:color w:val="auto"/>
                      <w:spacing w:val="5"/>
                      <w:highlight w:val="none"/>
                    </w:rPr>
                    <w:t>对生态环境的碾压、破坏影响。</w:t>
                  </w:r>
                </w:p>
              </w:tc>
              <w:tc>
                <w:tcPr>
                  <w:tcW w:w="303" w:type="pct"/>
                  <w:vAlign w:val="center"/>
                </w:tcPr>
                <w:p w14:paraId="79C5ED3F">
                  <w:pPr>
                    <w:pStyle w:val="4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08E2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312" w:type="pct"/>
                  <w:vMerge w:val="continue"/>
                  <w:vAlign w:val="center"/>
                </w:tcPr>
                <w:p w14:paraId="56016A3D">
                  <w:pPr>
                    <w:widowControl/>
                    <w:autoSpaceDE/>
                    <w:autoSpaceDN/>
                    <w:jc w:val="center"/>
                    <w:rPr>
                      <w:rFonts w:hint="default" w:ascii="Times New Roman" w:hAnsi="Times New Roman" w:eastAsia="宋体" w:cs="Times New Roman"/>
                      <w:color w:val="auto"/>
                      <w:sz w:val="21"/>
                      <w:szCs w:val="21"/>
                      <w:highlight w:val="none"/>
                    </w:rPr>
                  </w:pPr>
                </w:p>
              </w:tc>
              <w:tc>
                <w:tcPr>
                  <w:tcW w:w="2479" w:type="pct"/>
                  <w:vAlign w:val="center"/>
                </w:tcPr>
                <w:p w14:paraId="0F55974E">
                  <w:pPr>
                    <w:pStyle w:val="118"/>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highlight w:val="none"/>
                    </w:rPr>
                    <w:t>施工现场使用带油料的机械器具，应采取措施防止油料跑、冒、滴、漏，防止对土</w:t>
                  </w:r>
                  <w:r>
                    <w:rPr>
                      <w:rFonts w:hint="default" w:ascii="Times New Roman" w:hAnsi="Times New Roman" w:eastAsia="宋体" w:cs="Times New Roman"/>
                      <w:b w:val="0"/>
                      <w:color w:val="auto"/>
                      <w:spacing w:val="-1"/>
                      <w:highlight w:val="none"/>
                    </w:rPr>
                    <w:t>壤和水体造成污染。</w:t>
                  </w:r>
                </w:p>
              </w:tc>
              <w:tc>
                <w:tcPr>
                  <w:tcW w:w="1904" w:type="pct"/>
                  <w:vAlign w:val="center"/>
                </w:tcPr>
                <w:p w14:paraId="619A4973">
                  <w:pPr>
                    <w:pStyle w:val="118"/>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highlight w:val="none"/>
                    </w:rPr>
                    <w:t>提出了施工现场防治机械器具的油</w:t>
                  </w:r>
                  <w:r>
                    <w:rPr>
                      <w:rFonts w:hint="default" w:ascii="Times New Roman" w:hAnsi="Times New Roman" w:eastAsia="宋体" w:cs="Times New Roman"/>
                      <w:b w:val="0"/>
                      <w:color w:val="auto"/>
                      <w:spacing w:val="-8"/>
                      <w:highlight w:val="none"/>
                    </w:rPr>
                    <w:t>料跑、冒、滴、漏措施，使用油毡、</w:t>
                  </w:r>
                  <w:r>
                    <w:rPr>
                      <w:rFonts w:hint="default" w:ascii="Times New Roman" w:hAnsi="Times New Roman" w:eastAsia="宋体" w:cs="Times New Roman"/>
                      <w:b w:val="0"/>
                      <w:color w:val="auto"/>
                      <w:spacing w:val="-1"/>
                      <w:highlight w:val="none"/>
                    </w:rPr>
                    <w:t>隔离等措施，避免对土壤、水体造</w:t>
                  </w:r>
                  <w:r>
                    <w:rPr>
                      <w:rFonts w:hint="default" w:ascii="Times New Roman" w:hAnsi="Times New Roman" w:eastAsia="宋体" w:cs="Times New Roman"/>
                      <w:b w:val="0"/>
                      <w:color w:val="auto"/>
                      <w:spacing w:val="-3"/>
                      <w:highlight w:val="none"/>
                    </w:rPr>
                    <w:t>成污染。</w:t>
                  </w:r>
                </w:p>
              </w:tc>
              <w:tc>
                <w:tcPr>
                  <w:tcW w:w="303" w:type="pct"/>
                  <w:vAlign w:val="center"/>
                </w:tcPr>
                <w:p w14:paraId="7700B0DE">
                  <w:pPr>
                    <w:pStyle w:val="4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9989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312" w:type="pct"/>
                  <w:vMerge w:val="continue"/>
                  <w:vAlign w:val="center"/>
                </w:tcPr>
                <w:p w14:paraId="19077288">
                  <w:pPr>
                    <w:widowControl/>
                    <w:autoSpaceDE/>
                    <w:autoSpaceDN/>
                    <w:jc w:val="center"/>
                    <w:rPr>
                      <w:rFonts w:hint="default" w:ascii="Times New Roman" w:hAnsi="Times New Roman" w:eastAsia="宋体" w:cs="Times New Roman"/>
                      <w:color w:val="auto"/>
                      <w:sz w:val="21"/>
                      <w:szCs w:val="21"/>
                      <w:highlight w:val="none"/>
                    </w:rPr>
                  </w:pPr>
                </w:p>
              </w:tc>
              <w:tc>
                <w:tcPr>
                  <w:tcW w:w="2479" w:type="pct"/>
                  <w:vAlign w:val="center"/>
                </w:tcPr>
                <w:p w14:paraId="4DC19CDA">
                  <w:pPr>
                    <w:pStyle w:val="118"/>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highlight w:val="none"/>
                    </w:rPr>
                    <w:t>施工结束后，应及时清理施工现场，因地</w:t>
                  </w:r>
                  <w:r>
                    <w:rPr>
                      <w:rFonts w:hint="default" w:ascii="Times New Roman" w:hAnsi="Times New Roman" w:eastAsia="宋体" w:cs="Times New Roman"/>
                      <w:b w:val="0"/>
                      <w:color w:val="auto"/>
                      <w:spacing w:val="-1"/>
                      <w:highlight w:val="none"/>
                    </w:rPr>
                    <w:t>制宜进行土地功能恢复。</w:t>
                  </w:r>
                </w:p>
              </w:tc>
              <w:tc>
                <w:tcPr>
                  <w:tcW w:w="1904" w:type="pct"/>
                  <w:vAlign w:val="center"/>
                </w:tcPr>
                <w:p w14:paraId="17AB420C">
                  <w:pPr>
                    <w:pStyle w:val="118"/>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spacing w:val="-1"/>
                      <w:highlight w:val="none"/>
                    </w:rPr>
                    <w:t>项目施工结束后应及时清理垃圾，做到工尽、料完、场地清。</w:t>
                  </w:r>
                </w:p>
              </w:tc>
              <w:tc>
                <w:tcPr>
                  <w:tcW w:w="303" w:type="pct"/>
                  <w:vAlign w:val="center"/>
                </w:tcPr>
                <w:p w14:paraId="20117A96">
                  <w:pPr>
                    <w:pStyle w:val="4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23834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312" w:type="pct"/>
                  <w:vMerge w:val="continue"/>
                  <w:vAlign w:val="center"/>
                </w:tcPr>
                <w:p w14:paraId="4DEA56CE">
                  <w:pPr>
                    <w:widowControl/>
                    <w:autoSpaceDE/>
                    <w:autoSpaceDN/>
                    <w:jc w:val="center"/>
                    <w:rPr>
                      <w:rFonts w:hint="default" w:ascii="Times New Roman" w:hAnsi="Times New Roman" w:eastAsia="宋体" w:cs="Times New Roman"/>
                      <w:color w:val="auto"/>
                      <w:sz w:val="21"/>
                      <w:szCs w:val="21"/>
                      <w:highlight w:val="none"/>
                    </w:rPr>
                  </w:pPr>
                </w:p>
              </w:tc>
              <w:tc>
                <w:tcPr>
                  <w:tcW w:w="2479" w:type="pct"/>
                  <w:vAlign w:val="center"/>
                </w:tcPr>
                <w:p w14:paraId="3210EECF">
                  <w:pPr>
                    <w:pStyle w:val="118"/>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spacing w:val="-1"/>
                      <w:highlight w:val="none"/>
                    </w:rPr>
                    <w:t>施工期间禁止向水体排放、倾倒垃圾、弃</w:t>
                  </w:r>
                  <w:r>
                    <w:rPr>
                      <w:rFonts w:hint="default" w:ascii="Times New Roman" w:hAnsi="Times New Roman" w:eastAsia="宋体" w:cs="Times New Roman"/>
                      <w:b w:val="0"/>
                      <w:color w:val="auto"/>
                      <w:highlight w:val="none"/>
                    </w:rPr>
                    <w:t>土、弃渣，禁止排放未经处理的钻浆等废</w:t>
                  </w:r>
                  <w:r>
                    <w:rPr>
                      <w:rFonts w:hint="default" w:ascii="Times New Roman" w:hAnsi="Times New Roman" w:eastAsia="宋体" w:cs="Times New Roman"/>
                      <w:b w:val="0"/>
                      <w:color w:val="auto"/>
                      <w:spacing w:val="-4"/>
                      <w:highlight w:val="none"/>
                    </w:rPr>
                    <w:t>弃物。</w:t>
                  </w:r>
                </w:p>
              </w:tc>
              <w:tc>
                <w:tcPr>
                  <w:tcW w:w="1904" w:type="pct"/>
                  <w:vAlign w:val="center"/>
                </w:tcPr>
                <w:p w14:paraId="4EA64A19">
                  <w:pPr>
                    <w:pStyle w:val="118"/>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spacing w:val="-1"/>
                      <w:highlight w:val="none"/>
                    </w:rPr>
                    <w:t>本项目无涉水工程，不向水体倾倒各类固体废物及渣土。</w:t>
                  </w:r>
                </w:p>
              </w:tc>
              <w:tc>
                <w:tcPr>
                  <w:tcW w:w="303" w:type="pct"/>
                  <w:vAlign w:val="center"/>
                </w:tcPr>
                <w:p w14:paraId="5C75852F">
                  <w:pPr>
                    <w:pStyle w:val="4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60290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312" w:type="pct"/>
                  <w:vMerge w:val="continue"/>
                  <w:vAlign w:val="center"/>
                </w:tcPr>
                <w:p w14:paraId="7F94F730">
                  <w:pPr>
                    <w:widowControl/>
                    <w:autoSpaceDE/>
                    <w:autoSpaceDN/>
                    <w:jc w:val="center"/>
                    <w:rPr>
                      <w:rFonts w:hint="default" w:ascii="Times New Roman" w:hAnsi="Times New Roman" w:eastAsia="宋体" w:cs="Times New Roman"/>
                      <w:color w:val="auto"/>
                      <w:sz w:val="21"/>
                      <w:szCs w:val="21"/>
                      <w:highlight w:val="none"/>
                    </w:rPr>
                  </w:pPr>
                </w:p>
              </w:tc>
              <w:tc>
                <w:tcPr>
                  <w:tcW w:w="2479" w:type="pct"/>
                  <w:vAlign w:val="center"/>
                </w:tcPr>
                <w:p w14:paraId="10DBEDFE">
                  <w:pPr>
                    <w:pStyle w:val="118"/>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highlight w:val="none"/>
                    </w:rPr>
                    <w:t>施工过程中，应当加强对施工现场和物料</w:t>
                  </w:r>
                  <w:r>
                    <w:rPr>
                      <w:rFonts w:hint="default" w:ascii="Times New Roman" w:hAnsi="Times New Roman" w:eastAsia="宋体" w:cs="Times New Roman"/>
                      <w:b w:val="0"/>
                      <w:color w:val="auto"/>
                      <w:spacing w:val="-1"/>
                      <w:highlight w:val="none"/>
                    </w:rPr>
                    <w:t>运输的管理，在施工工地设置硬质围挡，</w:t>
                  </w:r>
                  <w:r>
                    <w:rPr>
                      <w:rFonts w:hint="default" w:ascii="Times New Roman" w:hAnsi="Times New Roman" w:eastAsia="宋体" w:cs="Times New Roman"/>
                      <w:b w:val="0"/>
                      <w:color w:val="auto"/>
                      <w:highlight w:val="none"/>
                    </w:rPr>
                    <w:t>保持道路清洁，管控料堆和渣土堆放，防</w:t>
                  </w:r>
                  <w:r>
                    <w:rPr>
                      <w:rFonts w:hint="default" w:ascii="Times New Roman" w:hAnsi="Times New Roman" w:eastAsia="宋体" w:cs="Times New Roman"/>
                      <w:b w:val="0"/>
                      <w:color w:val="auto"/>
                      <w:spacing w:val="-3"/>
                      <w:highlight w:val="none"/>
                    </w:rPr>
                    <w:t>治扬尘污染</w:t>
                  </w:r>
                </w:p>
              </w:tc>
              <w:tc>
                <w:tcPr>
                  <w:tcW w:w="1904" w:type="pct"/>
                  <w:vAlign w:val="center"/>
                </w:tcPr>
                <w:p w14:paraId="6045DEFF">
                  <w:pPr>
                    <w:pStyle w:val="118"/>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spacing w:val="-1"/>
                      <w:highlight w:val="none"/>
                    </w:rPr>
                    <w:t>施工过程中提出了现场和物料运输管理的苫盖等抑尘措施，施工区域</w:t>
                  </w:r>
                  <w:r>
                    <w:rPr>
                      <w:rFonts w:hint="default" w:ascii="Times New Roman" w:hAnsi="Times New Roman" w:eastAsia="宋体" w:cs="Times New Roman"/>
                      <w:b w:val="0"/>
                      <w:color w:val="auto"/>
                      <w:spacing w:val="-9"/>
                      <w:highlight w:val="none"/>
                    </w:rPr>
                    <w:t>设置围挡、洒水抑尘、苫盖等措施，</w:t>
                  </w:r>
                  <w:r>
                    <w:rPr>
                      <w:rFonts w:hint="default" w:ascii="Times New Roman" w:hAnsi="Times New Roman" w:eastAsia="宋体" w:cs="Times New Roman"/>
                      <w:b w:val="0"/>
                      <w:color w:val="auto"/>
                      <w:spacing w:val="-4"/>
                      <w:highlight w:val="none"/>
                    </w:rPr>
                    <w:t>防治扬尘。</w:t>
                  </w:r>
                </w:p>
              </w:tc>
              <w:tc>
                <w:tcPr>
                  <w:tcW w:w="303" w:type="pct"/>
                  <w:vAlign w:val="center"/>
                </w:tcPr>
                <w:p w14:paraId="7388BF8A">
                  <w:pPr>
                    <w:pStyle w:val="4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141A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312" w:type="pct"/>
                  <w:vMerge w:val="continue"/>
                  <w:vAlign w:val="center"/>
                </w:tcPr>
                <w:p w14:paraId="2131F183">
                  <w:pPr>
                    <w:widowControl/>
                    <w:autoSpaceDE/>
                    <w:autoSpaceDN/>
                    <w:jc w:val="center"/>
                    <w:rPr>
                      <w:rFonts w:hint="default" w:ascii="Times New Roman" w:hAnsi="Times New Roman" w:eastAsia="宋体" w:cs="Times New Roman"/>
                      <w:color w:val="auto"/>
                      <w:sz w:val="21"/>
                      <w:szCs w:val="21"/>
                      <w:highlight w:val="none"/>
                    </w:rPr>
                  </w:pPr>
                </w:p>
              </w:tc>
              <w:tc>
                <w:tcPr>
                  <w:tcW w:w="2479" w:type="pct"/>
                  <w:vAlign w:val="center"/>
                </w:tcPr>
                <w:p w14:paraId="140AE464">
                  <w:pPr>
                    <w:pStyle w:val="118"/>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highlight w:val="none"/>
                    </w:rPr>
                    <w:t>施工过程中产生的土石方、建筑垃圾、生活垃圾应分类集中收集，并按国家和地方有关规定定期进行清运处置，施工完成后</w:t>
                  </w:r>
                  <w:r>
                    <w:rPr>
                      <w:rFonts w:hint="default" w:ascii="Times New Roman" w:hAnsi="Times New Roman" w:eastAsia="宋体" w:cs="Times New Roman"/>
                      <w:b w:val="0"/>
                      <w:color w:val="auto"/>
                      <w:spacing w:val="-1"/>
                      <w:highlight w:val="none"/>
                    </w:rPr>
                    <w:t>及时做好迹地清理工作。</w:t>
                  </w:r>
                </w:p>
              </w:tc>
              <w:tc>
                <w:tcPr>
                  <w:tcW w:w="1904" w:type="pct"/>
                  <w:vAlign w:val="center"/>
                </w:tcPr>
                <w:p w14:paraId="00E893D8">
                  <w:pPr>
                    <w:pStyle w:val="118"/>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spacing w:val="-1"/>
                      <w:highlight w:val="none"/>
                    </w:rPr>
                    <w:t>施工过程中施工区域设置垃圾桶，建筑垃圾、生活垃圾分类集中收集，定期清运的措施，施工结束后，及时进行垃圾清理，迹地恢</w:t>
                  </w:r>
                  <w:r>
                    <w:rPr>
                      <w:rFonts w:hint="default" w:ascii="Times New Roman" w:hAnsi="Times New Roman" w:eastAsia="宋体" w:cs="Times New Roman"/>
                      <w:b w:val="0"/>
                      <w:color w:val="auto"/>
                      <w:spacing w:val="-6"/>
                      <w:highlight w:val="none"/>
                    </w:rPr>
                    <w:t>复。</w:t>
                  </w:r>
                </w:p>
              </w:tc>
              <w:tc>
                <w:tcPr>
                  <w:tcW w:w="303" w:type="pct"/>
                  <w:vAlign w:val="center"/>
                </w:tcPr>
                <w:p w14:paraId="757C6BD4">
                  <w:pPr>
                    <w:pStyle w:val="4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52C8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312" w:type="pct"/>
                  <w:vAlign w:val="center"/>
                </w:tcPr>
                <w:p w14:paraId="0E45D5A2">
                  <w:pPr>
                    <w:widowControl/>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8运行</w:t>
                  </w:r>
                </w:p>
              </w:tc>
              <w:tc>
                <w:tcPr>
                  <w:tcW w:w="2479" w:type="pct"/>
                  <w:vAlign w:val="center"/>
                </w:tcPr>
                <w:p w14:paraId="282160CD">
                  <w:pPr>
                    <w:pStyle w:val="118"/>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highlight w:val="none"/>
                    </w:rPr>
                    <w:t>定期开展环境监测</w:t>
                  </w:r>
                </w:p>
              </w:tc>
              <w:tc>
                <w:tcPr>
                  <w:tcW w:w="1904" w:type="pct"/>
                  <w:vAlign w:val="center"/>
                </w:tcPr>
                <w:p w14:paraId="238B4DC0">
                  <w:pPr>
                    <w:pStyle w:val="118"/>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spacing w:val="-1"/>
                      <w:highlight w:val="none"/>
                    </w:rPr>
                    <w:t>提出了运行期的环境监测计划</w:t>
                  </w:r>
                </w:p>
              </w:tc>
              <w:tc>
                <w:tcPr>
                  <w:tcW w:w="303" w:type="pct"/>
                  <w:vAlign w:val="center"/>
                </w:tcPr>
                <w:p w14:paraId="323277D9">
                  <w:pPr>
                    <w:pStyle w:val="4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14:paraId="27AC1437">
            <w:pPr>
              <w:pStyle w:val="41"/>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综上所述，本工程选址可行，选址满足《输变电建设项目环境保护技术要求》（HJ1113-2020）中相关技术要求。</w:t>
            </w:r>
          </w:p>
          <w:p w14:paraId="0F9045F2">
            <w:pPr>
              <w:pStyle w:val="41"/>
              <w:spacing w:line="480" w:lineRule="exact"/>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8、与《河北省生态环境厅办公室关于进一步做好沙区建设项目环境影响评价工作的通知》（冀环办字函[2023]326号）符合性分析</w:t>
            </w:r>
          </w:p>
          <w:p w14:paraId="2CD7FEBA">
            <w:pPr>
              <w:pStyle w:val="41"/>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河北省生态环境厅办公室关于进一步做好沙区建设项目环境影响评价工作的通知》（冀环办字函[2023]326号）相关要求，按照“在沙化土地范围内从事开发建设活动的，必须事先就该项目可能对当地及相关地区生态产生的影响进行环境影响评价，依法提交环境影响报告”。沙区建设项目需做好环境影响评价制度执行工作。根据沙区范围主要涉及的地域，围场县部分区域属于沙区范围涉及区域。</w:t>
            </w:r>
          </w:p>
          <w:p w14:paraId="47E88C7D">
            <w:pPr>
              <w:pStyle w:val="41"/>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本项目位于围场县老窝铺乡、城子镇</w:t>
            </w:r>
            <w:r>
              <w:rPr>
                <w:rFonts w:hint="eastAsia" w:ascii="Times New Roman" w:hAnsi="Times New Roman" w:eastAsia="宋体" w:cs="Times New Roman"/>
                <w:color w:val="auto"/>
                <w:sz w:val="24"/>
                <w:szCs w:val="24"/>
                <w:highlight w:val="none"/>
                <w:lang w:eastAsia="zh-CN"/>
              </w:rPr>
              <w:t>、御道口镇</w:t>
            </w:r>
            <w:r>
              <w:rPr>
                <w:rFonts w:hint="default" w:ascii="Times New Roman" w:hAnsi="Times New Roman" w:eastAsia="宋体" w:cs="Times New Roman"/>
                <w:color w:val="auto"/>
                <w:sz w:val="24"/>
                <w:szCs w:val="24"/>
                <w:highlight w:val="none"/>
              </w:rPr>
              <w:t>，项目线路占地范围在沙区范围内，施工单位充分利用已有的乡间道路等，减少临时道路，降低临时道路对生态环境的碾压、破坏影响。施工过程中按照水土保持方案采取工程措施、植被措施和临时措施降低对生态环境的影响。临时占地全部恢复原有功能，因此不会对沙区产生不利影响。</w:t>
            </w:r>
          </w:p>
          <w:p w14:paraId="4E2D0A09">
            <w:pPr>
              <w:pStyle w:val="41"/>
              <w:spacing w:line="480" w:lineRule="exact"/>
              <w:ind w:firstLine="482" w:firstLineChars="200"/>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9、与</w:t>
            </w:r>
            <w:r>
              <w:rPr>
                <w:rFonts w:hint="default" w:ascii="Times New Roman" w:hAnsi="Times New Roman" w:eastAsia="宋体" w:cs="Times New Roman"/>
                <w:b/>
                <w:bCs/>
                <w:color w:val="auto"/>
                <w:sz w:val="24"/>
                <w:szCs w:val="24"/>
                <w:highlight w:val="none"/>
              </w:rPr>
              <w:t>《河北滦河上游国家级自然保护区总体规划（2008~2015年）》</w:t>
            </w:r>
            <w:r>
              <w:rPr>
                <w:rFonts w:hint="default" w:ascii="Times New Roman" w:hAnsi="Times New Roman" w:eastAsia="宋体" w:cs="Times New Roman"/>
                <w:b/>
                <w:bCs/>
                <w:color w:val="auto"/>
                <w:sz w:val="24"/>
                <w:szCs w:val="24"/>
                <w:highlight w:val="none"/>
                <w:lang w:eastAsia="zh-CN"/>
              </w:rPr>
              <w:t>符合性分析</w:t>
            </w:r>
          </w:p>
          <w:p w14:paraId="17035012">
            <w:pPr>
              <w:pStyle w:val="41"/>
              <w:spacing w:line="480" w:lineRule="exact"/>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sz w:val="24"/>
                <w:szCs w:val="24"/>
                <w:highlight w:val="none"/>
              </w:rPr>
              <w:t>规划总体布局中划分保护区的一般保护区域严格控制在实验区范围内，以持续恢复、繁育自然资源、改善自然环境和合理利用自然资源、发展地方经济为目的。本项目穿越保护区实验区，可以促进当地经济和社会发展，符合《河北滦河上游国家级自然保护区总体规划（2008~2015年）》。</w:t>
            </w:r>
          </w:p>
        </w:tc>
      </w:tr>
    </w:tbl>
    <w:p w14:paraId="59DEACB6">
      <w:pPr>
        <w:jc w:val="center"/>
        <w:rPr>
          <w:rFonts w:hint="default" w:ascii="Times New Roman" w:hAnsi="Times New Roman" w:eastAsia="宋体" w:cs="Times New Roman"/>
          <w:color w:val="auto"/>
          <w:sz w:val="21"/>
          <w:highlight w:val="none"/>
        </w:rPr>
        <w:sectPr>
          <w:footerReference r:id="rId5" w:type="default"/>
          <w:pgSz w:w="11910" w:h="16840"/>
          <w:pgMar w:top="1580" w:right="1320" w:bottom="1240" w:left="1340" w:header="0" w:footer="1043" w:gutter="0"/>
          <w:pgNumType w:start="1"/>
          <w:cols w:space="720" w:num="1"/>
          <w:docGrid w:linePitch="299" w:charSpace="0"/>
        </w:sectPr>
      </w:pPr>
    </w:p>
    <w:p w14:paraId="6F86DDBC">
      <w:pPr>
        <w:pStyle w:val="12"/>
        <w:spacing w:line="550" w:lineRule="exact"/>
        <w:ind w:left="635" w:right="652"/>
        <w:jc w:val="center"/>
        <w:outlineLvl w:val="0"/>
        <w:rPr>
          <w:rFonts w:hint="default" w:ascii="Times New Roman" w:hAnsi="Times New Roman" w:eastAsia="宋体" w:cs="Times New Roman"/>
          <w:color w:val="auto"/>
          <w:highlight w:val="none"/>
        </w:rPr>
      </w:pPr>
      <w:bookmarkStart w:id="2" w:name="_Toc150930987"/>
      <w:r>
        <w:rPr>
          <w:rFonts w:hint="default" w:ascii="Times New Roman" w:hAnsi="Times New Roman" w:eastAsia="宋体" w:cs="Times New Roman"/>
          <w:color w:val="auto"/>
          <w:highlight w:val="none"/>
        </w:rPr>
        <w:t>二、建设项目工程分析</w:t>
      </w:r>
      <w:bookmarkEnd w:id="2"/>
    </w:p>
    <w:p w14:paraId="23F572CE">
      <w:pPr>
        <w:pStyle w:val="12"/>
        <w:spacing w:before="3"/>
        <w:rPr>
          <w:rFonts w:hint="default" w:ascii="Times New Roman" w:hAnsi="Times New Roman" w:eastAsia="宋体" w:cs="Times New Roman"/>
          <w:color w:val="auto"/>
          <w:sz w:val="8"/>
          <w:highlight w:val="none"/>
        </w:rPr>
      </w:pPr>
    </w:p>
    <w:tbl>
      <w:tblPr>
        <w:tblStyle w:val="39"/>
        <w:tblW w:w="8984" w:type="dxa"/>
        <w:tblInd w:w="13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388"/>
        <w:gridCol w:w="8596"/>
      </w:tblGrid>
      <w:tr w14:paraId="42ADC3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4" w:hRule="atLeast"/>
        </w:trPr>
        <w:tc>
          <w:tcPr>
            <w:tcW w:w="388" w:type="dxa"/>
            <w:tcBorders>
              <w:bottom w:val="single" w:color="000000" w:sz="4" w:space="0"/>
              <w:right w:val="single" w:color="000000" w:sz="4" w:space="0"/>
            </w:tcBorders>
            <w:vAlign w:val="center"/>
          </w:tcPr>
          <w:p w14:paraId="1A4205E8">
            <w:pPr>
              <w:pStyle w:val="41"/>
              <w:spacing w:line="360" w:lineRule="auto"/>
              <w:ind w:right="79"/>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地理位置</w:t>
            </w:r>
          </w:p>
        </w:tc>
        <w:tc>
          <w:tcPr>
            <w:tcW w:w="8596" w:type="dxa"/>
            <w:tcBorders>
              <w:left w:val="single" w:color="000000" w:sz="4" w:space="0"/>
              <w:bottom w:val="single" w:color="000000" w:sz="4" w:space="0"/>
            </w:tcBorders>
          </w:tcPr>
          <w:p w14:paraId="71E94A2E">
            <w:pPr>
              <w:pStyle w:val="41"/>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z w:val="24"/>
                <w:szCs w:val="24"/>
                <w:highlight w:val="none"/>
              </w:rPr>
              <w:t>华能围场“风光储氢热一体化”项目（光伏200MW）项目220kV送出线路工程项目</w:t>
            </w:r>
            <w:r>
              <w:rPr>
                <w:rFonts w:hint="default" w:ascii="Times New Roman" w:hAnsi="Times New Roman" w:eastAsia="宋体" w:cs="Times New Roman"/>
                <w:bCs/>
                <w:color w:val="auto"/>
                <w:sz w:val="24"/>
                <w:szCs w:val="24"/>
                <w:highlight w:val="none"/>
              </w:rPr>
              <w:t>位于</w:t>
            </w:r>
            <w:r>
              <w:rPr>
                <w:rFonts w:hint="default" w:ascii="Times New Roman" w:hAnsi="Times New Roman" w:eastAsia="宋体" w:cs="Times New Roman"/>
                <w:color w:val="auto"/>
                <w:sz w:val="24"/>
                <w:szCs w:val="24"/>
                <w:highlight w:val="none"/>
              </w:rPr>
              <w:t>河北省承德市围场满族蒙古族自治县老窝铺乡、城子镇</w:t>
            </w:r>
            <w:r>
              <w:rPr>
                <w:rFonts w:hint="eastAsia" w:ascii="Times New Roman" w:hAnsi="Times New Roman" w:eastAsia="宋体" w:cs="Times New Roman"/>
                <w:color w:val="auto"/>
                <w:sz w:val="24"/>
                <w:szCs w:val="24"/>
                <w:highlight w:val="none"/>
                <w:lang w:eastAsia="zh-CN"/>
              </w:rPr>
              <w:t>、御道口镇</w:t>
            </w:r>
            <w:r>
              <w:rPr>
                <w:rFonts w:hint="default" w:ascii="Times New Roman" w:hAnsi="Times New Roman" w:eastAsia="宋体" w:cs="Times New Roman"/>
                <w:color w:val="auto"/>
                <w:sz w:val="24"/>
                <w:szCs w:val="24"/>
                <w:highlight w:val="none"/>
              </w:rPr>
              <w:t>境内</w:t>
            </w:r>
            <w:r>
              <w:rPr>
                <w:rFonts w:hint="default" w:ascii="Times New Roman" w:hAnsi="Times New Roman" w:eastAsia="宋体" w:cs="Times New Roman"/>
                <w:bCs/>
                <w:color w:val="auto"/>
                <w:sz w:val="24"/>
                <w:szCs w:val="24"/>
                <w:highlight w:val="none"/>
              </w:rPr>
              <w:t>，线路起点从</w:t>
            </w:r>
            <w:r>
              <w:rPr>
                <w:rFonts w:hint="default" w:ascii="Times New Roman" w:hAnsi="Times New Roman" w:eastAsia="宋体" w:cs="Times New Roman"/>
                <w:color w:val="auto"/>
                <w:sz w:val="24"/>
                <w:szCs w:val="24"/>
                <w:highlight w:val="none"/>
              </w:rPr>
              <w:t>华能围场风光储氢热一体化项目（光伏200MW）项目升压站</w:t>
            </w:r>
            <w:r>
              <w:rPr>
                <w:rFonts w:hint="default" w:ascii="Times New Roman" w:hAnsi="Times New Roman" w:eastAsia="宋体" w:cs="Times New Roman"/>
                <w:bCs/>
                <w:color w:val="auto"/>
                <w:sz w:val="24"/>
                <w:szCs w:val="24"/>
                <w:highlight w:val="none"/>
              </w:rPr>
              <w:t>，通过1回220kV线路接入</w:t>
            </w:r>
            <w:r>
              <w:rPr>
                <w:rFonts w:hint="default" w:ascii="Times New Roman" w:hAnsi="Times New Roman" w:eastAsia="宋体" w:cs="Times New Roman"/>
                <w:color w:val="auto"/>
                <w:sz w:val="24"/>
                <w:szCs w:val="24"/>
                <w:highlight w:val="none"/>
              </w:rPr>
              <w:t>华能围场风光储氢热一体化项目（风电200MW）项目</w:t>
            </w:r>
            <w:r>
              <w:rPr>
                <w:rFonts w:hint="default" w:ascii="Times New Roman" w:hAnsi="Times New Roman" w:eastAsia="宋体" w:cs="Times New Roman"/>
                <w:bCs/>
                <w:color w:val="auto"/>
                <w:sz w:val="24"/>
                <w:szCs w:val="24"/>
                <w:highlight w:val="none"/>
              </w:rPr>
              <w:t>升压站，线路全长约22.99km，采用单回路架（敷）设，采用1回型号为JL/G1A-300/40钢芯铝绞线。</w:t>
            </w:r>
          </w:p>
          <w:p w14:paraId="1DCFA9B2">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rPr>
              <w:t>线路起点坐标</w:t>
            </w:r>
            <w:r>
              <w:rPr>
                <w:rFonts w:hint="default" w:ascii="Times New Roman" w:hAnsi="Times New Roman" w:eastAsia="宋体" w:cs="Times New Roman"/>
                <w:color w:val="auto"/>
                <w:sz w:val="24"/>
                <w:szCs w:val="24"/>
                <w:highlight w:val="none"/>
              </w:rPr>
              <w:t>：东经117°0′39.395″，北纬42°3′48.658″；线路终点坐标：东经117°11′5.024″，北纬41°58′9.475″</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主要拐点坐标见表2-1。</w:t>
            </w:r>
          </w:p>
          <w:p w14:paraId="64812F41">
            <w:pPr>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2-1</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eastAsia="zh-CN"/>
              </w:rPr>
              <w:t>拟建项目拐点塔基情况</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7"/>
              <w:gridCol w:w="3563"/>
              <w:gridCol w:w="2648"/>
            </w:tblGrid>
            <w:tr w14:paraId="6B92F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pct"/>
                  <w:vMerge w:val="restart"/>
                  <w:vAlign w:val="center"/>
                </w:tcPr>
                <w:p w14:paraId="1F1809EE">
                  <w:pPr>
                    <w:jc w:val="center"/>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eastAsia="zh-CN"/>
                    </w:rPr>
                    <w:t>编号</w:t>
                  </w:r>
                </w:p>
              </w:tc>
              <w:tc>
                <w:tcPr>
                  <w:tcW w:w="3624" w:type="pct"/>
                  <w:gridSpan w:val="2"/>
                  <w:vAlign w:val="center"/>
                </w:tcPr>
                <w:p w14:paraId="39BBED53">
                  <w:pPr>
                    <w:jc w:val="center"/>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坐标</w:t>
                  </w:r>
                </w:p>
              </w:tc>
            </w:tr>
            <w:tr w14:paraId="547A0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pct"/>
                  <w:vMerge w:val="continue"/>
                  <w:vAlign w:val="center"/>
                </w:tcPr>
                <w:p w14:paraId="714FC7AD">
                  <w:pPr>
                    <w:jc w:val="center"/>
                    <w:rPr>
                      <w:rFonts w:hint="default" w:ascii="Times New Roman" w:hAnsi="Times New Roman" w:eastAsia="宋体" w:cs="Times New Roman"/>
                      <w:b w:val="0"/>
                      <w:bCs w:val="0"/>
                      <w:color w:val="auto"/>
                      <w:sz w:val="21"/>
                      <w:szCs w:val="21"/>
                      <w:highlight w:val="none"/>
                      <w:vertAlign w:val="baseline"/>
                      <w:lang w:eastAsia="zh-CN"/>
                    </w:rPr>
                  </w:pPr>
                </w:p>
              </w:tc>
              <w:tc>
                <w:tcPr>
                  <w:tcW w:w="2079" w:type="pct"/>
                  <w:vAlign w:val="center"/>
                </w:tcPr>
                <w:p w14:paraId="6753282A">
                  <w:pPr>
                    <w:jc w:val="center"/>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东经</w:t>
                  </w:r>
                </w:p>
              </w:tc>
              <w:tc>
                <w:tcPr>
                  <w:tcW w:w="1545" w:type="pct"/>
                  <w:vAlign w:val="center"/>
                </w:tcPr>
                <w:p w14:paraId="0B996C28">
                  <w:pPr>
                    <w:jc w:val="center"/>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北纬</w:t>
                  </w:r>
                </w:p>
              </w:tc>
            </w:tr>
            <w:tr w14:paraId="36253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pct"/>
                  <w:vAlign w:val="center"/>
                </w:tcPr>
                <w:p w14:paraId="11EE6AE7">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起点</w:t>
                  </w:r>
                </w:p>
              </w:tc>
              <w:tc>
                <w:tcPr>
                  <w:tcW w:w="2079" w:type="pct"/>
                  <w:vAlign w:val="center"/>
                </w:tcPr>
                <w:p w14:paraId="49F9D688">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117°0′39.395″</w:t>
                  </w:r>
                </w:p>
              </w:tc>
              <w:tc>
                <w:tcPr>
                  <w:tcW w:w="1545" w:type="pct"/>
                  <w:vAlign w:val="center"/>
                </w:tcPr>
                <w:p w14:paraId="3AFB8837">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42°3′48.658″</w:t>
                  </w:r>
                </w:p>
              </w:tc>
            </w:tr>
            <w:tr w14:paraId="6F41D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pct"/>
                  <w:vAlign w:val="center"/>
                </w:tcPr>
                <w:p w14:paraId="1098AFA6">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J1（N1）</w:t>
                  </w:r>
                </w:p>
              </w:tc>
              <w:tc>
                <w:tcPr>
                  <w:tcW w:w="2079" w:type="pct"/>
                  <w:vAlign w:val="center"/>
                </w:tcPr>
                <w:p w14:paraId="37A1B3F7">
                  <w:pPr>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rPr>
                    <w:t>117°0′3</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898</w:t>
                  </w:r>
                  <w:r>
                    <w:rPr>
                      <w:rFonts w:hint="default" w:ascii="Times New Roman" w:hAnsi="Times New Roman" w:eastAsia="宋体" w:cs="Times New Roman"/>
                      <w:color w:val="auto"/>
                      <w:sz w:val="21"/>
                      <w:szCs w:val="21"/>
                      <w:highlight w:val="none"/>
                    </w:rPr>
                    <w:t>″</w:t>
                  </w:r>
                </w:p>
              </w:tc>
              <w:tc>
                <w:tcPr>
                  <w:tcW w:w="1545" w:type="pct"/>
                  <w:vAlign w:val="center"/>
                </w:tcPr>
                <w:p w14:paraId="6F9A7216">
                  <w:pPr>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rPr>
                    <w:t>42°3′4</w:t>
                  </w:r>
                  <w:r>
                    <w:rPr>
                      <w:rFonts w:hint="default" w:ascii="Times New Roman" w:hAnsi="Times New Roman" w:eastAsia="宋体" w:cs="Times New Roman"/>
                      <w:color w:val="auto"/>
                      <w:sz w:val="21"/>
                      <w:szCs w:val="21"/>
                      <w:highlight w:val="none"/>
                      <w:lang w:val="en-US" w:eastAsia="zh-CN"/>
                    </w:rPr>
                    <w:t>7.303</w:t>
                  </w:r>
                  <w:r>
                    <w:rPr>
                      <w:rFonts w:hint="default" w:ascii="Times New Roman" w:hAnsi="Times New Roman" w:eastAsia="宋体" w:cs="Times New Roman"/>
                      <w:color w:val="auto"/>
                      <w:sz w:val="21"/>
                      <w:szCs w:val="21"/>
                      <w:highlight w:val="none"/>
                    </w:rPr>
                    <w:t>″</w:t>
                  </w:r>
                </w:p>
              </w:tc>
            </w:tr>
            <w:tr w14:paraId="2B9F2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pct"/>
                  <w:vAlign w:val="center"/>
                </w:tcPr>
                <w:p w14:paraId="724CC0E2">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J2（N3）</w:t>
                  </w:r>
                </w:p>
              </w:tc>
              <w:tc>
                <w:tcPr>
                  <w:tcW w:w="2079" w:type="pct"/>
                  <w:vAlign w:val="center"/>
                </w:tcPr>
                <w:p w14:paraId="61091CE3">
                  <w:pPr>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rPr>
                    <w:t>117°</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7.788</w:t>
                  </w:r>
                  <w:r>
                    <w:rPr>
                      <w:rFonts w:hint="default" w:ascii="Times New Roman" w:hAnsi="Times New Roman" w:eastAsia="宋体" w:cs="Times New Roman"/>
                      <w:color w:val="auto"/>
                      <w:sz w:val="21"/>
                      <w:szCs w:val="21"/>
                      <w:highlight w:val="none"/>
                    </w:rPr>
                    <w:t>″</w:t>
                  </w:r>
                </w:p>
              </w:tc>
              <w:tc>
                <w:tcPr>
                  <w:tcW w:w="1545" w:type="pct"/>
                  <w:vAlign w:val="center"/>
                </w:tcPr>
                <w:p w14:paraId="250F4669">
                  <w:pPr>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rPr>
                    <w:t>42°3′</w:t>
                  </w:r>
                  <w:r>
                    <w:rPr>
                      <w:rFonts w:hint="default" w:ascii="Times New Roman" w:hAnsi="Times New Roman" w:eastAsia="宋体" w:cs="Times New Roman"/>
                      <w:color w:val="auto"/>
                      <w:sz w:val="21"/>
                      <w:szCs w:val="21"/>
                      <w:highlight w:val="none"/>
                      <w:lang w:val="en-US" w:eastAsia="zh-CN"/>
                    </w:rPr>
                    <w:t>37.776</w:t>
                  </w:r>
                  <w:r>
                    <w:rPr>
                      <w:rFonts w:hint="default" w:ascii="Times New Roman" w:hAnsi="Times New Roman" w:eastAsia="宋体" w:cs="Times New Roman"/>
                      <w:color w:val="auto"/>
                      <w:sz w:val="21"/>
                      <w:szCs w:val="21"/>
                      <w:highlight w:val="none"/>
                    </w:rPr>
                    <w:t>″</w:t>
                  </w:r>
                </w:p>
              </w:tc>
            </w:tr>
            <w:tr w14:paraId="58392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pct"/>
                  <w:vAlign w:val="center"/>
                </w:tcPr>
                <w:p w14:paraId="5600DDCF">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J3（N4）</w:t>
                  </w:r>
                </w:p>
              </w:tc>
              <w:tc>
                <w:tcPr>
                  <w:tcW w:w="2079" w:type="pct"/>
                  <w:vAlign w:val="center"/>
                </w:tcPr>
                <w:p w14:paraId="59ECE193">
                  <w:pPr>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rPr>
                    <w:t>117°</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26.147</w:t>
                  </w:r>
                  <w:r>
                    <w:rPr>
                      <w:rFonts w:hint="default" w:ascii="Times New Roman" w:hAnsi="Times New Roman" w:eastAsia="宋体" w:cs="Times New Roman"/>
                      <w:color w:val="auto"/>
                      <w:sz w:val="21"/>
                      <w:szCs w:val="21"/>
                      <w:highlight w:val="none"/>
                    </w:rPr>
                    <w:t>″</w:t>
                  </w:r>
                </w:p>
              </w:tc>
              <w:tc>
                <w:tcPr>
                  <w:tcW w:w="1545" w:type="pct"/>
                  <w:vAlign w:val="center"/>
                </w:tcPr>
                <w:p w14:paraId="095902B8">
                  <w:pPr>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rPr>
                    <w:t>42°3′</w:t>
                  </w:r>
                  <w:r>
                    <w:rPr>
                      <w:rFonts w:hint="default" w:ascii="Times New Roman" w:hAnsi="Times New Roman" w:eastAsia="宋体" w:cs="Times New Roman"/>
                      <w:color w:val="auto"/>
                      <w:sz w:val="21"/>
                      <w:szCs w:val="21"/>
                      <w:highlight w:val="none"/>
                      <w:lang w:val="en-US" w:eastAsia="zh-CN"/>
                    </w:rPr>
                    <w:t>26.827</w:t>
                  </w:r>
                  <w:r>
                    <w:rPr>
                      <w:rFonts w:hint="default" w:ascii="Times New Roman" w:hAnsi="Times New Roman" w:eastAsia="宋体" w:cs="Times New Roman"/>
                      <w:color w:val="auto"/>
                      <w:sz w:val="21"/>
                      <w:szCs w:val="21"/>
                      <w:highlight w:val="none"/>
                    </w:rPr>
                    <w:t>″</w:t>
                  </w:r>
                </w:p>
              </w:tc>
            </w:tr>
            <w:tr w14:paraId="00E2B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pct"/>
                  <w:vAlign w:val="center"/>
                </w:tcPr>
                <w:p w14:paraId="3643E10D">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J4（N12）</w:t>
                  </w:r>
                </w:p>
              </w:tc>
              <w:tc>
                <w:tcPr>
                  <w:tcW w:w="2079" w:type="pct"/>
                  <w:vAlign w:val="center"/>
                </w:tcPr>
                <w:p w14:paraId="233BD6CF">
                  <w:pPr>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rPr>
                    <w:t>117°</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45.184</w:t>
                  </w:r>
                  <w:r>
                    <w:rPr>
                      <w:rFonts w:hint="default" w:ascii="Times New Roman" w:hAnsi="Times New Roman" w:eastAsia="宋体" w:cs="Times New Roman"/>
                      <w:color w:val="auto"/>
                      <w:sz w:val="21"/>
                      <w:szCs w:val="21"/>
                      <w:highlight w:val="none"/>
                    </w:rPr>
                    <w:t>″</w:t>
                  </w:r>
                </w:p>
              </w:tc>
              <w:tc>
                <w:tcPr>
                  <w:tcW w:w="1545" w:type="pct"/>
                  <w:vAlign w:val="center"/>
                </w:tcPr>
                <w:p w14:paraId="4E14B6B3">
                  <w:pPr>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rPr>
                    <w:t>42°</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2.894</w:t>
                  </w:r>
                  <w:r>
                    <w:rPr>
                      <w:rFonts w:hint="default" w:ascii="Times New Roman" w:hAnsi="Times New Roman" w:eastAsia="宋体" w:cs="Times New Roman"/>
                      <w:color w:val="auto"/>
                      <w:sz w:val="21"/>
                      <w:szCs w:val="21"/>
                      <w:highlight w:val="none"/>
                    </w:rPr>
                    <w:t>″</w:t>
                  </w:r>
                </w:p>
              </w:tc>
            </w:tr>
            <w:tr w14:paraId="41C87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pct"/>
                  <w:vAlign w:val="center"/>
                </w:tcPr>
                <w:p w14:paraId="41A3683C">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J5（N14）</w:t>
                  </w:r>
                </w:p>
              </w:tc>
              <w:tc>
                <w:tcPr>
                  <w:tcW w:w="2079" w:type="pct"/>
                  <w:vAlign w:val="center"/>
                </w:tcPr>
                <w:p w14:paraId="30F798E2">
                  <w:pPr>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rPr>
                    <w:t>117°</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24.789</w:t>
                  </w:r>
                  <w:r>
                    <w:rPr>
                      <w:rFonts w:hint="default" w:ascii="Times New Roman" w:hAnsi="Times New Roman" w:eastAsia="宋体" w:cs="Times New Roman"/>
                      <w:color w:val="auto"/>
                      <w:sz w:val="21"/>
                      <w:szCs w:val="21"/>
                      <w:highlight w:val="none"/>
                    </w:rPr>
                    <w:t>″</w:t>
                  </w:r>
                </w:p>
              </w:tc>
              <w:tc>
                <w:tcPr>
                  <w:tcW w:w="1545" w:type="pct"/>
                  <w:vAlign w:val="center"/>
                </w:tcPr>
                <w:p w14:paraId="5D371B0F">
                  <w:pPr>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rPr>
                    <w:t>42°</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2.577</w:t>
                  </w:r>
                  <w:r>
                    <w:rPr>
                      <w:rFonts w:hint="default" w:ascii="Times New Roman" w:hAnsi="Times New Roman" w:eastAsia="宋体" w:cs="Times New Roman"/>
                      <w:color w:val="auto"/>
                      <w:sz w:val="21"/>
                      <w:szCs w:val="21"/>
                      <w:highlight w:val="none"/>
                    </w:rPr>
                    <w:t>″</w:t>
                  </w:r>
                </w:p>
              </w:tc>
            </w:tr>
            <w:tr w14:paraId="343B4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pct"/>
                  <w:vAlign w:val="center"/>
                </w:tcPr>
                <w:p w14:paraId="4401F4CE">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J6（N15）</w:t>
                  </w:r>
                </w:p>
              </w:tc>
              <w:tc>
                <w:tcPr>
                  <w:tcW w:w="2079" w:type="pct"/>
                  <w:vAlign w:val="center"/>
                </w:tcPr>
                <w:p w14:paraId="02EDBE97">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117°4′37.</w:t>
                  </w:r>
                  <w:r>
                    <w:rPr>
                      <w:rFonts w:hint="default" w:ascii="Times New Roman" w:hAnsi="Times New Roman" w:eastAsia="宋体" w:cs="Times New Roman"/>
                      <w:color w:val="auto"/>
                      <w:sz w:val="21"/>
                      <w:szCs w:val="21"/>
                      <w:highlight w:val="none"/>
                      <w:lang w:val="en-US" w:eastAsia="zh-CN"/>
                    </w:rPr>
                    <w:t>580</w:t>
                  </w:r>
                  <w:r>
                    <w:rPr>
                      <w:rFonts w:hint="default" w:ascii="Times New Roman" w:hAnsi="Times New Roman" w:eastAsia="宋体" w:cs="Times New Roman"/>
                      <w:color w:val="auto"/>
                      <w:sz w:val="21"/>
                      <w:szCs w:val="21"/>
                      <w:highlight w:val="none"/>
                    </w:rPr>
                    <w:t>″</w:t>
                  </w:r>
                </w:p>
              </w:tc>
              <w:tc>
                <w:tcPr>
                  <w:tcW w:w="1545" w:type="pct"/>
                  <w:vAlign w:val="center"/>
                </w:tcPr>
                <w:p w14:paraId="0F585C8A">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42°3′53.296″</w:t>
                  </w:r>
                </w:p>
              </w:tc>
            </w:tr>
            <w:tr w14:paraId="3D11D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pct"/>
                  <w:vAlign w:val="center"/>
                </w:tcPr>
                <w:p w14:paraId="786FA264">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J7（N16）</w:t>
                  </w:r>
                </w:p>
              </w:tc>
              <w:tc>
                <w:tcPr>
                  <w:tcW w:w="2079" w:type="pct"/>
                  <w:vAlign w:val="center"/>
                </w:tcPr>
                <w:p w14:paraId="25DC7E05">
                  <w:pPr>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rPr>
                    <w:t>117°4′</w:t>
                  </w:r>
                  <w:r>
                    <w:rPr>
                      <w:rFonts w:hint="default" w:ascii="Times New Roman" w:hAnsi="Times New Roman" w:eastAsia="宋体" w:cs="Times New Roman"/>
                      <w:color w:val="auto"/>
                      <w:sz w:val="21"/>
                      <w:szCs w:val="21"/>
                      <w:highlight w:val="none"/>
                      <w:lang w:val="en-US" w:eastAsia="zh-CN"/>
                    </w:rPr>
                    <w:t>52.907</w:t>
                  </w:r>
                  <w:r>
                    <w:rPr>
                      <w:rFonts w:hint="default" w:ascii="Times New Roman" w:hAnsi="Times New Roman" w:eastAsia="宋体" w:cs="Times New Roman"/>
                      <w:color w:val="auto"/>
                      <w:sz w:val="21"/>
                      <w:szCs w:val="21"/>
                      <w:highlight w:val="none"/>
                    </w:rPr>
                    <w:t>″</w:t>
                  </w:r>
                </w:p>
              </w:tc>
              <w:tc>
                <w:tcPr>
                  <w:tcW w:w="1545" w:type="pct"/>
                  <w:vAlign w:val="center"/>
                </w:tcPr>
                <w:p w14:paraId="2D362324">
                  <w:pPr>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42°3′45.149″</w:t>
                  </w:r>
                </w:p>
              </w:tc>
            </w:tr>
            <w:tr w14:paraId="60B2F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pct"/>
                  <w:vAlign w:val="center"/>
                </w:tcPr>
                <w:p w14:paraId="62213EF0">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J8（N19）</w:t>
                  </w:r>
                </w:p>
              </w:tc>
              <w:tc>
                <w:tcPr>
                  <w:tcW w:w="2079" w:type="pct"/>
                  <w:vAlign w:val="center"/>
                </w:tcPr>
                <w:p w14:paraId="5DC0276B">
                  <w:pPr>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rPr>
                    <w:t>117°</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26.679</w:t>
                  </w:r>
                  <w:r>
                    <w:rPr>
                      <w:rFonts w:hint="default" w:ascii="Times New Roman" w:hAnsi="Times New Roman" w:eastAsia="宋体" w:cs="Times New Roman"/>
                      <w:color w:val="auto"/>
                      <w:sz w:val="21"/>
                      <w:szCs w:val="21"/>
                      <w:highlight w:val="none"/>
                    </w:rPr>
                    <w:t>″</w:t>
                  </w:r>
                </w:p>
              </w:tc>
              <w:tc>
                <w:tcPr>
                  <w:tcW w:w="1545" w:type="pct"/>
                  <w:vAlign w:val="center"/>
                </w:tcPr>
                <w:p w14:paraId="06A59F25">
                  <w:pPr>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rPr>
                    <w:t>42°3′32.3</w:t>
                  </w:r>
                  <w:r>
                    <w:rPr>
                      <w:rFonts w:hint="default" w:ascii="Times New Roman" w:hAnsi="Times New Roman" w:eastAsia="宋体" w:cs="Times New Roman"/>
                      <w:color w:val="auto"/>
                      <w:sz w:val="21"/>
                      <w:szCs w:val="21"/>
                      <w:highlight w:val="none"/>
                      <w:lang w:val="en-US" w:eastAsia="zh-CN"/>
                    </w:rPr>
                    <w:t>90</w:t>
                  </w:r>
                  <w:r>
                    <w:rPr>
                      <w:rFonts w:hint="default" w:ascii="Times New Roman" w:hAnsi="Times New Roman" w:eastAsia="宋体" w:cs="Times New Roman"/>
                      <w:color w:val="auto"/>
                      <w:sz w:val="21"/>
                      <w:szCs w:val="21"/>
                      <w:highlight w:val="none"/>
                    </w:rPr>
                    <w:t>″</w:t>
                  </w:r>
                </w:p>
              </w:tc>
            </w:tr>
            <w:tr w14:paraId="3C2AA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pct"/>
                  <w:vAlign w:val="center"/>
                </w:tcPr>
                <w:p w14:paraId="5821CEEE">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J9（N20）</w:t>
                  </w:r>
                </w:p>
              </w:tc>
              <w:tc>
                <w:tcPr>
                  <w:tcW w:w="2079" w:type="pct"/>
                  <w:vAlign w:val="center"/>
                </w:tcPr>
                <w:p w14:paraId="7676F232">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117°5′33.8</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9″</w:t>
                  </w:r>
                </w:p>
              </w:tc>
              <w:tc>
                <w:tcPr>
                  <w:tcW w:w="1545" w:type="pct"/>
                  <w:vAlign w:val="center"/>
                </w:tcPr>
                <w:p w14:paraId="55708338">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42°3′24.8</w:t>
                  </w:r>
                  <w:r>
                    <w:rPr>
                      <w:rFonts w:hint="default" w:ascii="Times New Roman" w:hAnsi="Times New Roman" w:eastAsia="宋体" w:cs="Times New Roman"/>
                      <w:color w:val="auto"/>
                      <w:sz w:val="21"/>
                      <w:szCs w:val="21"/>
                      <w:highlight w:val="none"/>
                      <w:lang w:val="en-US" w:eastAsia="zh-CN"/>
                    </w:rPr>
                    <w:t>26</w:t>
                  </w:r>
                  <w:r>
                    <w:rPr>
                      <w:rFonts w:hint="default" w:ascii="Times New Roman" w:hAnsi="Times New Roman" w:eastAsia="宋体" w:cs="Times New Roman"/>
                      <w:color w:val="auto"/>
                      <w:sz w:val="21"/>
                      <w:szCs w:val="21"/>
                      <w:highlight w:val="none"/>
                    </w:rPr>
                    <w:t>″</w:t>
                  </w:r>
                </w:p>
              </w:tc>
            </w:tr>
            <w:tr w14:paraId="540C1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pct"/>
                  <w:vAlign w:val="center"/>
                </w:tcPr>
                <w:p w14:paraId="31D0F0EB">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J10（N22）</w:t>
                  </w:r>
                </w:p>
              </w:tc>
              <w:tc>
                <w:tcPr>
                  <w:tcW w:w="2079" w:type="pct"/>
                  <w:vAlign w:val="center"/>
                </w:tcPr>
                <w:p w14:paraId="1A83106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117°5′51.0</w:t>
                  </w: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9″</w:t>
                  </w:r>
                </w:p>
              </w:tc>
              <w:tc>
                <w:tcPr>
                  <w:tcW w:w="1545" w:type="pct"/>
                  <w:vAlign w:val="center"/>
                </w:tcPr>
                <w:p w14:paraId="7846DAE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42°3′21.</w:t>
                  </w:r>
                  <w:r>
                    <w:rPr>
                      <w:rFonts w:hint="default" w:ascii="Times New Roman" w:hAnsi="Times New Roman" w:eastAsia="宋体" w:cs="Times New Roman"/>
                      <w:color w:val="auto"/>
                      <w:sz w:val="21"/>
                      <w:szCs w:val="21"/>
                      <w:highlight w:val="none"/>
                      <w:lang w:val="en-US" w:eastAsia="zh-CN"/>
                    </w:rPr>
                    <w:t>525</w:t>
                  </w:r>
                  <w:r>
                    <w:rPr>
                      <w:rFonts w:hint="default" w:ascii="Times New Roman" w:hAnsi="Times New Roman" w:eastAsia="宋体" w:cs="Times New Roman"/>
                      <w:color w:val="auto"/>
                      <w:sz w:val="21"/>
                      <w:szCs w:val="21"/>
                      <w:highlight w:val="none"/>
                    </w:rPr>
                    <w:t>″</w:t>
                  </w:r>
                </w:p>
              </w:tc>
            </w:tr>
            <w:tr w14:paraId="6CA37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pct"/>
                  <w:vAlign w:val="center"/>
                </w:tcPr>
                <w:p w14:paraId="51FAD768">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J11（N23）</w:t>
                  </w:r>
                </w:p>
              </w:tc>
              <w:tc>
                <w:tcPr>
                  <w:tcW w:w="2079" w:type="pct"/>
                  <w:vAlign w:val="center"/>
                </w:tcPr>
                <w:p w14:paraId="4A365B5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117°6′3.</w:t>
                  </w:r>
                  <w:r>
                    <w:rPr>
                      <w:rFonts w:hint="default" w:ascii="Times New Roman" w:hAnsi="Times New Roman" w:eastAsia="宋体" w:cs="Times New Roman"/>
                      <w:color w:val="auto"/>
                      <w:sz w:val="21"/>
                      <w:szCs w:val="21"/>
                      <w:highlight w:val="none"/>
                      <w:lang w:val="en-US" w:eastAsia="zh-CN"/>
                    </w:rPr>
                    <w:t>351</w:t>
                  </w:r>
                  <w:r>
                    <w:rPr>
                      <w:rFonts w:hint="default" w:ascii="Times New Roman" w:hAnsi="Times New Roman" w:eastAsia="宋体" w:cs="Times New Roman"/>
                      <w:color w:val="auto"/>
                      <w:sz w:val="21"/>
                      <w:szCs w:val="21"/>
                      <w:highlight w:val="none"/>
                    </w:rPr>
                    <w:t>″</w:t>
                  </w:r>
                </w:p>
              </w:tc>
              <w:tc>
                <w:tcPr>
                  <w:tcW w:w="1545" w:type="pct"/>
                  <w:vAlign w:val="center"/>
                </w:tcPr>
                <w:p w14:paraId="0FEB80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42°3′5.</w:t>
                  </w: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36″</w:t>
                  </w:r>
                </w:p>
              </w:tc>
            </w:tr>
            <w:tr w14:paraId="5175C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pct"/>
                  <w:vAlign w:val="center"/>
                </w:tcPr>
                <w:p w14:paraId="60C702FD">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J12（N24）</w:t>
                  </w:r>
                </w:p>
              </w:tc>
              <w:tc>
                <w:tcPr>
                  <w:tcW w:w="2079" w:type="pct"/>
                  <w:vAlign w:val="center"/>
                </w:tcPr>
                <w:p w14:paraId="014A08D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117°5′59.</w:t>
                  </w:r>
                  <w:r>
                    <w:rPr>
                      <w:rFonts w:hint="default" w:ascii="Times New Roman" w:hAnsi="Times New Roman" w:eastAsia="宋体" w:cs="Times New Roman"/>
                      <w:color w:val="auto"/>
                      <w:sz w:val="21"/>
                      <w:szCs w:val="21"/>
                      <w:highlight w:val="none"/>
                      <w:lang w:val="en-US" w:eastAsia="zh-CN"/>
                    </w:rPr>
                    <w:t>924</w:t>
                  </w:r>
                  <w:r>
                    <w:rPr>
                      <w:rFonts w:hint="default" w:ascii="Times New Roman" w:hAnsi="Times New Roman" w:eastAsia="宋体" w:cs="Times New Roman"/>
                      <w:color w:val="auto"/>
                      <w:sz w:val="21"/>
                      <w:szCs w:val="21"/>
                      <w:highlight w:val="none"/>
                    </w:rPr>
                    <w:t>″</w:t>
                  </w:r>
                </w:p>
              </w:tc>
              <w:tc>
                <w:tcPr>
                  <w:tcW w:w="1545" w:type="pct"/>
                  <w:vAlign w:val="center"/>
                </w:tcPr>
                <w:p w14:paraId="25D50F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42°2′51.</w:t>
                  </w:r>
                  <w:r>
                    <w:rPr>
                      <w:rFonts w:hint="default" w:ascii="Times New Roman" w:hAnsi="Times New Roman" w:eastAsia="宋体" w:cs="Times New Roman"/>
                      <w:color w:val="auto"/>
                      <w:sz w:val="21"/>
                      <w:szCs w:val="21"/>
                      <w:highlight w:val="none"/>
                      <w:lang w:val="en-US" w:eastAsia="zh-CN"/>
                    </w:rPr>
                    <w:t>874</w:t>
                  </w:r>
                  <w:r>
                    <w:rPr>
                      <w:rFonts w:hint="default" w:ascii="Times New Roman" w:hAnsi="Times New Roman" w:eastAsia="宋体" w:cs="Times New Roman"/>
                      <w:color w:val="auto"/>
                      <w:sz w:val="21"/>
                      <w:szCs w:val="21"/>
                      <w:highlight w:val="none"/>
                    </w:rPr>
                    <w:t>″</w:t>
                  </w:r>
                </w:p>
              </w:tc>
            </w:tr>
            <w:tr w14:paraId="670E9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pct"/>
                  <w:vAlign w:val="center"/>
                </w:tcPr>
                <w:p w14:paraId="38AAF3E3">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J13（N26）</w:t>
                  </w:r>
                </w:p>
              </w:tc>
              <w:tc>
                <w:tcPr>
                  <w:tcW w:w="2079" w:type="pct"/>
                  <w:vAlign w:val="center"/>
                </w:tcPr>
                <w:p w14:paraId="4F0C195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117°6′12.</w:t>
                  </w:r>
                  <w:r>
                    <w:rPr>
                      <w:rFonts w:hint="default" w:ascii="Times New Roman" w:hAnsi="Times New Roman" w:eastAsia="宋体" w:cs="Times New Roman"/>
                      <w:color w:val="auto"/>
                      <w:sz w:val="21"/>
                      <w:szCs w:val="21"/>
                      <w:highlight w:val="none"/>
                      <w:lang w:val="en-US" w:eastAsia="zh-CN"/>
                    </w:rPr>
                    <w:t>745</w:t>
                  </w:r>
                  <w:r>
                    <w:rPr>
                      <w:rFonts w:hint="default" w:ascii="Times New Roman" w:hAnsi="Times New Roman" w:eastAsia="宋体" w:cs="Times New Roman"/>
                      <w:color w:val="auto"/>
                      <w:sz w:val="21"/>
                      <w:szCs w:val="21"/>
                      <w:highlight w:val="none"/>
                    </w:rPr>
                    <w:t>″</w:t>
                  </w:r>
                </w:p>
              </w:tc>
              <w:tc>
                <w:tcPr>
                  <w:tcW w:w="1545" w:type="pct"/>
                  <w:vAlign w:val="center"/>
                </w:tcPr>
                <w:p w14:paraId="4B3092F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42°2′21.</w:t>
                  </w:r>
                  <w:r>
                    <w:rPr>
                      <w:rFonts w:hint="default" w:ascii="Times New Roman" w:hAnsi="Times New Roman" w:eastAsia="宋体" w:cs="Times New Roman"/>
                      <w:color w:val="auto"/>
                      <w:sz w:val="21"/>
                      <w:szCs w:val="21"/>
                      <w:highlight w:val="none"/>
                      <w:lang w:val="en-US" w:eastAsia="zh-CN"/>
                    </w:rPr>
                    <w:t>165</w:t>
                  </w:r>
                  <w:r>
                    <w:rPr>
                      <w:rFonts w:hint="default" w:ascii="Times New Roman" w:hAnsi="Times New Roman" w:eastAsia="宋体" w:cs="Times New Roman"/>
                      <w:color w:val="auto"/>
                      <w:sz w:val="21"/>
                      <w:szCs w:val="21"/>
                      <w:highlight w:val="none"/>
                    </w:rPr>
                    <w:t>″</w:t>
                  </w:r>
                </w:p>
              </w:tc>
            </w:tr>
            <w:tr w14:paraId="3994B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pct"/>
                  <w:vAlign w:val="center"/>
                </w:tcPr>
                <w:p w14:paraId="7F2554D5">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J14（N43）</w:t>
                  </w:r>
                </w:p>
              </w:tc>
              <w:tc>
                <w:tcPr>
                  <w:tcW w:w="2079" w:type="pct"/>
                  <w:vAlign w:val="center"/>
                </w:tcPr>
                <w:p w14:paraId="39D4D2E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117°</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30.410</w:t>
                  </w:r>
                  <w:r>
                    <w:rPr>
                      <w:rFonts w:hint="default" w:ascii="Times New Roman" w:hAnsi="Times New Roman" w:eastAsia="宋体" w:cs="Times New Roman"/>
                      <w:color w:val="auto"/>
                      <w:sz w:val="21"/>
                      <w:szCs w:val="21"/>
                      <w:highlight w:val="none"/>
                    </w:rPr>
                    <w:t>″</w:t>
                  </w:r>
                </w:p>
              </w:tc>
              <w:tc>
                <w:tcPr>
                  <w:tcW w:w="1545" w:type="pct"/>
                  <w:vAlign w:val="center"/>
                </w:tcPr>
                <w:p w14:paraId="18ABE82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4</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59</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39.005</w:t>
                  </w:r>
                  <w:r>
                    <w:rPr>
                      <w:rFonts w:hint="default" w:ascii="Times New Roman" w:hAnsi="Times New Roman" w:eastAsia="宋体" w:cs="Times New Roman"/>
                      <w:color w:val="auto"/>
                      <w:sz w:val="21"/>
                      <w:szCs w:val="21"/>
                      <w:highlight w:val="none"/>
                    </w:rPr>
                    <w:t>″</w:t>
                  </w:r>
                </w:p>
              </w:tc>
            </w:tr>
            <w:tr w14:paraId="57FC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pct"/>
                  <w:vAlign w:val="center"/>
                </w:tcPr>
                <w:p w14:paraId="636D2B14">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J15（N51）</w:t>
                  </w:r>
                </w:p>
              </w:tc>
              <w:tc>
                <w:tcPr>
                  <w:tcW w:w="2079" w:type="pct"/>
                  <w:vAlign w:val="center"/>
                </w:tcPr>
                <w:p w14:paraId="49B1B10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117°</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39.795</w:t>
                  </w:r>
                  <w:r>
                    <w:rPr>
                      <w:rFonts w:hint="default" w:ascii="Times New Roman" w:hAnsi="Times New Roman" w:eastAsia="宋体" w:cs="Times New Roman"/>
                      <w:color w:val="auto"/>
                      <w:sz w:val="21"/>
                      <w:szCs w:val="21"/>
                      <w:highlight w:val="none"/>
                    </w:rPr>
                    <w:t>″</w:t>
                  </w:r>
                </w:p>
              </w:tc>
              <w:tc>
                <w:tcPr>
                  <w:tcW w:w="1545" w:type="pct"/>
                  <w:vAlign w:val="center"/>
                </w:tcPr>
                <w:p w14:paraId="257A471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4</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58</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9.138</w:t>
                  </w:r>
                  <w:r>
                    <w:rPr>
                      <w:rFonts w:hint="default" w:ascii="Times New Roman" w:hAnsi="Times New Roman" w:eastAsia="宋体" w:cs="Times New Roman"/>
                      <w:color w:val="auto"/>
                      <w:sz w:val="21"/>
                      <w:szCs w:val="21"/>
                      <w:highlight w:val="none"/>
                    </w:rPr>
                    <w:t>″</w:t>
                  </w:r>
                </w:p>
              </w:tc>
            </w:tr>
            <w:tr w14:paraId="2AC2E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pct"/>
                  <w:vAlign w:val="center"/>
                </w:tcPr>
                <w:p w14:paraId="6C82AF49">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J16（N54）</w:t>
                  </w:r>
                </w:p>
              </w:tc>
              <w:tc>
                <w:tcPr>
                  <w:tcW w:w="2079" w:type="pct"/>
                  <w:vAlign w:val="center"/>
                </w:tcPr>
                <w:p w14:paraId="070FE8A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117°</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18.323</w:t>
                  </w:r>
                  <w:r>
                    <w:rPr>
                      <w:rFonts w:hint="default" w:ascii="Times New Roman" w:hAnsi="Times New Roman" w:eastAsia="宋体" w:cs="Times New Roman"/>
                      <w:color w:val="auto"/>
                      <w:sz w:val="21"/>
                      <w:szCs w:val="21"/>
                      <w:highlight w:val="none"/>
                    </w:rPr>
                    <w:t>″</w:t>
                  </w:r>
                </w:p>
              </w:tc>
              <w:tc>
                <w:tcPr>
                  <w:tcW w:w="1545" w:type="pct"/>
                  <w:vAlign w:val="center"/>
                </w:tcPr>
                <w:p w14:paraId="253AA6E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4</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57</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58.627</w:t>
                  </w:r>
                  <w:r>
                    <w:rPr>
                      <w:rFonts w:hint="default" w:ascii="Times New Roman" w:hAnsi="Times New Roman" w:eastAsia="宋体" w:cs="Times New Roman"/>
                      <w:color w:val="auto"/>
                      <w:sz w:val="21"/>
                      <w:szCs w:val="21"/>
                      <w:highlight w:val="none"/>
                    </w:rPr>
                    <w:t>″</w:t>
                  </w:r>
                </w:p>
              </w:tc>
            </w:tr>
            <w:tr w14:paraId="61990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pct"/>
                  <w:vAlign w:val="center"/>
                </w:tcPr>
                <w:p w14:paraId="580AEF24">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J17（N55）</w:t>
                  </w:r>
                </w:p>
              </w:tc>
              <w:tc>
                <w:tcPr>
                  <w:tcW w:w="2079" w:type="pct"/>
                  <w:vAlign w:val="center"/>
                </w:tcPr>
                <w:p w14:paraId="3F545D1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117°</w:t>
                  </w:r>
                  <w:r>
                    <w:rPr>
                      <w:rFonts w:hint="default" w:ascii="Times New Roman" w:hAnsi="Times New Roman" w:eastAsia="宋体" w:cs="Times New Roman"/>
                      <w:color w:val="auto"/>
                      <w:sz w:val="21"/>
                      <w:szCs w:val="21"/>
                      <w:highlight w:val="none"/>
                      <w:lang w:val="en-US" w:eastAsia="zh-CN"/>
                    </w:rPr>
                    <w:t>18</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38.677</w:t>
                  </w:r>
                  <w:r>
                    <w:rPr>
                      <w:rFonts w:hint="default" w:ascii="Times New Roman" w:hAnsi="Times New Roman" w:eastAsia="宋体" w:cs="Times New Roman"/>
                      <w:color w:val="auto"/>
                      <w:sz w:val="21"/>
                      <w:szCs w:val="21"/>
                      <w:highlight w:val="none"/>
                    </w:rPr>
                    <w:t>″</w:t>
                  </w:r>
                </w:p>
              </w:tc>
              <w:tc>
                <w:tcPr>
                  <w:tcW w:w="1545" w:type="pct"/>
                  <w:vAlign w:val="center"/>
                </w:tcPr>
                <w:p w14:paraId="5631547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4</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58</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58.340</w:t>
                  </w:r>
                  <w:r>
                    <w:rPr>
                      <w:rFonts w:hint="default" w:ascii="Times New Roman" w:hAnsi="Times New Roman" w:eastAsia="宋体" w:cs="Times New Roman"/>
                      <w:color w:val="auto"/>
                      <w:sz w:val="21"/>
                      <w:szCs w:val="21"/>
                      <w:highlight w:val="none"/>
                    </w:rPr>
                    <w:t>″</w:t>
                  </w:r>
                </w:p>
              </w:tc>
            </w:tr>
            <w:tr w14:paraId="50EC5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pct"/>
                  <w:vAlign w:val="center"/>
                </w:tcPr>
                <w:p w14:paraId="39326078">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终点</w:t>
                  </w:r>
                </w:p>
              </w:tc>
              <w:tc>
                <w:tcPr>
                  <w:tcW w:w="2079" w:type="pct"/>
                  <w:vAlign w:val="center"/>
                </w:tcPr>
                <w:p w14:paraId="34FFAA2A">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117°11′5.024″</w:t>
                  </w:r>
                </w:p>
              </w:tc>
              <w:tc>
                <w:tcPr>
                  <w:tcW w:w="1545" w:type="pct"/>
                  <w:vAlign w:val="center"/>
                </w:tcPr>
                <w:p w14:paraId="144BA5EB">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41°58′9.475″</w:t>
                  </w:r>
                </w:p>
              </w:tc>
            </w:tr>
          </w:tbl>
          <w:p w14:paraId="0BA366D3">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p>
        </w:tc>
      </w:tr>
      <w:tr w14:paraId="6EB1CD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4" w:hRule="atLeast"/>
        </w:trPr>
        <w:tc>
          <w:tcPr>
            <w:tcW w:w="388" w:type="dxa"/>
            <w:tcBorders>
              <w:bottom w:val="single" w:color="000000" w:sz="4" w:space="0"/>
              <w:right w:val="single" w:color="000000" w:sz="4" w:space="0"/>
            </w:tcBorders>
            <w:vAlign w:val="center"/>
          </w:tcPr>
          <w:p w14:paraId="1F260B1D">
            <w:pPr>
              <w:pStyle w:val="41"/>
              <w:spacing w:line="360" w:lineRule="auto"/>
              <w:ind w:right="79"/>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项目组成及规模</w:t>
            </w:r>
          </w:p>
        </w:tc>
        <w:tc>
          <w:tcPr>
            <w:tcW w:w="8596" w:type="dxa"/>
            <w:tcBorders>
              <w:left w:val="single" w:color="000000" w:sz="4" w:space="0"/>
              <w:bottom w:val="single" w:color="000000" w:sz="4" w:space="0"/>
            </w:tcBorders>
          </w:tcPr>
          <w:p w14:paraId="118528FC">
            <w:pPr>
              <w:pStyle w:val="41"/>
              <w:spacing w:line="480" w:lineRule="exact"/>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1、项目由来</w:t>
            </w:r>
          </w:p>
          <w:p w14:paraId="3C821008">
            <w:pPr>
              <w:pStyle w:val="41"/>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近年来，我国以风电、光伏发电为代表的新能源发展成效显著，“十四五”规划提出全面推进风电和太阳能发电大规模开发和高质量发展，因地制宜发展其他可再生能源。</w:t>
            </w:r>
          </w:p>
          <w:p w14:paraId="64ADDD7E">
            <w:pPr>
              <w:pStyle w:val="41"/>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承德地区太阳能资源比较丰富，适合建设光伏电站开发利用太阳能。围场满族蒙古族自治县阳洁光伏发电有限责任公司投资</w:t>
            </w:r>
            <w:r>
              <w:rPr>
                <w:rFonts w:hint="default" w:ascii="Times New Roman" w:hAnsi="Times New Roman" w:eastAsia="宋体" w:cs="Times New Roman"/>
                <w:color w:val="auto"/>
                <w:sz w:val="24"/>
                <w:szCs w:val="24"/>
                <w:highlight w:val="none"/>
              </w:rPr>
              <w:t>华能围场“风光储氢热一体化”项目（光伏200MW）项目</w:t>
            </w:r>
            <w:r>
              <w:rPr>
                <w:rFonts w:hint="default" w:ascii="Times New Roman" w:hAnsi="Times New Roman" w:eastAsia="宋体" w:cs="Times New Roman"/>
                <w:bCs/>
                <w:color w:val="auto"/>
                <w:sz w:val="24"/>
                <w:szCs w:val="24"/>
                <w:highlight w:val="none"/>
              </w:rPr>
              <w:t>，项目位于河北省承德市</w:t>
            </w:r>
            <w:r>
              <w:rPr>
                <w:rFonts w:hint="default" w:ascii="Times New Roman" w:hAnsi="Times New Roman" w:eastAsia="宋体" w:cs="Times New Roman"/>
                <w:color w:val="auto"/>
                <w:sz w:val="24"/>
                <w:szCs w:val="24"/>
                <w:highlight w:val="none"/>
              </w:rPr>
              <w:t>围场满族蒙古族自治县老窝铺乡</w:t>
            </w:r>
            <w:r>
              <w:rPr>
                <w:rFonts w:hint="default" w:ascii="Times New Roman" w:hAnsi="Times New Roman" w:eastAsia="宋体" w:cs="Times New Roman"/>
                <w:bCs/>
                <w:color w:val="auto"/>
                <w:sz w:val="24"/>
                <w:szCs w:val="24"/>
                <w:highlight w:val="none"/>
              </w:rPr>
              <w:t>。</w:t>
            </w:r>
          </w:p>
          <w:p w14:paraId="7D171BC3">
            <w:pPr>
              <w:pStyle w:val="41"/>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2022年委托编制了《</w:t>
            </w:r>
            <w:r>
              <w:rPr>
                <w:rFonts w:hint="default" w:ascii="Times New Roman" w:hAnsi="Times New Roman" w:eastAsia="宋体" w:cs="Times New Roman"/>
                <w:color w:val="auto"/>
                <w:sz w:val="24"/>
                <w:szCs w:val="24"/>
                <w:highlight w:val="none"/>
              </w:rPr>
              <w:t>华能围场“风光储氢热一体化”项目（光伏200MW）项目</w:t>
            </w:r>
            <w:r>
              <w:rPr>
                <w:rFonts w:hint="default" w:ascii="Times New Roman" w:hAnsi="Times New Roman" w:eastAsia="宋体" w:cs="Times New Roman"/>
                <w:bCs/>
                <w:color w:val="auto"/>
                <w:sz w:val="24"/>
                <w:szCs w:val="24"/>
                <w:highlight w:val="none"/>
              </w:rPr>
              <w:t>环境影响报告表》，2022年9月20日本项目环境影响报告表已取得承德市生态环境局围场满族蒙古族自治县分局关于《</w:t>
            </w:r>
            <w:r>
              <w:rPr>
                <w:rFonts w:hint="default" w:ascii="Times New Roman" w:hAnsi="Times New Roman" w:eastAsia="宋体" w:cs="Times New Roman"/>
                <w:color w:val="auto"/>
                <w:sz w:val="24"/>
                <w:szCs w:val="24"/>
                <w:highlight w:val="none"/>
              </w:rPr>
              <w:t>华能围场“风光储氢热一体化”项目（光伏200MW）项目</w:t>
            </w:r>
            <w:r>
              <w:rPr>
                <w:rFonts w:hint="default" w:ascii="Times New Roman" w:hAnsi="Times New Roman" w:eastAsia="宋体" w:cs="Times New Roman"/>
                <w:bCs/>
                <w:color w:val="auto"/>
                <w:sz w:val="24"/>
                <w:szCs w:val="24"/>
                <w:highlight w:val="none"/>
              </w:rPr>
              <w:t>环境影响报告表》的批复，批复文号：围环评〔2022〕20号。</w:t>
            </w:r>
          </w:p>
          <w:p w14:paraId="7A9104BE">
            <w:pPr>
              <w:pStyle w:val="41"/>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本项目为</w:t>
            </w:r>
            <w:r>
              <w:rPr>
                <w:rFonts w:hint="default" w:ascii="Times New Roman" w:hAnsi="Times New Roman" w:eastAsia="宋体" w:cs="Times New Roman"/>
                <w:color w:val="auto"/>
                <w:sz w:val="24"/>
                <w:szCs w:val="24"/>
                <w:highlight w:val="none"/>
              </w:rPr>
              <w:t>华能围场“风光储氢热一体化”项目（光伏200MW）项目</w:t>
            </w:r>
            <w:r>
              <w:rPr>
                <w:rFonts w:hint="default" w:ascii="Times New Roman" w:hAnsi="Times New Roman" w:eastAsia="宋体" w:cs="Times New Roman"/>
                <w:bCs/>
                <w:color w:val="auto"/>
                <w:sz w:val="24"/>
                <w:szCs w:val="24"/>
                <w:highlight w:val="none"/>
              </w:rPr>
              <w:t>配套建设的输电线路工程，为满足</w:t>
            </w:r>
            <w:r>
              <w:rPr>
                <w:rFonts w:hint="default" w:ascii="Times New Roman" w:hAnsi="Times New Roman" w:eastAsia="宋体" w:cs="Times New Roman"/>
                <w:color w:val="auto"/>
                <w:sz w:val="24"/>
                <w:szCs w:val="24"/>
                <w:highlight w:val="none"/>
              </w:rPr>
              <w:t>华能围场“风光储氢热一体化”项目（光伏200MW）项目</w:t>
            </w:r>
            <w:r>
              <w:rPr>
                <w:rFonts w:hint="default" w:ascii="Times New Roman" w:hAnsi="Times New Roman" w:eastAsia="宋体" w:cs="Times New Roman"/>
                <w:bCs/>
                <w:color w:val="auto"/>
                <w:sz w:val="24"/>
                <w:szCs w:val="24"/>
                <w:highlight w:val="none"/>
              </w:rPr>
              <w:t>输变电需求，</w:t>
            </w:r>
            <w:r>
              <w:rPr>
                <w:rFonts w:hint="default" w:ascii="Times New Roman" w:hAnsi="Times New Roman" w:eastAsia="宋体" w:cs="Times New Roman"/>
                <w:color w:val="auto"/>
                <w:sz w:val="24"/>
                <w:szCs w:val="24"/>
                <w:highlight w:val="none"/>
              </w:rPr>
              <w:t>华能围场“风光储氢热一体化”项目（光伏200MW）项目220kV送出线路工程项目</w:t>
            </w:r>
            <w:r>
              <w:rPr>
                <w:rFonts w:hint="default" w:ascii="Times New Roman" w:hAnsi="Times New Roman" w:eastAsia="宋体" w:cs="Times New Roman"/>
                <w:bCs/>
                <w:color w:val="auto"/>
                <w:sz w:val="24"/>
                <w:szCs w:val="24"/>
                <w:highlight w:val="none"/>
              </w:rPr>
              <w:t>是必要的。</w:t>
            </w:r>
          </w:p>
          <w:p w14:paraId="286FE56F">
            <w:pPr>
              <w:pStyle w:val="41"/>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本项目电压等级为220kV，按照《建设项目环境影响评价分类管理名录》的有关规定，本项目类别属于“五十五、核与辐射”中“161输变电工程”，需编制环境影响报告表，2024年7月，委托河北冀跃工程咨询有限公司开展</w:t>
            </w:r>
            <w:r>
              <w:rPr>
                <w:rFonts w:hint="default" w:ascii="Times New Roman" w:hAnsi="Times New Roman" w:eastAsia="宋体" w:cs="Times New Roman"/>
                <w:color w:val="auto"/>
                <w:sz w:val="24"/>
                <w:szCs w:val="24"/>
                <w:highlight w:val="none"/>
              </w:rPr>
              <w:t>华能围场“风光储氢热一体化”项目（光伏200MW）项目220kV送出线路工程项目</w:t>
            </w:r>
            <w:r>
              <w:rPr>
                <w:rFonts w:hint="default" w:ascii="Times New Roman" w:hAnsi="Times New Roman" w:eastAsia="宋体" w:cs="Times New Roman"/>
                <w:bCs/>
                <w:color w:val="auto"/>
                <w:sz w:val="24"/>
                <w:szCs w:val="24"/>
                <w:highlight w:val="none"/>
              </w:rPr>
              <w:t>的环境影响评价工作（详见附件1），我单位对本工程进行了实地踏勘和调查，收集了环境质量现状及有关工程资料，委托承德市东岭环境监测有限公司于2024年8月15日~16日开展环境现状</w:t>
            </w:r>
            <w:r>
              <w:rPr>
                <w:rFonts w:hint="eastAsia" w:ascii="Times New Roman" w:hAnsi="Times New Roman" w:eastAsia="宋体" w:cs="Times New Roman"/>
                <w:bCs/>
                <w:color w:val="auto"/>
                <w:sz w:val="24"/>
                <w:szCs w:val="24"/>
                <w:highlight w:val="none"/>
                <w:lang w:eastAsia="zh-CN"/>
              </w:rPr>
              <w:t>监测</w:t>
            </w:r>
            <w:r>
              <w:rPr>
                <w:rFonts w:hint="default" w:ascii="Times New Roman" w:hAnsi="Times New Roman" w:eastAsia="宋体" w:cs="Times New Roman"/>
                <w:bCs/>
                <w:color w:val="auto"/>
                <w:sz w:val="24"/>
                <w:szCs w:val="24"/>
                <w:highlight w:val="none"/>
              </w:rPr>
              <w:t>，在此基础上编制了本环境影响报告表。</w:t>
            </w:r>
          </w:p>
          <w:p w14:paraId="67C1A944">
            <w:pPr>
              <w:pStyle w:val="41"/>
              <w:spacing w:line="480" w:lineRule="exact"/>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2、接入系统和项目立项情况</w:t>
            </w:r>
          </w:p>
          <w:p w14:paraId="0B877CA8">
            <w:pPr>
              <w:pStyle w:val="41"/>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2023年8月22日，国网冀北电力有限公司经济技术研究院出具关于华能围场“风光储氢热一体化”项目（光伏200兆瓦）接入系统设计的评审意见（冀北经研〔2023〕300号），根据接入系统设计：新建华能光伏220千伏升压站，新建1台200兆伏安主变，电压等级220/35千伏。本工程200兆瓦光伏、30兆瓦/60兆瓦时储能系统分别通过8回、2回35千伏集电线路接入华能光伏220千伏升压站主变低压侧，升压后通过华能光伏220千伏升压站~华能风电220千伏升压站~牌楼500千伏变电站的220千伏线路并网运行。新建华能光伏220千伏升压站~华能风电220千伏升压站220千伏线路长度约24千米，导线型号不低于JL/G1A-240。</w:t>
            </w:r>
          </w:p>
          <w:p w14:paraId="67C60289">
            <w:pPr>
              <w:pStyle w:val="41"/>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本项目已于2024年2月5日取得承德市行政审批局关于华能围场“风光储氢热一体化”项目（光伏200MW）项目220kV送出线路工程项目核准的批复（承审批核字〔2024〕11号），项目代码2401-130800-89-01-759066。</w:t>
            </w:r>
          </w:p>
          <w:p w14:paraId="325C22E1">
            <w:pPr>
              <w:pStyle w:val="41"/>
              <w:spacing w:line="480" w:lineRule="exact"/>
              <w:ind w:firstLine="482" w:firstLineChars="200"/>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、项目基本概况</w:t>
            </w:r>
          </w:p>
          <w:p w14:paraId="13B2D4CD">
            <w:pPr>
              <w:pStyle w:val="41"/>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（1）工程名称：</w:t>
            </w:r>
            <w:r>
              <w:rPr>
                <w:rFonts w:hint="default" w:ascii="Times New Roman" w:hAnsi="Times New Roman" w:eastAsia="宋体" w:cs="Times New Roman"/>
                <w:color w:val="auto"/>
                <w:sz w:val="24"/>
                <w:szCs w:val="24"/>
                <w:highlight w:val="none"/>
              </w:rPr>
              <w:t>华能围场“风光储氢热一体化”项目（光伏200MW）项目220kV送出线路工程项目</w:t>
            </w:r>
          </w:p>
          <w:p w14:paraId="4E9A85C1">
            <w:pPr>
              <w:pStyle w:val="41"/>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（2）建设性质：新建</w:t>
            </w:r>
          </w:p>
          <w:p w14:paraId="190A0951">
            <w:pPr>
              <w:pStyle w:val="41"/>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（3）主要建设内容及建设规模：</w:t>
            </w:r>
          </w:p>
          <w:p w14:paraId="311437DA">
            <w:pPr>
              <w:pStyle w:val="41"/>
              <w:spacing w:line="480" w:lineRule="exact"/>
              <w:ind w:firstLine="480" w:firstLineChars="200"/>
              <w:jc w:val="both"/>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本工程起于华能围场风光储氢热一体化项目(光伏200MW)升压站，止于华能围场风光储氢热一体化项目(风电200MW)升压站，220kV送出线路长度约22.99km，初步设计</w:t>
            </w:r>
            <w:r>
              <w:rPr>
                <w:rFonts w:hint="default" w:ascii="Times New Roman" w:hAnsi="Times New Roman" w:eastAsia="宋体" w:cs="Times New Roman"/>
                <w:bCs/>
                <w:color w:val="auto"/>
                <w:sz w:val="24"/>
                <w:szCs w:val="24"/>
                <w:highlight w:val="none"/>
                <w:lang w:eastAsia="zh-CN"/>
              </w:rPr>
              <w:t>阶段优化设计，减少塔基数量，</w:t>
            </w:r>
            <w:r>
              <w:rPr>
                <w:rFonts w:hint="default" w:ascii="Times New Roman" w:hAnsi="Times New Roman" w:eastAsia="宋体" w:cs="Times New Roman"/>
                <w:bCs/>
                <w:color w:val="auto"/>
                <w:sz w:val="24"/>
                <w:szCs w:val="24"/>
                <w:highlight w:val="none"/>
              </w:rPr>
              <w:t>新建铁塔总基数</w:t>
            </w:r>
            <w:r>
              <w:rPr>
                <w:rFonts w:hint="default" w:ascii="Times New Roman" w:hAnsi="Times New Roman" w:eastAsia="宋体" w:cs="Times New Roman"/>
                <w:bCs/>
                <w:color w:val="auto"/>
                <w:sz w:val="24"/>
                <w:szCs w:val="24"/>
                <w:highlight w:val="none"/>
                <w:lang w:val="en-US" w:eastAsia="zh-CN"/>
              </w:rPr>
              <w:t>5</w:t>
            </w:r>
            <w:r>
              <w:rPr>
                <w:rFonts w:hint="default" w:ascii="Times New Roman" w:hAnsi="Times New Roman" w:eastAsia="宋体" w:cs="Times New Roman"/>
                <w:bCs/>
                <w:color w:val="auto"/>
                <w:sz w:val="24"/>
                <w:szCs w:val="24"/>
                <w:highlight w:val="none"/>
              </w:rPr>
              <w:t>7基，其中单回路直线塔3</w:t>
            </w:r>
            <w:r>
              <w:rPr>
                <w:rFonts w:hint="default" w:ascii="Times New Roman" w:hAnsi="Times New Roman" w:eastAsia="宋体" w:cs="Times New Roman"/>
                <w:bCs/>
                <w:color w:val="auto"/>
                <w:sz w:val="24"/>
                <w:szCs w:val="24"/>
                <w:highlight w:val="none"/>
                <w:lang w:val="en-US" w:eastAsia="zh-CN"/>
              </w:rPr>
              <w:t>1</w:t>
            </w:r>
            <w:r>
              <w:rPr>
                <w:rFonts w:hint="default" w:ascii="Times New Roman" w:hAnsi="Times New Roman" w:eastAsia="宋体" w:cs="Times New Roman"/>
                <w:bCs/>
                <w:color w:val="auto"/>
                <w:sz w:val="24"/>
                <w:szCs w:val="24"/>
                <w:highlight w:val="none"/>
              </w:rPr>
              <w:t>基、单回路耐张塔25基、双回路耐张塔1基，拟采用JL/G1A-300/40型号单导线及OPGW-17-150型号双光缆。</w:t>
            </w:r>
          </w:p>
          <w:p w14:paraId="6FAF6E59">
            <w:pPr>
              <w:pStyle w:val="41"/>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（4）建设地点：本项目位于</w:t>
            </w:r>
            <w:r>
              <w:rPr>
                <w:rFonts w:hint="default" w:ascii="Times New Roman" w:hAnsi="Times New Roman" w:eastAsia="宋体" w:cs="Times New Roman"/>
                <w:color w:val="auto"/>
                <w:sz w:val="24"/>
                <w:szCs w:val="24"/>
                <w:highlight w:val="none"/>
              </w:rPr>
              <w:t>河北省承德市围场满族蒙古族自治县老窝铺乡、城子镇</w:t>
            </w:r>
            <w:r>
              <w:rPr>
                <w:rFonts w:hint="eastAsia" w:ascii="Times New Roman" w:hAnsi="Times New Roman" w:eastAsia="宋体" w:cs="Times New Roman"/>
                <w:color w:val="auto"/>
                <w:sz w:val="24"/>
                <w:szCs w:val="24"/>
                <w:highlight w:val="none"/>
                <w:lang w:eastAsia="zh-CN"/>
              </w:rPr>
              <w:t>、御道口镇</w:t>
            </w:r>
            <w:r>
              <w:rPr>
                <w:rFonts w:hint="default" w:ascii="Times New Roman" w:hAnsi="Times New Roman" w:eastAsia="宋体" w:cs="Times New Roman"/>
                <w:color w:val="auto"/>
                <w:sz w:val="24"/>
                <w:szCs w:val="24"/>
                <w:highlight w:val="none"/>
              </w:rPr>
              <w:t>境内，</w:t>
            </w:r>
            <w:r>
              <w:rPr>
                <w:rFonts w:hint="default" w:ascii="Times New Roman" w:hAnsi="Times New Roman" w:eastAsia="宋体" w:cs="Times New Roman"/>
                <w:bCs/>
                <w:color w:val="auto"/>
                <w:sz w:val="24"/>
                <w:szCs w:val="24"/>
                <w:highlight w:val="none"/>
              </w:rPr>
              <w:t>线路起点坐标</w:t>
            </w:r>
            <w:r>
              <w:rPr>
                <w:rFonts w:hint="default" w:ascii="Times New Roman" w:hAnsi="Times New Roman" w:eastAsia="宋体" w:cs="Times New Roman"/>
                <w:color w:val="auto"/>
                <w:sz w:val="24"/>
                <w:szCs w:val="24"/>
                <w:highlight w:val="none"/>
              </w:rPr>
              <w:t>东经117°0′39.395″，北纬42°3′48.658″；线路终点坐标东经117°11′5.024″，北纬41°58′9.475″</w:t>
            </w:r>
            <w:r>
              <w:rPr>
                <w:rFonts w:hint="default" w:ascii="Times New Roman" w:hAnsi="Times New Roman" w:eastAsia="宋体" w:cs="Times New Roman"/>
                <w:bCs/>
                <w:color w:val="auto"/>
                <w:sz w:val="24"/>
                <w:szCs w:val="24"/>
                <w:highlight w:val="none"/>
              </w:rPr>
              <w:t>。</w:t>
            </w:r>
          </w:p>
          <w:p w14:paraId="38294977">
            <w:pPr>
              <w:pStyle w:val="41"/>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项目组成见表2-</w:t>
            </w:r>
            <w:r>
              <w:rPr>
                <w:rFonts w:hint="default" w:ascii="Times New Roman" w:hAnsi="Times New Roman" w:eastAsia="宋体" w:cs="Times New Roman"/>
                <w:bCs/>
                <w:color w:val="auto"/>
                <w:sz w:val="24"/>
                <w:szCs w:val="24"/>
                <w:highlight w:val="none"/>
                <w:lang w:val="en-US" w:eastAsia="zh-CN"/>
              </w:rPr>
              <w:t>2</w:t>
            </w:r>
            <w:r>
              <w:rPr>
                <w:rFonts w:hint="default" w:ascii="Times New Roman" w:hAnsi="Times New Roman" w:eastAsia="宋体" w:cs="Times New Roman"/>
                <w:bCs/>
                <w:color w:val="auto"/>
                <w:sz w:val="24"/>
                <w:szCs w:val="24"/>
                <w:highlight w:val="none"/>
              </w:rPr>
              <w:t>。</w:t>
            </w:r>
          </w:p>
          <w:p w14:paraId="72CB6368">
            <w:pPr>
              <w:pStyle w:val="4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表2-</w:t>
            </w:r>
            <w:r>
              <w:rPr>
                <w:rFonts w:hint="default"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 xml:space="preserve">  项目组成情况一览表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126"/>
              <w:gridCol w:w="1149"/>
              <w:gridCol w:w="5867"/>
            </w:tblGrid>
            <w:tr w14:paraId="7A7CC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3" w:type="pct"/>
                  <w:gridSpan w:val="3"/>
                  <w:vAlign w:val="center"/>
                </w:tcPr>
                <w:p w14:paraId="7FB1911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w:t>
                  </w:r>
                </w:p>
              </w:tc>
              <w:tc>
                <w:tcPr>
                  <w:tcW w:w="3476" w:type="pct"/>
                  <w:vAlign w:val="center"/>
                </w:tcPr>
                <w:p w14:paraId="5A188A4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基本情况</w:t>
                  </w:r>
                </w:p>
              </w:tc>
            </w:tr>
            <w:tr w14:paraId="5D8EC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8" w:type="pct"/>
                  <w:vMerge w:val="restart"/>
                  <w:vAlign w:val="center"/>
                </w:tcPr>
                <w:p w14:paraId="2072CB5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主体工程</w:t>
                  </w:r>
                </w:p>
              </w:tc>
              <w:tc>
                <w:tcPr>
                  <w:tcW w:w="550" w:type="pct"/>
                  <w:vMerge w:val="restart"/>
                  <w:vAlign w:val="center"/>
                </w:tcPr>
                <w:p w14:paraId="6EEF1C2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华能围场“风光储氢热一体化”项目（光伏200MW）项目220kV送出线路工程项目</w:t>
                  </w:r>
                </w:p>
              </w:tc>
              <w:tc>
                <w:tcPr>
                  <w:tcW w:w="723" w:type="pct"/>
                  <w:vAlign w:val="center"/>
                </w:tcPr>
                <w:p w14:paraId="6618A8D6">
                  <w:pPr>
                    <w:snapToGrid w:val="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起点</w:t>
                  </w:r>
                </w:p>
              </w:tc>
              <w:tc>
                <w:tcPr>
                  <w:tcW w:w="3476" w:type="pct"/>
                  <w:vAlign w:val="center"/>
                </w:tcPr>
                <w:p w14:paraId="5B120676">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华能围场风光储氢热一体化项目(光伏200MW)升压站</w:t>
                  </w:r>
                </w:p>
              </w:tc>
            </w:tr>
            <w:tr w14:paraId="17530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8" w:type="pct"/>
                  <w:vMerge w:val="continue"/>
                  <w:vAlign w:val="center"/>
                </w:tcPr>
                <w:p w14:paraId="4A3D0A4F">
                  <w:pPr>
                    <w:jc w:val="center"/>
                    <w:rPr>
                      <w:rFonts w:hint="default" w:ascii="Times New Roman" w:hAnsi="Times New Roman" w:eastAsia="宋体" w:cs="Times New Roman"/>
                      <w:color w:val="auto"/>
                      <w:sz w:val="21"/>
                      <w:szCs w:val="21"/>
                      <w:highlight w:val="none"/>
                    </w:rPr>
                  </w:pPr>
                </w:p>
              </w:tc>
              <w:tc>
                <w:tcPr>
                  <w:tcW w:w="550" w:type="pct"/>
                  <w:vMerge w:val="continue"/>
                  <w:vAlign w:val="center"/>
                </w:tcPr>
                <w:p w14:paraId="22C1589C">
                  <w:pPr>
                    <w:jc w:val="center"/>
                    <w:rPr>
                      <w:rFonts w:hint="default" w:ascii="Times New Roman" w:hAnsi="Times New Roman" w:eastAsia="宋体" w:cs="Times New Roman"/>
                      <w:color w:val="auto"/>
                      <w:sz w:val="21"/>
                      <w:szCs w:val="21"/>
                      <w:highlight w:val="none"/>
                    </w:rPr>
                  </w:pPr>
                </w:p>
              </w:tc>
              <w:tc>
                <w:tcPr>
                  <w:tcW w:w="723" w:type="pct"/>
                  <w:vAlign w:val="center"/>
                </w:tcPr>
                <w:p w14:paraId="6E711F54">
                  <w:pPr>
                    <w:snapToGrid w:val="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终点</w:t>
                  </w:r>
                </w:p>
              </w:tc>
              <w:tc>
                <w:tcPr>
                  <w:tcW w:w="3476" w:type="pct"/>
                  <w:vAlign w:val="center"/>
                </w:tcPr>
                <w:p w14:paraId="04CBBE60">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华能围场风光储氢热一体化项目(风电200MW)升压站</w:t>
                  </w:r>
                </w:p>
              </w:tc>
            </w:tr>
            <w:tr w14:paraId="156F5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8" w:type="pct"/>
                  <w:vMerge w:val="continue"/>
                  <w:vAlign w:val="center"/>
                </w:tcPr>
                <w:p w14:paraId="67881BFD">
                  <w:pPr>
                    <w:jc w:val="center"/>
                    <w:rPr>
                      <w:rFonts w:hint="default" w:ascii="Times New Roman" w:hAnsi="Times New Roman" w:eastAsia="宋体" w:cs="Times New Roman"/>
                      <w:color w:val="auto"/>
                      <w:sz w:val="21"/>
                      <w:szCs w:val="21"/>
                      <w:highlight w:val="none"/>
                    </w:rPr>
                  </w:pPr>
                </w:p>
              </w:tc>
              <w:tc>
                <w:tcPr>
                  <w:tcW w:w="550" w:type="pct"/>
                  <w:vMerge w:val="continue"/>
                  <w:vAlign w:val="center"/>
                </w:tcPr>
                <w:p w14:paraId="6BA6B5F7">
                  <w:pPr>
                    <w:jc w:val="center"/>
                    <w:rPr>
                      <w:rFonts w:hint="default" w:ascii="Times New Roman" w:hAnsi="Times New Roman" w:eastAsia="宋体" w:cs="Times New Roman"/>
                      <w:color w:val="auto"/>
                      <w:sz w:val="21"/>
                      <w:szCs w:val="21"/>
                      <w:highlight w:val="none"/>
                    </w:rPr>
                  </w:pPr>
                </w:p>
              </w:tc>
              <w:tc>
                <w:tcPr>
                  <w:tcW w:w="723" w:type="pct"/>
                  <w:vAlign w:val="center"/>
                </w:tcPr>
                <w:p w14:paraId="759FA4A3">
                  <w:pPr>
                    <w:snapToGrid w:val="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工程特点</w:t>
                  </w:r>
                </w:p>
              </w:tc>
              <w:tc>
                <w:tcPr>
                  <w:tcW w:w="3476" w:type="pct"/>
                  <w:vAlign w:val="center"/>
                </w:tcPr>
                <w:p w14:paraId="087BEE3D">
                  <w:pPr>
                    <w:snapToGrid w:val="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线路途经河北省承德市围场满族蒙古族自治县老窝铺乡、城子镇</w:t>
                  </w:r>
                  <w:r>
                    <w:rPr>
                      <w:rFonts w:hint="eastAsia" w:ascii="Times New Roman" w:hAnsi="Times New Roman" w:eastAsia="宋体" w:cs="Times New Roman"/>
                      <w:color w:val="auto"/>
                      <w:sz w:val="21"/>
                      <w:szCs w:val="21"/>
                      <w:highlight w:val="none"/>
                      <w:lang w:eastAsia="zh-CN"/>
                    </w:rPr>
                    <w:t>、御道口镇</w:t>
                  </w:r>
                  <w:r>
                    <w:rPr>
                      <w:rFonts w:hint="default" w:ascii="Times New Roman" w:hAnsi="Times New Roman" w:eastAsia="宋体" w:cs="Times New Roman"/>
                      <w:color w:val="auto"/>
                      <w:sz w:val="21"/>
                      <w:szCs w:val="21"/>
                      <w:highlight w:val="none"/>
                    </w:rPr>
                    <w:t>，基本呈西北向东南走向</w:t>
                  </w:r>
                </w:p>
              </w:tc>
            </w:tr>
            <w:tr w14:paraId="6399A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8" w:type="pct"/>
                  <w:vMerge w:val="continue"/>
                  <w:vAlign w:val="center"/>
                </w:tcPr>
                <w:p w14:paraId="6BABA4BE">
                  <w:pPr>
                    <w:jc w:val="center"/>
                    <w:rPr>
                      <w:rFonts w:hint="default" w:ascii="Times New Roman" w:hAnsi="Times New Roman" w:eastAsia="宋体" w:cs="Times New Roman"/>
                      <w:color w:val="auto"/>
                      <w:sz w:val="21"/>
                      <w:szCs w:val="21"/>
                      <w:highlight w:val="none"/>
                    </w:rPr>
                  </w:pPr>
                </w:p>
              </w:tc>
              <w:tc>
                <w:tcPr>
                  <w:tcW w:w="550" w:type="pct"/>
                  <w:vMerge w:val="continue"/>
                  <w:vAlign w:val="center"/>
                </w:tcPr>
                <w:p w14:paraId="32DC10AC">
                  <w:pPr>
                    <w:jc w:val="center"/>
                    <w:rPr>
                      <w:rFonts w:hint="default" w:ascii="Times New Roman" w:hAnsi="Times New Roman" w:eastAsia="宋体" w:cs="Times New Roman"/>
                      <w:color w:val="auto"/>
                      <w:sz w:val="21"/>
                      <w:szCs w:val="21"/>
                      <w:highlight w:val="none"/>
                    </w:rPr>
                  </w:pPr>
                </w:p>
              </w:tc>
              <w:tc>
                <w:tcPr>
                  <w:tcW w:w="723" w:type="pct"/>
                  <w:vAlign w:val="center"/>
                </w:tcPr>
                <w:p w14:paraId="3F7875DE">
                  <w:pPr>
                    <w:snapToGrid w:val="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额定电压</w:t>
                  </w:r>
                </w:p>
              </w:tc>
              <w:tc>
                <w:tcPr>
                  <w:tcW w:w="3476" w:type="pct"/>
                  <w:vAlign w:val="center"/>
                </w:tcPr>
                <w:p w14:paraId="0B4EA842">
                  <w:pPr>
                    <w:snapToGrid w:val="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220kV</w:t>
                  </w:r>
                </w:p>
              </w:tc>
            </w:tr>
            <w:tr w14:paraId="6082F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8" w:type="pct"/>
                  <w:vMerge w:val="continue"/>
                  <w:vAlign w:val="center"/>
                </w:tcPr>
                <w:p w14:paraId="17C0743B">
                  <w:pPr>
                    <w:jc w:val="center"/>
                    <w:rPr>
                      <w:rFonts w:hint="default" w:ascii="Times New Roman" w:hAnsi="Times New Roman" w:eastAsia="宋体" w:cs="Times New Roman"/>
                      <w:color w:val="auto"/>
                      <w:sz w:val="21"/>
                      <w:szCs w:val="21"/>
                      <w:highlight w:val="none"/>
                    </w:rPr>
                  </w:pPr>
                </w:p>
              </w:tc>
              <w:tc>
                <w:tcPr>
                  <w:tcW w:w="550" w:type="pct"/>
                  <w:vMerge w:val="continue"/>
                  <w:vAlign w:val="center"/>
                </w:tcPr>
                <w:p w14:paraId="4D37A8C4">
                  <w:pPr>
                    <w:jc w:val="center"/>
                    <w:rPr>
                      <w:rFonts w:hint="default" w:ascii="Times New Roman" w:hAnsi="Times New Roman" w:eastAsia="宋体" w:cs="Times New Roman"/>
                      <w:color w:val="auto"/>
                      <w:sz w:val="21"/>
                      <w:szCs w:val="21"/>
                      <w:highlight w:val="none"/>
                    </w:rPr>
                  </w:pPr>
                </w:p>
              </w:tc>
              <w:tc>
                <w:tcPr>
                  <w:tcW w:w="723" w:type="pct"/>
                  <w:vAlign w:val="center"/>
                </w:tcPr>
                <w:p w14:paraId="6B523CEB">
                  <w:pPr>
                    <w:snapToGrid w:val="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回路数</w:t>
                  </w:r>
                </w:p>
              </w:tc>
              <w:tc>
                <w:tcPr>
                  <w:tcW w:w="3476" w:type="pct"/>
                  <w:vAlign w:val="center"/>
                </w:tcPr>
                <w:p w14:paraId="4CF7FBC8">
                  <w:pPr>
                    <w:snapToGrid w:val="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单回路架（敷）设</w:t>
                  </w:r>
                  <w:r>
                    <w:rPr>
                      <w:rFonts w:hint="default" w:ascii="Times New Roman" w:hAnsi="Times New Roman" w:eastAsia="宋体" w:cs="Times New Roman"/>
                      <w:color w:val="auto"/>
                      <w:kern w:val="2"/>
                      <w:sz w:val="21"/>
                      <w:szCs w:val="21"/>
                      <w:highlight w:val="none"/>
                      <w:lang w:val="en-US" w:eastAsia="zh-CN"/>
                    </w:rPr>
                    <w:t>/双回塔单侧挂线</w:t>
                  </w:r>
                </w:p>
              </w:tc>
            </w:tr>
            <w:tr w14:paraId="7A4A0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8" w:type="pct"/>
                  <w:vMerge w:val="continue"/>
                  <w:vAlign w:val="center"/>
                </w:tcPr>
                <w:p w14:paraId="1C47BD89">
                  <w:pPr>
                    <w:jc w:val="center"/>
                    <w:rPr>
                      <w:rFonts w:hint="default" w:ascii="Times New Roman" w:hAnsi="Times New Roman" w:eastAsia="宋体" w:cs="Times New Roman"/>
                      <w:color w:val="auto"/>
                      <w:sz w:val="21"/>
                      <w:szCs w:val="21"/>
                      <w:highlight w:val="none"/>
                    </w:rPr>
                  </w:pPr>
                </w:p>
              </w:tc>
              <w:tc>
                <w:tcPr>
                  <w:tcW w:w="550" w:type="pct"/>
                  <w:vMerge w:val="continue"/>
                  <w:vAlign w:val="center"/>
                </w:tcPr>
                <w:p w14:paraId="073EFA47">
                  <w:pPr>
                    <w:jc w:val="center"/>
                    <w:rPr>
                      <w:rFonts w:hint="default" w:ascii="Times New Roman" w:hAnsi="Times New Roman" w:eastAsia="宋体" w:cs="Times New Roman"/>
                      <w:color w:val="auto"/>
                      <w:sz w:val="21"/>
                      <w:szCs w:val="21"/>
                      <w:highlight w:val="none"/>
                    </w:rPr>
                  </w:pPr>
                </w:p>
              </w:tc>
              <w:tc>
                <w:tcPr>
                  <w:tcW w:w="723" w:type="pct"/>
                  <w:vAlign w:val="center"/>
                </w:tcPr>
                <w:p w14:paraId="1614308A">
                  <w:pPr>
                    <w:snapToGrid w:val="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导线型号</w:t>
                  </w:r>
                </w:p>
              </w:tc>
              <w:tc>
                <w:tcPr>
                  <w:tcW w:w="3476" w:type="pct"/>
                  <w:vAlign w:val="center"/>
                </w:tcPr>
                <w:p w14:paraId="1F96E132">
                  <w:pPr>
                    <w:snapToGrid w:val="0"/>
                    <w:jc w:val="center"/>
                    <w:rPr>
                      <w:rFonts w:hint="default" w:ascii="Times New Roman" w:hAnsi="Times New Roman" w:eastAsia="宋体" w:cs="Times New Roman"/>
                      <w:snapToGrid w:val="0"/>
                      <w:color w:val="auto"/>
                      <w:kern w:val="2"/>
                      <w:sz w:val="21"/>
                      <w:szCs w:val="21"/>
                      <w:highlight w:val="none"/>
                    </w:rPr>
                  </w:pPr>
                  <w:r>
                    <w:rPr>
                      <w:rFonts w:hint="default" w:ascii="Times New Roman" w:hAnsi="Times New Roman" w:eastAsia="宋体" w:cs="Times New Roman"/>
                      <w:color w:val="auto"/>
                      <w:sz w:val="21"/>
                      <w:szCs w:val="21"/>
                      <w:highlight w:val="none"/>
                    </w:rPr>
                    <w:t>JL/G1A-300/40</w:t>
                  </w:r>
                </w:p>
              </w:tc>
            </w:tr>
            <w:tr w14:paraId="0610B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8" w:type="pct"/>
                  <w:vMerge w:val="continue"/>
                  <w:vAlign w:val="center"/>
                </w:tcPr>
                <w:p w14:paraId="0499559F">
                  <w:pPr>
                    <w:jc w:val="center"/>
                    <w:rPr>
                      <w:rFonts w:hint="default" w:ascii="Times New Roman" w:hAnsi="Times New Roman" w:eastAsia="宋体" w:cs="Times New Roman"/>
                      <w:color w:val="auto"/>
                      <w:sz w:val="21"/>
                      <w:szCs w:val="21"/>
                      <w:highlight w:val="none"/>
                    </w:rPr>
                  </w:pPr>
                </w:p>
              </w:tc>
              <w:tc>
                <w:tcPr>
                  <w:tcW w:w="550" w:type="pct"/>
                  <w:vMerge w:val="continue"/>
                  <w:vAlign w:val="center"/>
                </w:tcPr>
                <w:p w14:paraId="09765DE7">
                  <w:pPr>
                    <w:jc w:val="center"/>
                    <w:rPr>
                      <w:rFonts w:hint="default" w:ascii="Times New Roman" w:hAnsi="Times New Roman" w:eastAsia="宋体" w:cs="Times New Roman"/>
                      <w:color w:val="auto"/>
                      <w:sz w:val="21"/>
                      <w:szCs w:val="21"/>
                      <w:highlight w:val="none"/>
                    </w:rPr>
                  </w:pPr>
                </w:p>
              </w:tc>
              <w:tc>
                <w:tcPr>
                  <w:tcW w:w="723" w:type="pct"/>
                  <w:vAlign w:val="center"/>
                </w:tcPr>
                <w:p w14:paraId="1CFD0FAE">
                  <w:pPr>
                    <w:adjustRightInd w:val="0"/>
                    <w:snapToGrid w:val="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线路长度</w:t>
                  </w:r>
                </w:p>
              </w:tc>
              <w:tc>
                <w:tcPr>
                  <w:tcW w:w="3476" w:type="pct"/>
                  <w:vAlign w:val="center"/>
                </w:tcPr>
                <w:p w14:paraId="334F58DC">
                  <w:pPr>
                    <w:adjustRightInd w:val="0"/>
                    <w:snapToGrid w:val="0"/>
                    <w:jc w:val="center"/>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rPr>
                    <w:t>路径全长约22.99km，全部为单回路架空架设</w:t>
                  </w:r>
                  <w:r>
                    <w:rPr>
                      <w:rFonts w:hint="default" w:ascii="Times New Roman" w:hAnsi="Times New Roman" w:eastAsia="宋体" w:cs="Times New Roman"/>
                      <w:snapToGrid w:val="0"/>
                      <w:color w:val="auto"/>
                      <w:sz w:val="21"/>
                      <w:szCs w:val="21"/>
                      <w:highlight w:val="none"/>
                      <w:lang w:eastAsia="zh-CN"/>
                    </w:rPr>
                    <w:t>（</w:t>
                  </w:r>
                  <w:r>
                    <w:rPr>
                      <w:rFonts w:hint="default" w:ascii="Times New Roman" w:hAnsi="Times New Roman" w:eastAsia="宋体" w:cs="Times New Roman"/>
                      <w:color w:val="auto"/>
                      <w:kern w:val="2"/>
                      <w:sz w:val="21"/>
                      <w:szCs w:val="21"/>
                      <w:highlight w:val="none"/>
                    </w:rPr>
                    <w:t>风电200MW升压站</w:t>
                  </w:r>
                  <w:r>
                    <w:rPr>
                      <w:rFonts w:hint="eastAsia" w:ascii="Times New Roman" w:hAnsi="Times New Roman" w:eastAsia="宋体" w:cs="Times New Roman"/>
                      <w:color w:val="auto"/>
                      <w:kern w:val="2"/>
                      <w:sz w:val="21"/>
                      <w:szCs w:val="21"/>
                      <w:highlight w:val="none"/>
                      <w:lang w:eastAsia="zh-CN"/>
                    </w:rPr>
                    <w:t>进</w:t>
                  </w:r>
                  <w:r>
                    <w:rPr>
                      <w:rFonts w:hint="default" w:ascii="Times New Roman" w:hAnsi="Times New Roman" w:eastAsia="宋体" w:cs="Times New Roman"/>
                      <w:snapToGrid w:val="0"/>
                      <w:color w:val="auto"/>
                      <w:sz w:val="21"/>
                      <w:szCs w:val="21"/>
                      <w:highlight w:val="none"/>
                      <w:lang w:eastAsia="zh-CN"/>
                    </w:rPr>
                    <w:t>站塔基为</w:t>
                  </w:r>
                  <w:r>
                    <w:rPr>
                      <w:rFonts w:hint="eastAsia" w:ascii="Times New Roman" w:hAnsi="Times New Roman" w:eastAsia="宋体" w:cs="Times New Roman"/>
                      <w:snapToGrid w:val="0"/>
                      <w:color w:val="auto"/>
                      <w:sz w:val="21"/>
                      <w:szCs w:val="21"/>
                      <w:highlight w:val="none"/>
                      <w:lang w:val="en-US" w:eastAsia="zh-CN"/>
                    </w:rPr>
                    <w:t>双</w:t>
                  </w:r>
                  <w:r>
                    <w:rPr>
                      <w:rFonts w:hint="default" w:ascii="Times New Roman" w:hAnsi="Times New Roman" w:eastAsia="宋体" w:cs="Times New Roman"/>
                      <w:snapToGrid w:val="0"/>
                      <w:color w:val="auto"/>
                      <w:sz w:val="21"/>
                      <w:szCs w:val="21"/>
                      <w:highlight w:val="none"/>
                      <w:lang w:eastAsia="zh-CN"/>
                    </w:rPr>
                    <w:t>回塔单侧挂线）</w:t>
                  </w:r>
                  <w:r>
                    <w:rPr>
                      <w:rFonts w:hint="default" w:ascii="Times New Roman" w:hAnsi="Times New Roman" w:eastAsia="宋体" w:cs="Times New Roman"/>
                      <w:snapToGrid w:val="0"/>
                      <w:color w:val="auto"/>
                      <w:sz w:val="21"/>
                      <w:szCs w:val="21"/>
                      <w:highlight w:val="none"/>
                    </w:rPr>
                    <w:t>，其中穿越河北滦河上游国家级自然保护区实验区长度9094.58m（塔基23基）</w:t>
                  </w:r>
                  <w:r>
                    <w:rPr>
                      <w:rFonts w:hint="default" w:ascii="Times New Roman" w:hAnsi="Times New Roman" w:eastAsia="宋体" w:cs="Times New Roman"/>
                      <w:snapToGrid w:val="0"/>
                      <w:color w:val="auto"/>
                      <w:sz w:val="21"/>
                      <w:szCs w:val="21"/>
                      <w:highlight w:val="none"/>
                      <w:lang w:eastAsia="zh-CN"/>
                    </w:rPr>
                    <w:t>，生态保护红线范围内长度</w:t>
                  </w:r>
                  <w:r>
                    <w:rPr>
                      <w:rFonts w:hint="default" w:ascii="Times New Roman" w:hAnsi="Times New Roman" w:eastAsia="宋体" w:cs="Times New Roman"/>
                      <w:snapToGrid w:val="0"/>
                      <w:color w:val="auto"/>
                      <w:sz w:val="21"/>
                      <w:szCs w:val="21"/>
                      <w:highlight w:val="none"/>
                      <w:lang w:val="en-US" w:eastAsia="zh-CN"/>
                    </w:rPr>
                    <w:t>12967m（塔基36基）。</w:t>
                  </w:r>
                </w:p>
              </w:tc>
            </w:tr>
            <w:tr w14:paraId="4796E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8" w:type="pct"/>
                  <w:vMerge w:val="continue"/>
                  <w:vAlign w:val="center"/>
                </w:tcPr>
                <w:p w14:paraId="495BDA94">
                  <w:pPr>
                    <w:jc w:val="center"/>
                    <w:rPr>
                      <w:rFonts w:hint="default" w:ascii="Times New Roman" w:hAnsi="Times New Roman" w:eastAsia="宋体" w:cs="Times New Roman"/>
                      <w:color w:val="auto"/>
                      <w:sz w:val="21"/>
                      <w:szCs w:val="21"/>
                      <w:highlight w:val="none"/>
                    </w:rPr>
                  </w:pPr>
                </w:p>
              </w:tc>
              <w:tc>
                <w:tcPr>
                  <w:tcW w:w="550" w:type="pct"/>
                  <w:vMerge w:val="continue"/>
                  <w:vAlign w:val="center"/>
                </w:tcPr>
                <w:p w14:paraId="63DD3063">
                  <w:pPr>
                    <w:jc w:val="center"/>
                    <w:rPr>
                      <w:rFonts w:hint="default" w:ascii="Times New Roman" w:hAnsi="Times New Roman" w:eastAsia="宋体" w:cs="Times New Roman"/>
                      <w:color w:val="auto"/>
                      <w:sz w:val="21"/>
                      <w:szCs w:val="21"/>
                      <w:highlight w:val="none"/>
                    </w:rPr>
                  </w:pPr>
                </w:p>
              </w:tc>
              <w:tc>
                <w:tcPr>
                  <w:tcW w:w="723" w:type="pct"/>
                  <w:vAlign w:val="center"/>
                </w:tcPr>
                <w:p w14:paraId="379630E3">
                  <w:pPr>
                    <w:snapToGrid w:val="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铁塔数量</w:t>
                  </w:r>
                </w:p>
              </w:tc>
              <w:tc>
                <w:tcPr>
                  <w:tcW w:w="3476" w:type="pct"/>
                  <w:vAlign w:val="center"/>
                </w:tcPr>
                <w:p w14:paraId="17DE5606">
                  <w:pPr>
                    <w:snapToGrid w:val="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snapToGrid w:val="0"/>
                      <w:color w:val="auto"/>
                      <w:kern w:val="2"/>
                      <w:sz w:val="21"/>
                      <w:szCs w:val="21"/>
                      <w:highlight w:val="none"/>
                    </w:rPr>
                    <w:t>新建铁塔总基数</w:t>
                  </w:r>
                  <w:r>
                    <w:rPr>
                      <w:rFonts w:hint="default" w:ascii="Times New Roman" w:hAnsi="Times New Roman" w:eastAsia="宋体" w:cs="Times New Roman"/>
                      <w:snapToGrid w:val="0"/>
                      <w:color w:val="auto"/>
                      <w:kern w:val="2"/>
                      <w:sz w:val="21"/>
                      <w:szCs w:val="21"/>
                      <w:highlight w:val="none"/>
                      <w:lang w:val="en-US" w:eastAsia="zh-CN"/>
                    </w:rPr>
                    <w:t>5</w:t>
                  </w:r>
                  <w:r>
                    <w:rPr>
                      <w:rFonts w:hint="default" w:ascii="Times New Roman" w:hAnsi="Times New Roman" w:eastAsia="宋体" w:cs="Times New Roman"/>
                      <w:snapToGrid w:val="0"/>
                      <w:color w:val="auto"/>
                      <w:kern w:val="2"/>
                      <w:sz w:val="21"/>
                      <w:szCs w:val="21"/>
                      <w:highlight w:val="none"/>
                    </w:rPr>
                    <w:t>7基，其中单回路直线塔3</w:t>
                  </w:r>
                  <w:r>
                    <w:rPr>
                      <w:rFonts w:hint="default" w:ascii="Times New Roman" w:hAnsi="Times New Roman" w:eastAsia="宋体" w:cs="Times New Roman"/>
                      <w:snapToGrid w:val="0"/>
                      <w:color w:val="auto"/>
                      <w:kern w:val="2"/>
                      <w:sz w:val="21"/>
                      <w:szCs w:val="21"/>
                      <w:highlight w:val="none"/>
                      <w:lang w:val="en-US" w:eastAsia="zh-CN"/>
                    </w:rPr>
                    <w:t>1</w:t>
                  </w:r>
                  <w:r>
                    <w:rPr>
                      <w:rFonts w:hint="default" w:ascii="Times New Roman" w:hAnsi="Times New Roman" w:eastAsia="宋体" w:cs="Times New Roman"/>
                      <w:snapToGrid w:val="0"/>
                      <w:color w:val="auto"/>
                      <w:kern w:val="2"/>
                      <w:sz w:val="21"/>
                      <w:szCs w:val="21"/>
                      <w:highlight w:val="none"/>
                    </w:rPr>
                    <w:t>基、单回路耐张塔</w:t>
                  </w:r>
                  <w:r>
                    <w:rPr>
                      <w:rFonts w:hint="default" w:ascii="Times New Roman" w:hAnsi="Times New Roman" w:eastAsia="宋体" w:cs="Times New Roman"/>
                      <w:snapToGrid w:val="0"/>
                      <w:color w:val="auto"/>
                      <w:kern w:val="2"/>
                      <w:sz w:val="21"/>
                      <w:szCs w:val="21"/>
                      <w:highlight w:val="none"/>
                      <w:lang w:val="en-US" w:eastAsia="zh-CN"/>
                    </w:rPr>
                    <w:t>25</w:t>
                  </w:r>
                  <w:r>
                    <w:rPr>
                      <w:rFonts w:hint="default" w:ascii="Times New Roman" w:hAnsi="Times New Roman" w:eastAsia="宋体" w:cs="Times New Roman"/>
                      <w:snapToGrid w:val="0"/>
                      <w:color w:val="auto"/>
                      <w:kern w:val="2"/>
                      <w:sz w:val="21"/>
                      <w:szCs w:val="21"/>
                      <w:highlight w:val="none"/>
                    </w:rPr>
                    <w:t>基</w:t>
                  </w:r>
                  <w:r>
                    <w:rPr>
                      <w:rFonts w:hint="default" w:ascii="Times New Roman" w:hAnsi="Times New Roman" w:eastAsia="宋体" w:cs="Times New Roman"/>
                      <w:snapToGrid w:val="0"/>
                      <w:color w:val="auto"/>
                      <w:kern w:val="2"/>
                      <w:sz w:val="21"/>
                      <w:szCs w:val="21"/>
                      <w:highlight w:val="none"/>
                      <w:lang w:eastAsia="zh-CN"/>
                    </w:rPr>
                    <w:t>、双回路耐张塔</w:t>
                  </w:r>
                  <w:r>
                    <w:rPr>
                      <w:rFonts w:hint="default" w:ascii="Times New Roman" w:hAnsi="Times New Roman" w:eastAsia="宋体" w:cs="Times New Roman"/>
                      <w:snapToGrid w:val="0"/>
                      <w:color w:val="auto"/>
                      <w:kern w:val="2"/>
                      <w:sz w:val="21"/>
                      <w:szCs w:val="21"/>
                      <w:highlight w:val="none"/>
                      <w:lang w:val="en-US" w:eastAsia="zh-CN"/>
                    </w:rPr>
                    <w:t>1基</w:t>
                  </w:r>
                  <w:r>
                    <w:rPr>
                      <w:rFonts w:hint="default" w:ascii="Times New Roman" w:hAnsi="Times New Roman" w:eastAsia="宋体" w:cs="Times New Roman"/>
                      <w:snapToGrid w:val="0"/>
                      <w:color w:val="auto"/>
                      <w:kern w:val="2"/>
                      <w:sz w:val="21"/>
                      <w:szCs w:val="21"/>
                      <w:highlight w:val="none"/>
                    </w:rPr>
                    <w:t>。</w:t>
                  </w:r>
                </w:p>
              </w:tc>
            </w:tr>
            <w:tr w14:paraId="7C076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8" w:type="pct"/>
                  <w:vMerge w:val="continue"/>
                  <w:vAlign w:val="center"/>
                </w:tcPr>
                <w:p w14:paraId="03B638DC">
                  <w:pPr>
                    <w:jc w:val="center"/>
                    <w:rPr>
                      <w:rFonts w:hint="default" w:ascii="Times New Roman" w:hAnsi="Times New Roman" w:eastAsia="宋体" w:cs="Times New Roman"/>
                      <w:color w:val="auto"/>
                      <w:sz w:val="21"/>
                      <w:szCs w:val="21"/>
                      <w:highlight w:val="none"/>
                    </w:rPr>
                  </w:pPr>
                </w:p>
              </w:tc>
              <w:tc>
                <w:tcPr>
                  <w:tcW w:w="550" w:type="pct"/>
                  <w:vMerge w:val="continue"/>
                  <w:vAlign w:val="center"/>
                </w:tcPr>
                <w:p w14:paraId="00AFF803">
                  <w:pPr>
                    <w:jc w:val="center"/>
                    <w:rPr>
                      <w:rFonts w:hint="default" w:ascii="Times New Roman" w:hAnsi="Times New Roman" w:eastAsia="宋体" w:cs="Times New Roman"/>
                      <w:color w:val="auto"/>
                      <w:sz w:val="21"/>
                      <w:szCs w:val="21"/>
                      <w:highlight w:val="none"/>
                    </w:rPr>
                  </w:pPr>
                </w:p>
              </w:tc>
              <w:tc>
                <w:tcPr>
                  <w:tcW w:w="723" w:type="pct"/>
                  <w:vAlign w:val="center"/>
                </w:tcPr>
                <w:p w14:paraId="79CA4561">
                  <w:pPr>
                    <w:snapToGrid w:val="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生态恢复</w:t>
                  </w:r>
                </w:p>
              </w:tc>
              <w:tc>
                <w:tcPr>
                  <w:tcW w:w="3476" w:type="pct"/>
                  <w:vAlign w:val="center"/>
                </w:tcPr>
                <w:p w14:paraId="5FD4A694">
                  <w:pPr>
                    <w:snapToGrid w:val="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采用水土保持工程内容对塔基底部及临时占地进行生态恢复。</w:t>
                  </w:r>
                </w:p>
              </w:tc>
            </w:tr>
            <w:tr w14:paraId="4D6BA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8" w:type="pct"/>
                  <w:vMerge w:val="continue"/>
                  <w:vAlign w:val="center"/>
                </w:tcPr>
                <w:p w14:paraId="4362CAD7">
                  <w:pPr>
                    <w:jc w:val="center"/>
                    <w:rPr>
                      <w:rFonts w:hint="default" w:ascii="Times New Roman" w:hAnsi="Times New Roman" w:eastAsia="宋体" w:cs="Times New Roman"/>
                      <w:color w:val="auto"/>
                      <w:sz w:val="21"/>
                      <w:szCs w:val="21"/>
                      <w:highlight w:val="none"/>
                    </w:rPr>
                  </w:pPr>
                </w:p>
              </w:tc>
              <w:tc>
                <w:tcPr>
                  <w:tcW w:w="550" w:type="pct"/>
                  <w:vMerge w:val="continue"/>
                  <w:vAlign w:val="center"/>
                </w:tcPr>
                <w:p w14:paraId="400C65DC">
                  <w:pPr>
                    <w:jc w:val="center"/>
                    <w:rPr>
                      <w:rFonts w:hint="default" w:ascii="Times New Roman" w:hAnsi="Times New Roman" w:eastAsia="宋体" w:cs="Times New Roman"/>
                      <w:color w:val="auto"/>
                      <w:sz w:val="21"/>
                      <w:szCs w:val="21"/>
                      <w:highlight w:val="none"/>
                    </w:rPr>
                  </w:pPr>
                </w:p>
              </w:tc>
              <w:tc>
                <w:tcPr>
                  <w:tcW w:w="723" w:type="pct"/>
                  <w:vAlign w:val="center"/>
                </w:tcPr>
                <w:p w14:paraId="36AC74E6">
                  <w:pPr>
                    <w:snapToGrid w:val="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占地</w:t>
                  </w:r>
                </w:p>
              </w:tc>
              <w:tc>
                <w:tcPr>
                  <w:tcW w:w="3476" w:type="pct"/>
                  <w:vAlign w:val="center"/>
                </w:tcPr>
                <w:p w14:paraId="110D7C71">
                  <w:pPr>
                    <w:snapToGrid w:val="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塔基占地</w:t>
                  </w:r>
                  <w:r>
                    <w:rPr>
                      <w:rFonts w:hint="eastAsia" w:ascii="Times New Roman" w:hAnsi="Times New Roman" w:eastAsia="宋体" w:cs="Times New Roman"/>
                      <w:color w:val="auto"/>
                      <w:sz w:val="21"/>
                      <w:szCs w:val="21"/>
                      <w:highlight w:val="none"/>
                      <w:lang w:val="en-US" w:eastAsia="zh-CN"/>
                    </w:rPr>
                    <w:t>6202</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施工</w:t>
                  </w:r>
                  <w:r>
                    <w:rPr>
                      <w:rFonts w:hint="default" w:ascii="Times New Roman" w:hAnsi="Times New Roman" w:eastAsia="宋体" w:cs="Times New Roman"/>
                      <w:color w:val="auto"/>
                      <w:sz w:val="21"/>
                      <w:szCs w:val="21"/>
                      <w:highlight w:val="none"/>
                    </w:rPr>
                    <w:t>临时占地3</w:t>
                  </w:r>
                  <w:r>
                    <w:rPr>
                      <w:rFonts w:hint="eastAsia" w:ascii="Times New Roman" w:hAnsi="Times New Roman" w:eastAsia="宋体" w:cs="Times New Roman"/>
                      <w:color w:val="auto"/>
                      <w:sz w:val="21"/>
                      <w:szCs w:val="21"/>
                      <w:highlight w:val="none"/>
                      <w:lang w:val="en-US" w:eastAsia="zh-CN"/>
                    </w:rPr>
                    <w:t>7625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tc>
            </w:tr>
            <w:tr w14:paraId="3CBBD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3" w:type="pct"/>
                  <w:gridSpan w:val="3"/>
                  <w:vAlign w:val="center"/>
                </w:tcPr>
                <w:p w14:paraId="36472BE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辅助工程</w:t>
                  </w:r>
                </w:p>
              </w:tc>
              <w:tc>
                <w:tcPr>
                  <w:tcW w:w="3476" w:type="pct"/>
                  <w:vAlign w:val="center"/>
                </w:tcPr>
                <w:p w14:paraId="636BE1A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OPGW-17-150型号双光缆</w:t>
                  </w:r>
                </w:p>
              </w:tc>
            </w:tr>
            <w:tr w14:paraId="56867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3" w:type="pct"/>
                  <w:gridSpan w:val="3"/>
                  <w:vAlign w:val="center"/>
                </w:tcPr>
                <w:p w14:paraId="0E3A60B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环保工程</w:t>
                  </w:r>
                </w:p>
              </w:tc>
              <w:tc>
                <w:tcPr>
                  <w:tcW w:w="3476" w:type="pct"/>
                  <w:vAlign w:val="center"/>
                </w:tcPr>
                <w:p w14:paraId="709D1DA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本项目不建设施工营地，线路施工租用附近村庄民房。</w:t>
                  </w:r>
                </w:p>
              </w:tc>
            </w:tr>
            <w:tr w14:paraId="49F6D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3" w:type="pct"/>
                  <w:gridSpan w:val="3"/>
                  <w:vAlign w:val="center"/>
                </w:tcPr>
                <w:p w14:paraId="7FC8321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依托工程</w:t>
                  </w:r>
                </w:p>
              </w:tc>
              <w:tc>
                <w:tcPr>
                  <w:tcW w:w="3476" w:type="pct"/>
                  <w:vAlign w:val="center"/>
                </w:tcPr>
                <w:p w14:paraId="3E36736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线路巡检人员依托现有人员，不新增劳动定员</w:t>
                  </w:r>
                </w:p>
              </w:tc>
            </w:tr>
            <w:tr w14:paraId="130A1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9" w:type="pct"/>
                  <w:gridSpan w:val="2"/>
                  <w:vMerge w:val="restart"/>
                  <w:vAlign w:val="center"/>
                </w:tcPr>
                <w:p w14:paraId="1D00B5EC">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临时工程</w:t>
                  </w:r>
                </w:p>
              </w:tc>
              <w:tc>
                <w:tcPr>
                  <w:tcW w:w="723" w:type="pct"/>
                  <w:vAlign w:val="center"/>
                </w:tcPr>
                <w:p w14:paraId="3F4FD6DB">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施工营地</w:t>
                  </w:r>
                </w:p>
              </w:tc>
              <w:tc>
                <w:tcPr>
                  <w:tcW w:w="3476" w:type="pct"/>
                  <w:vAlign w:val="center"/>
                </w:tcPr>
                <w:p w14:paraId="74F26B45">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本项目不设施工人员食宿营地，施工人员租用当地附近村庄居民住房。</w:t>
                  </w:r>
                </w:p>
              </w:tc>
            </w:tr>
            <w:tr w14:paraId="45CB4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9" w:type="pct"/>
                  <w:gridSpan w:val="2"/>
                  <w:vMerge w:val="continue"/>
                  <w:vAlign w:val="center"/>
                </w:tcPr>
                <w:p w14:paraId="05F3F34E">
                  <w:pPr>
                    <w:jc w:val="center"/>
                    <w:rPr>
                      <w:rFonts w:hint="default" w:ascii="Times New Roman" w:hAnsi="Times New Roman" w:cs="Times New Roman" w:eastAsiaTheme="minorEastAsia"/>
                      <w:color w:val="auto"/>
                      <w:sz w:val="21"/>
                      <w:szCs w:val="21"/>
                      <w:highlight w:val="none"/>
                    </w:rPr>
                  </w:pPr>
                </w:p>
              </w:tc>
              <w:tc>
                <w:tcPr>
                  <w:tcW w:w="723" w:type="pct"/>
                  <w:vAlign w:val="center"/>
                </w:tcPr>
                <w:p w14:paraId="7AC9AF87">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施工场地</w:t>
                  </w:r>
                </w:p>
              </w:tc>
              <w:tc>
                <w:tcPr>
                  <w:tcW w:w="3476" w:type="pct"/>
                  <w:vAlign w:val="center"/>
                </w:tcPr>
                <w:p w14:paraId="265FD717">
                  <w:pPr>
                    <w:adjustRightInd w:val="0"/>
                    <w:snapToGrid w:val="0"/>
                    <w:jc w:val="center"/>
                    <w:rPr>
                      <w:rFonts w:hint="default" w:ascii="Times New Roman" w:hAnsi="Times New Roman" w:cs="Times New Roman" w:eastAsiaTheme="minorEastAsia"/>
                      <w:color w:val="auto"/>
                      <w:sz w:val="21"/>
                      <w:szCs w:val="21"/>
                      <w:highlight w:val="none"/>
                    </w:rPr>
                  </w:pPr>
                  <w:r>
                    <w:rPr>
                      <w:rFonts w:hint="default" w:ascii="Times New Roman" w:hAnsi="Times New Roman" w:eastAsia="宋体" w:cs="Times New Roman"/>
                      <w:color w:val="auto"/>
                      <w:sz w:val="21"/>
                      <w:szCs w:val="21"/>
                      <w:highlight w:val="none"/>
                    </w:rPr>
                    <w:t>本项目施工场地主要为塔基施工临时占地、材料及设备堆放地，占地</w:t>
                  </w:r>
                  <w:r>
                    <w:rPr>
                      <w:rFonts w:hint="default" w:ascii="Times New Roman" w:hAnsi="Times New Roman" w:cs="Times New Roman" w:eastAsiaTheme="minorEastAsia"/>
                      <w:color w:val="auto"/>
                      <w:sz w:val="21"/>
                      <w:szCs w:val="21"/>
                      <w:highlight w:val="none"/>
                    </w:rPr>
                    <w:t>1</w:t>
                  </w:r>
                  <w:r>
                    <w:rPr>
                      <w:rFonts w:hint="default" w:ascii="Times New Roman" w:hAnsi="Times New Roman" w:cs="Times New Roman" w:eastAsiaTheme="minorEastAsia"/>
                      <w:color w:val="auto"/>
                      <w:sz w:val="21"/>
                      <w:szCs w:val="21"/>
                      <w:highlight w:val="none"/>
                      <w:lang w:val="en-US" w:eastAsia="zh-CN"/>
                    </w:rPr>
                    <w:t>2825</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tc>
            </w:tr>
            <w:tr w14:paraId="5319D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9" w:type="pct"/>
                  <w:gridSpan w:val="2"/>
                  <w:vMerge w:val="continue"/>
                  <w:vAlign w:val="center"/>
                </w:tcPr>
                <w:p w14:paraId="22CAAE4F">
                  <w:pPr>
                    <w:jc w:val="center"/>
                    <w:rPr>
                      <w:rFonts w:hint="default" w:ascii="Times New Roman" w:hAnsi="Times New Roman" w:cs="Times New Roman" w:eastAsiaTheme="minorEastAsia"/>
                      <w:color w:val="auto"/>
                      <w:sz w:val="21"/>
                      <w:szCs w:val="21"/>
                      <w:highlight w:val="none"/>
                    </w:rPr>
                  </w:pPr>
                </w:p>
              </w:tc>
              <w:tc>
                <w:tcPr>
                  <w:tcW w:w="723" w:type="pct"/>
                  <w:vAlign w:val="center"/>
                </w:tcPr>
                <w:p w14:paraId="548DDCA6">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施工便道</w:t>
                  </w:r>
                </w:p>
              </w:tc>
              <w:tc>
                <w:tcPr>
                  <w:tcW w:w="3476" w:type="pct"/>
                  <w:vAlign w:val="center"/>
                </w:tcPr>
                <w:p w14:paraId="61569EE0">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主要利用现有道路进行施工运输，</w:t>
                  </w:r>
                  <w:r>
                    <w:rPr>
                      <w:rFonts w:hint="default" w:ascii="Times New Roman" w:hAnsi="Times New Roman" w:eastAsia="宋体" w:cs="Times New Roman"/>
                      <w:snapToGrid w:val="0"/>
                      <w:color w:val="auto"/>
                      <w:sz w:val="21"/>
                      <w:szCs w:val="21"/>
                      <w:highlight w:val="none"/>
                    </w:rPr>
                    <w:t>河北滦河上游国家级自然保护区内采用骡马驮运，保护区外</w:t>
                  </w:r>
                  <w:r>
                    <w:rPr>
                      <w:rFonts w:hint="default" w:ascii="Times New Roman" w:hAnsi="Times New Roman" w:eastAsia="宋体" w:cs="Times New Roman"/>
                      <w:color w:val="auto"/>
                      <w:sz w:val="21"/>
                      <w:szCs w:val="21"/>
                      <w:highlight w:val="none"/>
                    </w:rPr>
                    <w:t>施工便道占地约19800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tc>
            </w:tr>
            <w:tr w14:paraId="7FFD9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9" w:type="pct"/>
                  <w:gridSpan w:val="2"/>
                  <w:vMerge w:val="continue"/>
                  <w:vAlign w:val="center"/>
                </w:tcPr>
                <w:p w14:paraId="21733188">
                  <w:pPr>
                    <w:jc w:val="center"/>
                    <w:rPr>
                      <w:rFonts w:hint="default" w:ascii="Times New Roman" w:hAnsi="Times New Roman" w:cs="Times New Roman" w:eastAsiaTheme="minorEastAsia"/>
                      <w:color w:val="auto"/>
                      <w:sz w:val="21"/>
                      <w:szCs w:val="21"/>
                      <w:highlight w:val="none"/>
                    </w:rPr>
                  </w:pPr>
                </w:p>
              </w:tc>
              <w:tc>
                <w:tcPr>
                  <w:tcW w:w="723" w:type="pct"/>
                  <w:vAlign w:val="center"/>
                </w:tcPr>
                <w:p w14:paraId="5B3FFEA7">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牵张场</w:t>
                  </w:r>
                </w:p>
              </w:tc>
              <w:tc>
                <w:tcPr>
                  <w:tcW w:w="3476" w:type="pct"/>
                  <w:vAlign w:val="center"/>
                </w:tcPr>
                <w:p w14:paraId="41193B1D">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5处，总占地面积</w:t>
                  </w:r>
                  <w:r>
                    <w:rPr>
                      <w:rFonts w:hint="default" w:ascii="Times New Roman" w:hAnsi="Times New Roman" w:cs="Times New Roman" w:eastAsiaTheme="minorEastAsia"/>
                      <w:color w:val="auto"/>
                      <w:sz w:val="21"/>
                      <w:szCs w:val="21"/>
                      <w:highlight w:val="none"/>
                    </w:rPr>
                    <w:t>5</w:t>
                  </w:r>
                  <w:r>
                    <w:rPr>
                      <w:rFonts w:hint="default" w:ascii="Times New Roman" w:hAnsi="Times New Roman" w:cs="Times New Roman"/>
                      <w:color w:val="auto"/>
                      <w:sz w:val="21"/>
                      <w:szCs w:val="21"/>
                      <w:highlight w:val="none"/>
                    </w:rPr>
                    <w:t>000m</w:t>
                  </w:r>
                  <w:r>
                    <w:rPr>
                      <w:rFonts w:hint="default" w:ascii="Times New Roman" w:hAnsi="Times New Roman"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snapToGrid w:val="0"/>
                      <w:color w:val="auto"/>
                      <w:sz w:val="21"/>
                      <w:szCs w:val="21"/>
                      <w:highlight w:val="none"/>
                    </w:rPr>
                    <w:t>河北滦河上游国家级自然保护区内不设置牵张场</w:t>
                  </w:r>
                  <w:r>
                    <w:rPr>
                      <w:rFonts w:hint="default" w:ascii="Times New Roman" w:hAnsi="Times New Roman" w:eastAsia="宋体" w:cs="Times New Roman"/>
                      <w:color w:val="auto"/>
                      <w:sz w:val="21"/>
                      <w:szCs w:val="21"/>
                      <w:highlight w:val="none"/>
                    </w:rPr>
                    <w:t>）。</w:t>
                  </w:r>
                </w:p>
              </w:tc>
            </w:tr>
            <w:tr w14:paraId="44626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3" w:type="pct"/>
                  <w:gridSpan w:val="3"/>
                  <w:vAlign w:val="center"/>
                </w:tcPr>
                <w:p w14:paraId="3EA382E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评价范围内环境保护目标</w:t>
                  </w:r>
                </w:p>
              </w:tc>
              <w:tc>
                <w:tcPr>
                  <w:tcW w:w="3476" w:type="pct"/>
                  <w:vAlign w:val="center"/>
                </w:tcPr>
                <w:p w14:paraId="21E0B3E7">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snapToGrid w:val="0"/>
                      <w:color w:val="auto"/>
                      <w:sz w:val="21"/>
                      <w:szCs w:val="21"/>
                      <w:highlight w:val="none"/>
                      <w:lang w:eastAsia="zh-CN"/>
                    </w:rPr>
                    <w:t>生态环境保护目标：</w:t>
                  </w:r>
                  <w:r>
                    <w:rPr>
                      <w:rFonts w:hint="default" w:ascii="Times New Roman" w:hAnsi="Times New Roman" w:eastAsia="宋体" w:cs="Times New Roman"/>
                      <w:snapToGrid w:val="0"/>
                      <w:color w:val="auto"/>
                      <w:sz w:val="21"/>
                      <w:szCs w:val="21"/>
                      <w:highlight w:val="none"/>
                    </w:rPr>
                    <w:t>河北滦河上游国家级自然保护区、生态保护红线</w:t>
                  </w:r>
                </w:p>
              </w:tc>
            </w:tr>
          </w:tbl>
          <w:p w14:paraId="0E21F2A1">
            <w:pPr>
              <w:pStyle w:val="41"/>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（5）沿线环境状况</w:t>
            </w:r>
          </w:p>
          <w:p w14:paraId="4765D56B">
            <w:pPr>
              <w:pStyle w:val="41"/>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220kV线路工程全线位于承德市围场满族蒙古族自治县老窝铺乡、城子镇</w:t>
            </w:r>
            <w:r>
              <w:rPr>
                <w:rFonts w:hint="eastAsia" w:ascii="Times New Roman" w:hAnsi="Times New Roman" w:eastAsia="宋体" w:cs="Times New Roman"/>
                <w:bCs/>
                <w:color w:val="auto"/>
                <w:sz w:val="24"/>
                <w:szCs w:val="24"/>
                <w:highlight w:val="none"/>
                <w:lang w:eastAsia="zh-CN"/>
              </w:rPr>
              <w:t>、御道口镇</w:t>
            </w:r>
            <w:r>
              <w:rPr>
                <w:rFonts w:hint="default" w:ascii="Times New Roman" w:hAnsi="Times New Roman" w:eastAsia="宋体" w:cs="Times New Roman"/>
                <w:bCs/>
                <w:color w:val="auto"/>
                <w:sz w:val="24"/>
                <w:szCs w:val="24"/>
                <w:highlight w:val="none"/>
              </w:rPr>
              <w:t>，线路沿线地势起伏及高差变化较大，多为山区林地，部分为耕地。本项目路径图见附图2，周边关系图见附图3。</w:t>
            </w:r>
          </w:p>
          <w:p w14:paraId="28B935ED">
            <w:pPr>
              <w:pStyle w:val="41"/>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（6）线路路径</w:t>
            </w:r>
          </w:p>
          <w:p w14:paraId="64568695">
            <w:pPr>
              <w:pStyle w:val="41"/>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自华能围场光伏220kV升压站架构出线后，向东南方向走线到达J3（</w:t>
            </w:r>
            <w:r>
              <w:rPr>
                <w:rFonts w:hint="eastAsia" w:ascii="Times New Roman" w:hAnsi="Times New Roman" w:eastAsia="宋体" w:cs="Times New Roman"/>
                <w:bCs/>
                <w:color w:val="FF0000"/>
                <w:sz w:val="24"/>
                <w:szCs w:val="24"/>
                <w:highlight w:val="none"/>
                <w:lang w:val="en-US" w:eastAsia="zh-CN"/>
              </w:rPr>
              <w:t>4号塔</w:t>
            </w:r>
            <w:r>
              <w:rPr>
                <w:rFonts w:hint="default" w:ascii="Times New Roman" w:hAnsi="Times New Roman" w:eastAsia="宋体" w:cs="Times New Roman"/>
                <w:bCs/>
                <w:color w:val="auto"/>
                <w:sz w:val="24"/>
                <w:szCs w:val="24"/>
                <w:highlight w:val="none"/>
              </w:rPr>
              <w:t>进入河北滦河上游国家级自然保护区实验区），至二道岔北山附近后左转向东偏北方向到达J5，右转向东南方向到达大台子北侧J8，之后送出线路架空穿越220kV点祥线到达J10，右转后线路呈东南方向到达三号沟东侧J13（出河北滦河上游国家级自然保护区实验区</w:t>
            </w:r>
            <w:r>
              <w:rPr>
                <w:rFonts w:hint="eastAsia" w:ascii="Times New Roman" w:hAnsi="Times New Roman" w:eastAsia="宋体" w:cs="Times New Roman"/>
                <w:bCs/>
                <w:color w:val="auto"/>
                <w:sz w:val="24"/>
                <w:szCs w:val="24"/>
                <w:highlight w:val="none"/>
                <w:lang w:eastAsia="zh-CN"/>
              </w:rPr>
              <w:t>，保护区内最后一基塔为</w:t>
            </w:r>
            <w:r>
              <w:rPr>
                <w:rFonts w:hint="eastAsia" w:ascii="Times New Roman" w:hAnsi="Times New Roman" w:eastAsia="宋体" w:cs="Times New Roman"/>
                <w:bCs/>
                <w:color w:val="auto"/>
                <w:sz w:val="24"/>
                <w:szCs w:val="24"/>
                <w:highlight w:val="none"/>
                <w:lang w:val="en-US" w:eastAsia="zh-CN"/>
              </w:rPr>
              <w:t>26号塔</w:t>
            </w:r>
            <w:r>
              <w:rPr>
                <w:rFonts w:hint="default" w:ascii="Times New Roman" w:hAnsi="Times New Roman" w:eastAsia="宋体" w:cs="Times New Roman"/>
                <w:bCs/>
                <w:color w:val="auto"/>
                <w:sz w:val="24"/>
                <w:szCs w:val="24"/>
                <w:highlight w:val="none"/>
              </w:rPr>
              <w:t>），继续向东南</w:t>
            </w:r>
            <w:r>
              <w:rPr>
                <w:rFonts w:hint="eastAsia" w:ascii="Times New Roman" w:hAnsi="Times New Roman" w:eastAsia="宋体" w:cs="Times New Roman"/>
                <w:bCs/>
                <w:color w:val="auto"/>
                <w:sz w:val="24"/>
                <w:szCs w:val="24"/>
                <w:highlight w:val="none"/>
                <w:lang w:eastAsia="zh-CN"/>
              </w:rPr>
              <w:t>至</w:t>
            </w:r>
            <w:r>
              <w:rPr>
                <w:rFonts w:hint="default" w:ascii="Times New Roman" w:hAnsi="Times New Roman" w:eastAsia="宋体" w:cs="Times New Roman"/>
                <w:bCs/>
                <w:color w:val="auto"/>
                <w:sz w:val="24"/>
                <w:szCs w:val="24"/>
                <w:highlight w:val="none"/>
              </w:rPr>
              <w:t>哈啦吗嘎沟西侧J14，右转跨越35kV牌后线和35kV牌老线后到达J15，左转向东南方向至J16，再左转跨越35kV牌老线后向东北方向架设至华能200兆瓦风电升压站西侧，建设一座双回路终端塔，</w:t>
            </w:r>
            <w:r>
              <w:rPr>
                <w:rFonts w:hint="default" w:ascii="Times New Roman" w:hAnsi="Times New Roman" w:eastAsia="宋体" w:cs="Times New Roman"/>
                <w:bCs/>
                <w:color w:val="auto"/>
                <w:sz w:val="24"/>
                <w:szCs w:val="24"/>
                <w:highlight w:val="none"/>
                <w:lang w:eastAsia="zh-CN"/>
              </w:rPr>
              <w:t>单侧挂线</w:t>
            </w:r>
            <w:r>
              <w:rPr>
                <w:rFonts w:hint="default" w:ascii="Times New Roman" w:hAnsi="Times New Roman" w:eastAsia="宋体" w:cs="Times New Roman"/>
                <w:bCs/>
                <w:color w:val="auto"/>
                <w:sz w:val="24"/>
                <w:szCs w:val="24"/>
                <w:highlight w:val="none"/>
              </w:rPr>
              <w:t>至风电进线架构。</w:t>
            </w:r>
          </w:p>
          <w:p w14:paraId="6675F8E3">
            <w:pPr>
              <w:pStyle w:val="41"/>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（7）线路交叉跨越情况及塔型选型</w:t>
            </w:r>
          </w:p>
          <w:p w14:paraId="56DA18D8">
            <w:pPr>
              <w:pStyle w:val="41"/>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本项目线路整体走向为自西向东。主要交叉钻跨越情况见表2-</w:t>
            </w:r>
            <w:r>
              <w:rPr>
                <w:rFonts w:hint="default" w:ascii="Times New Roman" w:hAnsi="Times New Roman" w:eastAsia="宋体" w:cs="Times New Roman"/>
                <w:bCs/>
                <w:color w:val="auto"/>
                <w:sz w:val="24"/>
                <w:szCs w:val="24"/>
                <w:highlight w:val="none"/>
                <w:lang w:val="en-US" w:eastAsia="zh-CN"/>
              </w:rPr>
              <w:t>3</w:t>
            </w:r>
            <w:r>
              <w:rPr>
                <w:rFonts w:hint="default" w:ascii="Times New Roman" w:hAnsi="Times New Roman" w:eastAsia="宋体" w:cs="Times New Roman"/>
                <w:bCs/>
                <w:color w:val="auto"/>
                <w:sz w:val="24"/>
                <w:szCs w:val="24"/>
                <w:highlight w:val="none"/>
              </w:rPr>
              <w:t>。</w:t>
            </w:r>
          </w:p>
          <w:p w14:paraId="07F80464">
            <w:pPr>
              <w:ind w:firstLine="422" w:firstLineChars="20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表2-</w:t>
            </w:r>
            <w:r>
              <w:rPr>
                <w:rFonts w:hint="default" w:ascii="Times New Roman" w:hAnsi="Times New Roman"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rPr>
              <w:t>　本项目主要交叉钻跨越情况一览表</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35"/>
              <w:gridCol w:w="1570"/>
              <w:gridCol w:w="1570"/>
              <w:gridCol w:w="2493"/>
            </w:tblGrid>
            <w:tr w14:paraId="021F7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2" w:type="pct"/>
                  <w:vAlign w:val="center"/>
                </w:tcPr>
                <w:p w14:paraId="50CD35B6">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线路名称</w:t>
                  </w:r>
                </w:p>
              </w:tc>
              <w:tc>
                <w:tcPr>
                  <w:tcW w:w="916" w:type="pct"/>
                  <w:vAlign w:val="center"/>
                </w:tcPr>
                <w:p w14:paraId="6B926899">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单位</w:t>
                  </w:r>
                </w:p>
              </w:tc>
              <w:tc>
                <w:tcPr>
                  <w:tcW w:w="916" w:type="pct"/>
                  <w:vAlign w:val="center"/>
                </w:tcPr>
                <w:p w14:paraId="6AC39B7B">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数量</w:t>
                  </w:r>
                </w:p>
              </w:tc>
              <w:tc>
                <w:tcPr>
                  <w:tcW w:w="1454" w:type="pct"/>
                  <w:vAlign w:val="center"/>
                </w:tcPr>
                <w:p w14:paraId="6D30BF15">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措施</w:t>
                  </w:r>
                </w:p>
              </w:tc>
            </w:tr>
            <w:tr w14:paraId="6A01C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2" w:type="pct"/>
                  <w:vAlign w:val="center"/>
                </w:tcPr>
                <w:p w14:paraId="0D0DD982">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220kV点祥线路</w:t>
                  </w:r>
                </w:p>
              </w:tc>
              <w:tc>
                <w:tcPr>
                  <w:tcW w:w="916" w:type="pct"/>
                  <w:vAlign w:val="center"/>
                </w:tcPr>
                <w:p w14:paraId="675E0C05">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次</w:t>
                  </w:r>
                </w:p>
              </w:tc>
              <w:tc>
                <w:tcPr>
                  <w:tcW w:w="916" w:type="pct"/>
                  <w:vAlign w:val="center"/>
                </w:tcPr>
                <w:p w14:paraId="1E000AB4">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454" w:type="pct"/>
                  <w:vAlign w:val="center"/>
                </w:tcPr>
                <w:p w14:paraId="02A75F5B">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钻越</w:t>
                  </w:r>
                </w:p>
              </w:tc>
            </w:tr>
            <w:tr w14:paraId="79ED6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2" w:type="pct"/>
                  <w:vAlign w:val="center"/>
                </w:tcPr>
                <w:p w14:paraId="62905F20">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35kV线路</w:t>
                  </w:r>
                </w:p>
              </w:tc>
              <w:tc>
                <w:tcPr>
                  <w:tcW w:w="916" w:type="pct"/>
                  <w:vAlign w:val="center"/>
                </w:tcPr>
                <w:p w14:paraId="579E398C">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次</w:t>
                  </w:r>
                </w:p>
              </w:tc>
              <w:tc>
                <w:tcPr>
                  <w:tcW w:w="916" w:type="pct"/>
                  <w:vAlign w:val="center"/>
                </w:tcPr>
                <w:p w14:paraId="6C12916A">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1454" w:type="pct"/>
                  <w:vAlign w:val="center"/>
                </w:tcPr>
                <w:p w14:paraId="1F617C62">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架空跨越，35kV牌老线2次，35kV牌后线1次</w:t>
                  </w:r>
                </w:p>
              </w:tc>
            </w:tr>
            <w:tr w14:paraId="70288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2" w:type="pct"/>
                  <w:vAlign w:val="center"/>
                </w:tcPr>
                <w:p w14:paraId="245DE8DB">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10kV线路</w:t>
                  </w:r>
                </w:p>
              </w:tc>
              <w:tc>
                <w:tcPr>
                  <w:tcW w:w="916" w:type="pct"/>
                  <w:vAlign w:val="center"/>
                </w:tcPr>
                <w:p w14:paraId="41BACFBB">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次</w:t>
                  </w:r>
                </w:p>
              </w:tc>
              <w:tc>
                <w:tcPr>
                  <w:tcW w:w="916" w:type="pct"/>
                  <w:vAlign w:val="center"/>
                </w:tcPr>
                <w:p w14:paraId="36C01F49">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1454" w:type="pct"/>
                  <w:vAlign w:val="center"/>
                </w:tcPr>
                <w:p w14:paraId="037D1202">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架空跨越</w:t>
                  </w:r>
                </w:p>
              </w:tc>
            </w:tr>
            <w:tr w14:paraId="3102F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2" w:type="pct"/>
                  <w:vAlign w:val="center"/>
                </w:tcPr>
                <w:p w14:paraId="5E929B54">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380V线路</w:t>
                  </w:r>
                </w:p>
              </w:tc>
              <w:tc>
                <w:tcPr>
                  <w:tcW w:w="916" w:type="pct"/>
                  <w:vAlign w:val="center"/>
                </w:tcPr>
                <w:p w14:paraId="395DCB0B">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次</w:t>
                  </w:r>
                </w:p>
              </w:tc>
              <w:tc>
                <w:tcPr>
                  <w:tcW w:w="916" w:type="pct"/>
                  <w:vAlign w:val="center"/>
                </w:tcPr>
                <w:p w14:paraId="5E43438E">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1454" w:type="pct"/>
                  <w:vAlign w:val="center"/>
                </w:tcPr>
                <w:p w14:paraId="55838144">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架空跨越</w:t>
                  </w:r>
                </w:p>
              </w:tc>
            </w:tr>
            <w:tr w14:paraId="7FB3E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2" w:type="pct"/>
                  <w:vAlign w:val="center"/>
                </w:tcPr>
                <w:p w14:paraId="58BE628E">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通讯线</w:t>
                  </w:r>
                </w:p>
              </w:tc>
              <w:tc>
                <w:tcPr>
                  <w:tcW w:w="916" w:type="pct"/>
                  <w:vAlign w:val="center"/>
                </w:tcPr>
                <w:p w14:paraId="1AD7B5A8">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次</w:t>
                  </w:r>
                </w:p>
              </w:tc>
              <w:tc>
                <w:tcPr>
                  <w:tcW w:w="916" w:type="pct"/>
                  <w:vAlign w:val="center"/>
                </w:tcPr>
                <w:p w14:paraId="6060C03A">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1454" w:type="pct"/>
                  <w:vAlign w:val="center"/>
                </w:tcPr>
                <w:p w14:paraId="7ABB54DF">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架空跨越</w:t>
                  </w:r>
                </w:p>
              </w:tc>
            </w:tr>
            <w:tr w14:paraId="67C26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2" w:type="pct"/>
                  <w:vAlign w:val="center"/>
                </w:tcPr>
                <w:p w14:paraId="349C6659">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土路</w:t>
                  </w:r>
                </w:p>
              </w:tc>
              <w:tc>
                <w:tcPr>
                  <w:tcW w:w="916" w:type="pct"/>
                  <w:vAlign w:val="center"/>
                </w:tcPr>
                <w:p w14:paraId="6F0F4510">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次</w:t>
                  </w:r>
                </w:p>
              </w:tc>
              <w:tc>
                <w:tcPr>
                  <w:tcW w:w="916" w:type="pct"/>
                  <w:vAlign w:val="center"/>
                </w:tcPr>
                <w:p w14:paraId="37D963C2">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1454" w:type="pct"/>
                  <w:vAlign w:val="center"/>
                </w:tcPr>
                <w:p w14:paraId="29D4E783">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架空跨越</w:t>
                  </w:r>
                </w:p>
              </w:tc>
            </w:tr>
            <w:tr w14:paraId="4BEE1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2" w:type="pct"/>
                  <w:vAlign w:val="center"/>
                </w:tcPr>
                <w:p w14:paraId="27A3FE5A">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普通公路</w:t>
                  </w:r>
                </w:p>
              </w:tc>
              <w:tc>
                <w:tcPr>
                  <w:tcW w:w="916" w:type="pct"/>
                  <w:vAlign w:val="center"/>
                </w:tcPr>
                <w:p w14:paraId="59617F89">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次</w:t>
                  </w:r>
                </w:p>
              </w:tc>
              <w:tc>
                <w:tcPr>
                  <w:tcW w:w="916" w:type="pct"/>
                  <w:vAlign w:val="center"/>
                </w:tcPr>
                <w:p w14:paraId="0C66977E">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1454" w:type="pct"/>
                  <w:vAlign w:val="center"/>
                </w:tcPr>
                <w:p w14:paraId="56CE85C1">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架空跨越</w:t>
                  </w:r>
                </w:p>
              </w:tc>
            </w:tr>
            <w:tr w14:paraId="2EB36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2" w:type="pct"/>
                  <w:vAlign w:val="center"/>
                </w:tcPr>
                <w:p w14:paraId="077AA5BF">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林中立塔</w:t>
                  </w:r>
                </w:p>
              </w:tc>
              <w:tc>
                <w:tcPr>
                  <w:tcW w:w="916" w:type="pct"/>
                  <w:vAlign w:val="center"/>
                </w:tcPr>
                <w:p w14:paraId="0735570C">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基</w:t>
                  </w:r>
                </w:p>
              </w:tc>
              <w:tc>
                <w:tcPr>
                  <w:tcW w:w="916" w:type="pct"/>
                  <w:vAlign w:val="center"/>
                </w:tcPr>
                <w:p w14:paraId="245925DA">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w:t>
                  </w:r>
                </w:p>
              </w:tc>
              <w:tc>
                <w:tcPr>
                  <w:tcW w:w="1454" w:type="pct"/>
                  <w:vAlign w:val="center"/>
                </w:tcPr>
                <w:p w14:paraId="0B0DE268">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砍伐</w:t>
                  </w:r>
                </w:p>
              </w:tc>
            </w:tr>
          </w:tbl>
          <w:p w14:paraId="3415FF96">
            <w:pPr>
              <w:adjustRightInd w:val="0"/>
              <w:snapToGrid w:val="0"/>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本工程全线为非居民</w:t>
            </w:r>
            <w:r>
              <w:rPr>
                <w:rFonts w:hint="eastAsia" w:ascii="Times New Roman" w:hAnsi="Times New Roman" w:eastAsia="宋体" w:cs="Times New Roman"/>
                <w:snapToGrid w:val="0"/>
                <w:color w:val="auto"/>
                <w:kern w:val="2"/>
                <w:sz w:val="24"/>
                <w:szCs w:val="24"/>
                <w:highlight w:val="none"/>
                <w:lang w:val="en-US" w:eastAsia="zh-CN"/>
              </w:rPr>
              <w:t>区</w:t>
            </w:r>
            <w:r>
              <w:rPr>
                <w:rFonts w:hint="default" w:ascii="Times New Roman" w:hAnsi="Times New Roman" w:eastAsia="宋体" w:cs="Times New Roman"/>
                <w:snapToGrid w:val="0"/>
                <w:color w:val="auto"/>
                <w:kern w:val="2"/>
                <w:sz w:val="24"/>
                <w:szCs w:val="24"/>
                <w:highlight w:val="none"/>
              </w:rPr>
              <w:t>，依据《110kV～750kV架空输电线路设计规范》（GB50545-2010）要求</w:t>
            </w:r>
            <w:r>
              <w:rPr>
                <w:rFonts w:hint="default" w:ascii="Times New Roman" w:hAnsi="Times New Roman" w:eastAsia="宋体" w:cs="Times New Roman"/>
                <w:snapToGrid w:val="0"/>
                <w:color w:val="auto"/>
                <w:kern w:val="2"/>
                <w:sz w:val="24"/>
                <w:szCs w:val="24"/>
                <w:highlight w:val="none"/>
                <w:lang w:eastAsia="zh-CN"/>
              </w:rPr>
              <w:t>和本项目平断面定位图</w:t>
            </w:r>
            <w:r>
              <w:rPr>
                <w:rFonts w:hint="default" w:ascii="Times New Roman" w:hAnsi="Times New Roman" w:eastAsia="宋体" w:cs="Times New Roman"/>
                <w:snapToGrid w:val="0"/>
                <w:color w:val="auto"/>
                <w:kern w:val="2"/>
                <w:sz w:val="24"/>
                <w:szCs w:val="24"/>
                <w:highlight w:val="none"/>
              </w:rPr>
              <w:t>，导线对地距离不小于下表所列数值。</w:t>
            </w:r>
          </w:p>
          <w:p w14:paraId="4AFAFCA7">
            <w:pPr>
              <w:ind w:firstLine="422" w:firstLineChars="20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表2-</w:t>
            </w:r>
            <w:r>
              <w:rPr>
                <w:rFonts w:hint="default" w:ascii="Times New Roman" w:hAnsi="Times New Roman" w:eastAsia="宋体"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rPr>
              <w:t xml:space="preserve">  导线对地距离</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84"/>
              <w:gridCol w:w="4287"/>
            </w:tblGrid>
            <w:tr w14:paraId="1F87B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99" w:type="pct"/>
                  <w:vAlign w:val="center"/>
                </w:tcPr>
                <w:p w14:paraId="19BB605F">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线路所经地区</w:t>
                  </w:r>
                </w:p>
              </w:tc>
              <w:tc>
                <w:tcPr>
                  <w:tcW w:w="2500" w:type="pct"/>
                  <w:vAlign w:val="center"/>
                </w:tcPr>
                <w:p w14:paraId="446CDDD9">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最小距离（m）</w:t>
                  </w:r>
                </w:p>
              </w:tc>
            </w:tr>
            <w:tr w14:paraId="45348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99" w:type="pct"/>
                  <w:vAlign w:val="center"/>
                </w:tcPr>
                <w:p w14:paraId="3477294B">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非居民区</w:t>
                  </w:r>
                </w:p>
              </w:tc>
              <w:tc>
                <w:tcPr>
                  <w:tcW w:w="2500" w:type="pct"/>
                  <w:vAlign w:val="center"/>
                </w:tcPr>
                <w:p w14:paraId="5A77E90D">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11.35</w:t>
                  </w:r>
                </w:p>
              </w:tc>
            </w:tr>
            <w:tr w14:paraId="167C0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00" w:type="pct"/>
                  <w:gridSpan w:val="2"/>
                  <w:vAlign w:val="center"/>
                </w:tcPr>
                <w:p w14:paraId="34915255">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根据平断面定位图可知，导线最小对地垂直距离为11.35m（N1~N2之间）</w:t>
                  </w:r>
                </w:p>
              </w:tc>
            </w:tr>
          </w:tbl>
          <w:p w14:paraId="0BB2A7EC">
            <w:pPr>
              <w:adjustRightInd w:val="0"/>
              <w:snapToGrid w:val="0"/>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本线路与被交叉跨越物的距离，按《110kV～750kV架空输电线路设计规范》（GB 50545-2010）应符合下表要求：</w:t>
            </w:r>
          </w:p>
          <w:p w14:paraId="5FE0C487">
            <w:pPr>
              <w:ind w:firstLine="422" w:firstLineChars="20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表2-</w:t>
            </w:r>
            <w:r>
              <w:rPr>
                <w:rFonts w:hint="default" w:ascii="Times New Roman" w:hAnsi="Times New Roman" w:eastAsia="宋体"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rPr>
              <w:t xml:space="preserve">  线路与被交叉跨越物的最小垂直距离</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3"/>
              <w:gridCol w:w="3995"/>
            </w:tblGrid>
            <w:tr w14:paraId="5F33D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668" w:type="pct"/>
                  <w:vAlign w:val="center"/>
                </w:tcPr>
                <w:p w14:paraId="4CE046EF">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被交叉跨越物名称</w:t>
                  </w:r>
                </w:p>
              </w:tc>
              <w:tc>
                <w:tcPr>
                  <w:tcW w:w="2331" w:type="pct"/>
                  <w:vAlign w:val="center"/>
                </w:tcPr>
                <w:p w14:paraId="530E1B23">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最小垂直距离（m）</w:t>
                  </w:r>
                </w:p>
              </w:tc>
            </w:tr>
            <w:tr w14:paraId="4FBE9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668" w:type="pct"/>
                  <w:vAlign w:val="center"/>
                </w:tcPr>
                <w:p w14:paraId="640512BE">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220kV线路</w:t>
                  </w:r>
                </w:p>
              </w:tc>
              <w:tc>
                <w:tcPr>
                  <w:tcW w:w="2331" w:type="pct"/>
                  <w:vAlign w:val="center"/>
                </w:tcPr>
                <w:p w14:paraId="31ACDD9D">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w:t>
                  </w:r>
                </w:p>
              </w:tc>
            </w:tr>
            <w:tr w14:paraId="3FB9F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68" w:type="pct"/>
                  <w:vAlign w:val="center"/>
                </w:tcPr>
                <w:p w14:paraId="5E40424C">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其他公路</w:t>
                  </w:r>
                </w:p>
              </w:tc>
              <w:tc>
                <w:tcPr>
                  <w:tcW w:w="2331" w:type="pct"/>
                  <w:vAlign w:val="center"/>
                </w:tcPr>
                <w:p w14:paraId="623C55F1">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8.0（至路面）</w:t>
                  </w:r>
                </w:p>
              </w:tc>
            </w:tr>
            <w:tr w14:paraId="07633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68" w:type="pct"/>
                  <w:vAlign w:val="center"/>
                </w:tcPr>
                <w:p w14:paraId="5BCB56AA">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弱电线路</w:t>
                  </w:r>
                </w:p>
              </w:tc>
              <w:tc>
                <w:tcPr>
                  <w:tcW w:w="2331" w:type="pct"/>
                  <w:vAlign w:val="center"/>
                </w:tcPr>
                <w:p w14:paraId="22C8AB60">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w:t>
                  </w:r>
                </w:p>
              </w:tc>
            </w:tr>
            <w:tr w14:paraId="78692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68" w:type="pct"/>
                  <w:vAlign w:val="center"/>
                </w:tcPr>
                <w:p w14:paraId="05921D65">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110kV以下电力线路</w:t>
                  </w:r>
                </w:p>
              </w:tc>
              <w:tc>
                <w:tcPr>
                  <w:tcW w:w="2331" w:type="pct"/>
                  <w:vAlign w:val="center"/>
                </w:tcPr>
                <w:p w14:paraId="517E6157">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w:t>
                  </w:r>
                </w:p>
              </w:tc>
            </w:tr>
            <w:tr w14:paraId="43E87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68" w:type="pct"/>
                  <w:vAlign w:val="center"/>
                </w:tcPr>
                <w:p w14:paraId="745F0376">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树木</w:t>
                  </w:r>
                </w:p>
              </w:tc>
              <w:tc>
                <w:tcPr>
                  <w:tcW w:w="2331" w:type="pct"/>
                  <w:vAlign w:val="center"/>
                </w:tcPr>
                <w:p w14:paraId="7C14C577">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w:t>
                  </w:r>
                </w:p>
              </w:tc>
            </w:tr>
          </w:tbl>
          <w:p w14:paraId="479CEBD4">
            <w:pPr>
              <w:pStyle w:val="41"/>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新建铁塔总基数</w:t>
            </w:r>
            <w:r>
              <w:rPr>
                <w:rFonts w:hint="default" w:ascii="Times New Roman" w:hAnsi="Times New Roman" w:eastAsia="宋体" w:cs="Times New Roman"/>
                <w:snapToGrid w:val="0"/>
                <w:color w:val="auto"/>
                <w:kern w:val="2"/>
                <w:sz w:val="24"/>
                <w:szCs w:val="24"/>
                <w:highlight w:val="none"/>
                <w:lang w:val="en-US" w:eastAsia="zh-CN"/>
              </w:rPr>
              <w:t>5</w:t>
            </w:r>
            <w:r>
              <w:rPr>
                <w:rFonts w:hint="default" w:ascii="Times New Roman" w:hAnsi="Times New Roman" w:eastAsia="宋体" w:cs="Times New Roman"/>
                <w:snapToGrid w:val="0"/>
                <w:color w:val="auto"/>
                <w:kern w:val="2"/>
                <w:sz w:val="24"/>
                <w:szCs w:val="24"/>
                <w:highlight w:val="none"/>
              </w:rPr>
              <w:t>7基，其中单回路直线塔3</w:t>
            </w:r>
            <w:r>
              <w:rPr>
                <w:rFonts w:hint="default" w:ascii="Times New Roman" w:hAnsi="Times New Roman" w:eastAsia="宋体" w:cs="Times New Roman"/>
                <w:snapToGrid w:val="0"/>
                <w:color w:val="auto"/>
                <w:kern w:val="2"/>
                <w:sz w:val="24"/>
                <w:szCs w:val="24"/>
                <w:highlight w:val="none"/>
                <w:lang w:val="en-US" w:eastAsia="zh-CN"/>
              </w:rPr>
              <w:t>1</w:t>
            </w:r>
            <w:r>
              <w:rPr>
                <w:rFonts w:hint="default" w:ascii="Times New Roman" w:hAnsi="Times New Roman" w:eastAsia="宋体" w:cs="Times New Roman"/>
                <w:snapToGrid w:val="0"/>
                <w:color w:val="auto"/>
                <w:kern w:val="2"/>
                <w:sz w:val="24"/>
                <w:szCs w:val="24"/>
                <w:highlight w:val="none"/>
              </w:rPr>
              <w:t>基、单回路耐张塔</w:t>
            </w:r>
            <w:r>
              <w:rPr>
                <w:rFonts w:hint="default" w:ascii="Times New Roman" w:hAnsi="Times New Roman" w:eastAsia="宋体" w:cs="Times New Roman"/>
                <w:snapToGrid w:val="0"/>
                <w:color w:val="auto"/>
                <w:kern w:val="2"/>
                <w:sz w:val="24"/>
                <w:szCs w:val="24"/>
                <w:highlight w:val="none"/>
                <w:lang w:val="en-US" w:eastAsia="zh-CN"/>
              </w:rPr>
              <w:t>25</w:t>
            </w:r>
            <w:r>
              <w:rPr>
                <w:rFonts w:hint="default" w:ascii="Times New Roman" w:hAnsi="Times New Roman" w:eastAsia="宋体" w:cs="Times New Roman"/>
                <w:snapToGrid w:val="0"/>
                <w:color w:val="auto"/>
                <w:kern w:val="2"/>
                <w:sz w:val="24"/>
                <w:szCs w:val="24"/>
                <w:highlight w:val="none"/>
              </w:rPr>
              <w:t>基</w:t>
            </w:r>
            <w:r>
              <w:rPr>
                <w:rStyle w:val="37"/>
                <w:rFonts w:hint="default" w:ascii="Times New Roman" w:hAnsi="Times New Roman" w:cs="Times New Roman" w:eastAsiaTheme="minorEastAsia"/>
                <w:color w:val="auto"/>
                <w:kern w:val="2"/>
                <w:sz w:val="24"/>
                <w:szCs w:val="24"/>
                <w:highlight w:val="none"/>
                <w:lang w:val="en-US" w:eastAsia="zh-CN"/>
              </w:rPr>
              <w:t>、双回路耐张塔1基（单侧挂线）</w:t>
            </w:r>
            <w:r>
              <w:rPr>
                <w:rFonts w:hint="default" w:ascii="Times New Roman" w:hAnsi="Times New Roman" w:eastAsia="宋体" w:cs="Times New Roman"/>
                <w:snapToGrid w:val="0"/>
                <w:color w:val="auto"/>
                <w:kern w:val="2"/>
                <w:sz w:val="24"/>
                <w:szCs w:val="24"/>
                <w:highlight w:val="none"/>
              </w:rPr>
              <w:t>，杆塔图详见附图5。</w:t>
            </w:r>
          </w:p>
          <w:p w14:paraId="6A0FF217">
            <w:pPr>
              <w:ind w:firstLine="422" w:firstLineChars="20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表2-</w:t>
            </w:r>
            <w:r>
              <w:rPr>
                <w:rFonts w:hint="default" w:ascii="Times New Roman" w:hAnsi="Times New Roman" w:eastAsia="宋体"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rPr>
              <w:t xml:space="preserve">    铁塔使用条件一览表</w:t>
            </w:r>
          </w:p>
          <w:tbl>
            <w:tblPr>
              <w:tblStyle w:val="39"/>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95"/>
              <w:gridCol w:w="4588"/>
              <w:gridCol w:w="1882"/>
              <w:gridCol w:w="1296"/>
            </w:tblGrid>
            <w:tr w14:paraId="0D775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464" w:type="pct"/>
                  <w:vAlign w:val="center"/>
                </w:tcPr>
                <w:p w14:paraId="00C7408A">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5"/>
                      <w:highlight w:val="none"/>
                    </w:rPr>
                    <w:t>序号</w:t>
                  </w:r>
                </w:p>
              </w:tc>
              <w:tc>
                <w:tcPr>
                  <w:tcW w:w="2678" w:type="pct"/>
                  <w:vAlign w:val="center"/>
                </w:tcPr>
                <w:p w14:paraId="77039BFC">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4"/>
                      <w:highlight w:val="none"/>
                    </w:rPr>
                    <w:t>塔型</w:t>
                  </w:r>
                </w:p>
              </w:tc>
              <w:tc>
                <w:tcPr>
                  <w:tcW w:w="1099" w:type="pct"/>
                  <w:vAlign w:val="center"/>
                </w:tcPr>
                <w:p w14:paraId="6084190B">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6"/>
                      <w:highlight w:val="none"/>
                    </w:rPr>
                    <w:t>呼称高（m）</w:t>
                  </w:r>
                </w:p>
              </w:tc>
              <w:tc>
                <w:tcPr>
                  <w:tcW w:w="757" w:type="pct"/>
                  <w:vAlign w:val="center"/>
                </w:tcPr>
                <w:p w14:paraId="46C1A22C">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4"/>
                      <w:highlight w:val="none"/>
                    </w:rPr>
                    <w:t>基数</w:t>
                  </w:r>
                </w:p>
              </w:tc>
            </w:tr>
            <w:tr w14:paraId="4D46E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464" w:type="pct"/>
                  <w:vAlign w:val="center"/>
                </w:tcPr>
                <w:p w14:paraId="35540770">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1</w:t>
                  </w:r>
                </w:p>
              </w:tc>
              <w:tc>
                <w:tcPr>
                  <w:tcW w:w="2678" w:type="pct"/>
                  <w:vAlign w:val="center"/>
                </w:tcPr>
                <w:p w14:paraId="73AE17DF">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6"/>
                      <w:highlight w:val="none"/>
                    </w:rPr>
                    <w:t>2A2-DJC</w:t>
                  </w:r>
                </w:p>
              </w:tc>
              <w:tc>
                <w:tcPr>
                  <w:tcW w:w="1099" w:type="pct"/>
                  <w:vAlign w:val="center"/>
                </w:tcPr>
                <w:p w14:paraId="78D6AB16">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2"/>
                      <w:highlight w:val="none"/>
                    </w:rPr>
                    <w:t>18</w:t>
                  </w:r>
                </w:p>
              </w:tc>
              <w:tc>
                <w:tcPr>
                  <w:tcW w:w="757" w:type="pct"/>
                  <w:vAlign w:val="center"/>
                </w:tcPr>
                <w:p w14:paraId="5E6E6C8B">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1</w:t>
                  </w:r>
                </w:p>
              </w:tc>
            </w:tr>
            <w:tr w14:paraId="1489E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464" w:type="pct"/>
                  <w:vAlign w:val="center"/>
                </w:tcPr>
                <w:p w14:paraId="34EEF309">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2</w:t>
                  </w:r>
                </w:p>
              </w:tc>
              <w:tc>
                <w:tcPr>
                  <w:tcW w:w="2678" w:type="pct"/>
                  <w:vMerge w:val="restart"/>
                  <w:vAlign w:val="center"/>
                </w:tcPr>
                <w:p w14:paraId="4DEE711E">
                  <w:pPr>
                    <w:pStyle w:val="118"/>
                    <w:autoSpaceDE/>
                    <w:autoSpaceDN/>
                    <w:spacing w:line="240" w:lineRule="auto"/>
                    <w:rPr>
                      <w:rFonts w:hint="default" w:ascii="Times New Roman" w:hAnsi="Times New Roman" w:eastAsia="宋体" w:cs="Times New Roman"/>
                      <w:b w:val="0"/>
                      <w:bCs/>
                      <w:color w:val="auto"/>
                      <w:spacing w:val="6"/>
                      <w:highlight w:val="none"/>
                    </w:rPr>
                  </w:pPr>
                  <w:r>
                    <w:rPr>
                      <w:rFonts w:hint="default" w:ascii="Times New Roman" w:hAnsi="Times New Roman" w:eastAsia="宋体" w:cs="Times New Roman"/>
                      <w:b w:val="0"/>
                      <w:bCs/>
                      <w:color w:val="auto"/>
                      <w:spacing w:val="6"/>
                      <w:highlight w:val="none"/>
                    </w:rPr>
                    <w:t>2A2-JC1</w:t>
                  </w:r>
                </w:p>
              </w:tc>
              <w:tc>
                <w:tcPr>
                  <w:tcW w:w="1099" w:type="pct"/>
                  <w:vAlign w:val="center"/>
                </w:tcPr>
                <w:p w14:paraId="4F76655D">
                  <w:pPr>
                    <w:pStyle w:val="118"/>
                    <w:autoSpaceDE/>
                    <w:autoSpaceDN/>
                    <w:spacing w:line="240" w:lineRule="auto"/>
                    <w:rPr>
                      <w:rFonts w:hint="default" w:ascii="Times New Roman" w:hAnsi="Times New Roman" w:eastAsia="宋体" w:cs="Times New Roman"/>
                      <w:b w:val="0"/>
                      <w:bCs/>
                      <w:color w:val="auto"/>
                      <w:spacing w:val="2"/>
                      <w:highlight w:val="none"/>
                    </w:rPr>
                  </w:pPr>
                  <w:r>
                    <w:rPr>
                      <w:rFonts w:hint="default" w:ascii="Times New Roman" w:hAnsi="Times New Roman" w:eastAsia="宋体" w:cs="Times New Roman"/>
                      <w:b w:val="0"/>
                      <w:bCs/>
                      <w:color w:val="auto"/>
                      <w:spacing w:val="2"/>
                      <w:highlight w:val="none"/>
                    </w:rPr>
                    <w:t>27</w:t>
                  </w:r>
                </w:p>
              </w:tc>
              <w:tc>
                <w:tcPr>
                  <w:tcW w:w="757" w:type="pct"/>
                  <w:vAlign w:val="center"/>
                </w:tcPr>
                <w:p w14:paraId="0C1B75FB">
                  <w:pPr>
                    <w:pStyle w:val="118"/>
                    <w:autoSpaceDE/>
                    <w:autoSpaceDN/>
                    <w:spacing w:line="240" w:lineRule="auto"/>
                    <w:rPr>
                      <w:rFonts w:hint="default" w:ascii="Times New Roman" w:hAnsi="Times New Roman" w:eastAsia="宋体" w:cs="Times New Roman"/>
                      <w:b w:val="0"/>
                      <w:bCs/>
                      <w:color w:val="auto"/>
                      <w:highlight w:val="none"/>
                      <w:lang w:eastAsia="zh-CN"/>
                    </w:rPr>
                  </w:pPr>
                  <w:r>
                    <w:rPr>
                      <w:rFonts w:hint="default" w:ascii="Times New Roman" w:hAnsi="Times New Roman" w:eastAsia="宋体" w:cs="Times New Roman"/>
                      <w:b w:val="0"/>
                      <w:bCs/>
                      <w:color w:val="auto"/>
                      <w:highlight w:val="none"/>
                      <w:lang w:val="en-US" w:eastAsia="zh-CN"/>
                    </w:rPr>
                    <w:t>3</w:t>
                  </w:r>
                </w:p>
              </w:tc>
            </w:tr>
            <w:tr w14:paraId="143D7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464" w:type="pct"/>
                  <w:vAlign w:val="center"/>
                </w:tcPr>
                <w:p w14:paraId="09424F48">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3</w:t>
                  </w:r>
                </w:p>
              </w:tc>
              <w:tc>
                <w:tcPr>
                  <w:tcW w:w="2678" w:type="pct"/>
                  <w:vMerge w:val="continue"/>
                  <w:vAlign w:val="center"/>
                </w:tcPr>
                <w:p w14:paraId="4FE83427">
                  <w:pPr>
                    <w:pStyle w:val="118"/>
                    <w:autoSpaceDE/>
                    <w:autoSpaceDN/>
                    <w:spacing w:line="240" w:lineRule="auto"/>
                    <w:rPr>
                      <w:rFonts w:hint="default" w:ascii="Times New Roman" w:hAnsi="Times New Roman" w:eastAsia="宋体" w:cs="Times New Roman"/>
                      <w:b w:val="0"/>
                      <w:bCs/>
                      <w:color w:val="auto"/>
                      <w:spacing w:val="6"/>
                      <w:highlight w:val="none"/>
                    </w:rPr>
                  </w:pPr>
                </w:p>
              </w:tc>
              <w:tc>
                <w:tcPr>
                  <w:tcW w:w="1099" w:type="pct"/>
                  <w:vAlign w:val="center"/>
                </w:tcPr>
                <w:p w14:paraId="1A25A273">
                  <w:pPr>
                    <w:pStyle w:val="118"/>
                    <w:autoSpaceDE/>
                    <w:autoSpaceDN/>
                    <w:spacing w:line="240" w:lineRule="auto"/>
                    <w:rPr>
                      <w:rFonts w:hint="default" w:ascii="Times New Roman" w:hAnsi="Times New Roman" w:eastAsia="宋体" w:cs="Times New Roman"/>
                      <w:b w:val="0"/>
                      <w:bCs/>
                      <w:color w:val="auto"/>
                      <w:spacing w:val="2"/>
                      <w:highlight w:val="none"/>
                    </w:rPr>
                  </w:pPr>
                  <w:r>
                    <w:rPr>
                      <w:rFonts w:hint="default" w:ascii="Times New Roman" w:hAnsi="Times New Roman" w:eastAsia="宋体" w:cs="Times New Roman"/>
                      <w:b w:val="0"/>
                      <w:bCs/>
                      <w:color w:val="auto"/>
                      <w:spacing w:val="2"/>
                      <w:highlight w:val="none"/>
                    </w:rPr>
                    <w:t>30</w:t>
                  </w:r>
                </w:p>
              </w:tc>
              <w:tc>
                <w:tcPr>
                  <w:tcW w:w="757" w:type="pct"/>
                  <w:vAlign w:val="center"/>
                </w:tcPr>
                <w:p w14:paraId="30D5C6EE">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11</w:t>
                  </w:r>
                </w:p>
              </w:tc>
            </w:tr>
            <w:tr w14:paraId="177A3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464" w:type="pct"/>
                  <w:vAlign w:val="center"/>
                </w:tcPr>
                <w:p w14:paraId="153CBB4D">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4</w:t>
                  </w:r>
                </w:p>
              </w:tc>
              <w:tc>
                <w:tcPr>
                  <w:tcW w:w="2678" w:type="pct"/>
                  <w:vMerge w:val="restart"/>
                  <w:vAlign w:val="center"/>
                </w:tcPr>
                <w:p w14:paraId="55EA3B95">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6"/>
                      <w:highlight w:val="none"/>
                    </w:rPr>
                    <w:t>2A2-JC2</w:t>
                  </w:r>
                </w:p>
              </w:tc>
              <w:tc>
                <w:tcPr>
                  <w:tcW w:w="1099" w:type="pct"/>
                  <w:vAlign w:val="center"/>
                </w:tcPr>
                <w:p w14:paraId="15FCAF54">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21</w:t>
                  </w:r>
                </w:p>
              </w:tc>
              <w:tc>
                <w:tcPr>
                  <w:tcW w:w="757" w:type="pct"/>
                  <w:vAlign w:val="center"/>
                </w:tcPr>
                <w:p w14:paraId="19DEE815">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1</w:t>
                  </w:r>
                </w:p>
              </w:tc>
            </w:tr>
            <w:tr w14:paraId="261A1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464" w:type="pct"/>
                  <w:vAlign w:val="center"/>
                </w:tcPr>
                <w:p w14:paraId="472ECE1F">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5</w:t>
                  </w:r>
                </w:p>
              </w:tc>
              <w:tc>
                <w:tcPr>
                  <w:tcW w:w="2678" w:type="pct"/>
                  <w:vMerge w:val="continue"/>
                  <w:vAlign w:val="center"/>
                </w:tcPr>
                <w:p w14:paraId="69A65A91">
                  <w:pPr>
                    <w:autoSpaceDE/>
                    <w:autoSpaceDN/>
                    <w:jc w:val="center"/>
                    <w:rPr>
                      <w:rFonts w:hint="default" w:ascii="Times New Roman" w:hAnsi="Times New Roman" w:eastAsia="宋体" w:cs="Times New Roman"/>
                      <w:bCs/>
                      <w:color w:val="auto"/>
                      <w:sz w:val="21"/>
                      <w:szCs w:val="21"/>
                      <w:highlight w:val="none"/>
                    </w:rPr>
                  </w:pPr>
                </w:p>
              </w:tc>
              <w:tc>
                <w:tcPr>
                  <w:tcW w:w="1099" w:type="pct"/>
                  <w:vAlign w:val="center"/>
                </w:tcPr>
                <w:p w14:paraId="2DED6EAE">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27</w:t>
                  </w:r>
                </w:p>
              </w:tc>
              <w:tc>
                <w:tcPr>
                  <w:tcW w:w="757" w:type="pct"/>
                  <w:vAlign w:val="center"/>
                </w:tcPr>
                <w:p w14:paraId="08BBC24F">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1</w:t>
                  </w:r>
                </w:p>
              </w:tc>
            </w:tr>
            <w:tr w14:paraId="65FBC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464" w:type="pct"/>
                  <w:vAlign w:val="center"/>
                </w:tcPr>
                <w:p w14:paraId="517AA8DC">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6</w:t>
                  </w:r>
                </w:p>
              </w:tc>
              <w:tc>
                <w:tcPr>
                  <w:tcW w:w="2678" w:type="pct"/>
                  <w:vMerge w:val="continue"/>
                  <w:vAlign w:val="center"/>
                </w:tcPr>
                <w:p w14:paraId="69ACEA3E">
                  <w:pPr>
                    <w:autoSpaceDE/>
                    <w:autoSpaceDN/>
                    <w:jc w:val="center"/>
                    <w:rPr>
                      <w:rFonts w:hint="default" w:ascii="Times New Roman" w:hAnsi="Times New Roman" w:eastAsia="宋体" w:cs="Times New Roman"/>
                      <w:bCs/>
                      <w:color w:val="auto"/>
                      <w:sz w:val="21"/>
                      <w:szCs w:val="21"/>
                      <w:highlight w:val="none"/>
                    </w:rPr>
                  </w:pPr>
                </w:p>
              </w:tc>
              <w:tc>
                <w:tcPr>
                  <w:tcW w:w="1099" w:type="pct"/>
                  <w:vAlign w:val="center"/>
                </w:tcPr>
                <w:p w14:paraId="29A34310">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30</w:t>
                  </w:r>
                </w:p>
              </w:tc>
              <w:tc>
                <w:tcPr>
                  <w:tcW w:w="757" w:type="pct"/>
                  <w:vAlign w:val="center"/>
                </w:tcPr>
                <w:p w14:paraId="77507DEC">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2</w:t>
                  </w:r>
                </w:p>
              </w:tc>
            </w:tr>
            <w:tr w14:paraId="7D1CB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464" w:type="pct"/>
                  <w:vAlign w:val="center"/>
                </w:tcPr>
                <w:p w14:paraId="0628A114">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7</w:t>
                  </w:r>
                </w:p>
              </w:tc>
              <w:tc>
                <w:tcPr>
                  <w:tcW w:w="2678" w:type="pct"/>
                  <w:vMerge w:val="restart"/>
                  <w:vAlign w:val="center"/>
                </w:tcPr>
                <w:p w14:paraId="5FB841F3">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6"/>
                      <w:highlight w:val="none"/>
                    </w:rPr>
                    <w:t>2A2-JC3</w:t>
                  </w:r>
                </w:p>
              </w:tc>
              <w:tc>
                <w:tcPr>
                  <w:tcW w:w="1099" w:type="pct"/>
                  <w:vAlign w:val="center"/>
                </w:tcPr>
                <w:p w14:paraId="3AC6DE45">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27</w:t>
                  </w:r>
                </w:p>
              </w:tc>
              <w:tc>
                <w:tcPr>
                  <w:tcW w:w="757" w:type="pct"/>
                  <w:vAlign w:val="center"/>
                </w:tcPr>
                <w:p w14:paraId="7A49D27B">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1</w:t>
                  </w:r>
                </w:p>
              </w:tc>
            </w:tr>
            <w:tr w14:paraId="4E526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464" w:type="pct"/>
                  <w:vAlign w:val="center"/>
                </w:tcPr>
                <w:p w14:paraId="5255298E">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8</w:t>
                  </w:r>
                </w:p>
              </w:tc>
              <w:tc>
                <w:tcPr>
                  <w:tcW w:w="2678" w:type="pct"/>
                  <w:vMerge w:val="continue"/>
                  <w:vAlign w:val="center"/>
                </w:tcPr>
                <w:p w14:paraId="2828121E">
                  <w:pPr>
                    <w:autoSpaceDE/>
                    <w:autoSpaceDN/>
                    <w:jc w:val="center"/>
                    <w:rPr>
                      <w:rFonts w:hint="default" w:ascii="Times New Roman" w:hAnsi="Times New Roman" w:eastAsia="宋体" w:cs="Times New Roman"/>
                      <w:bCs/>
                      <w:color w:val="auto"/>
                      <w:sz w:val="21"/>
                      <w:szCs w:val="21"/>
                      <w:highlight w:val="none"/>
                    </w:rPr>
                  </w:pPr>
                </w:p>
              </w:tc>
              <w:tc>
                <w:tcPr>
                  <w:tcW w:w="1099" w:type="pct"/>
                  <w:vAlign w:val="center"/>
                </w:tcPr>
                <w:p w14:paraId="244BC119">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30</w:t>
                  </w:r>
                </w:p>
              </w:tc>
              <w:tc>
                <w:tcPr>
                  <w:tcW w:w="757" w:type="pct"/>
                  <w:vAlign w:val="center"/>
                </w:tcPr>
                <w:p w14:paraId="093B9867">
                  <w:pPr>
                    <w:pStyle w:val="118"/>
                    <w:autoSpaceDE/>
                    <w:autoSpaceDN/>
                    <w:spacing w:line="240" w:lineRule="auto"/>
                    <w:rPr>
                      <w:rFonts w:hint="default" w:ascii="Times New Roman" w:hAnsi="Times New Roman" w:eastAsia="宋体" w:cs="Times New Roman"/>
                      <w:b w:val="0"/>
                      <w:bCs/>
                      <w:color w:val="auto"/>
                      <w:highlight w:val="none"/>
                      <w:lang w:eastAsia="zh-CN"/>
                    </w:rPr>
                  </w:pPr>
                  <w:r>
                    <w:rPr>
                      <w:rFonts w:hint="default" w:ascii="Times New Roman" w:hAnsi="Times New Roman" w:eastAsia="宋体" w:cs="Times New Roman"/>
                      <w:b w:val="0"/>
                      <w:bCs/>
                      <w:color w:val="auto"/>
                      <w:highlight w:val="none"/>
                      <w:lang w:val="en-US" w:eastAsia="zh-CN"/>
                    </w:rPr>
                    <w:t>4</w:t>
                  </w:r>
                </w:p>
              </w:tc>
            </w:tr>
            <w:tr w14:paraId="3C23C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464" w:type="pct"/>
                  <w:vAlign w:val="center"/>
                </w:tcPr>
                <w:p w14:paraId="49BAA640">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9</w:t>
                  </w:r>
                </w:p>
              </w:tc>
              <w:tc>
                <w:tcPr>
                  <w:tcW w:w="2678" w:type="pct"/>
                  <w:vAlign w:val="center"/>
                </w:tcPr>
                <w:p w14:paraId="1888B953">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6"/>
                      <w:highlight w:val="none"/>
                    </w:rPr>
                    <w:t>2A2-JC4</w:t>
                  </w:r>
                </w:p>
              </w:tc>
              <w:tc>
                <w:tcPr>
                  <w:tcW w:w="1099" w:type="pct"/>
                  <w:vAlign w:val="center"/>
                </w:tcPr>
                <w:p w14:paraId="503A50FC">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2"/>
                      <w:highlight w:val="none"/>
                    </w:rPr>
                    <w:t>30</w:t>
                  </w:r>
                </w:p>
              </w:tc>
              <w:tc>
                <w:tcPr>
                  <w:tcW w:w="757" w:type="pct"/>
                  <w:vAlign w:val="center"/>
                </w:tcPr>
                <w:p w14:paraId="6841B759">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1</w:t>
                  </w:r>
                </w:p>
              </w:tc>
            </w:tr>
            <w:tr w14:paraId="21543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464" w:type="pct"/>
                  <w:vAlign w:val="center"/>
                </w:tcPr>
                <w:p w14:paraId="44D9CA10">
                  <w:pPr>
                    <w:pStyle w:val="118"/>
                    <w:autoSpaceDE/>
                    <w:autoSpaceDN/>
                    <w:spacing w:line="240" w:lineRule="auto"/>
                    <w:rPr>
                      <w:rFonts w:hint="default" w:ascii="Times New Roman" w:hAnsi="Times New Roman" w:eastAsia="宋体" w:cs="Times New Roman"/>
                      <w:b w:val="0"/>
                      <w:bCs/>
                      <w:color w:val="auto"/>
                      <w:spacing w:val="-7"/>
                      <w:highlight w:val="none"/>
                    </w:rPr>
                  </w:pPr>
                  <w:r>
                    <w:rPr>
                      <w:rFonts w:hint="default" w:ascii="Times New Roman" w:hAnsi="Times New Roman" w:eastAsia="宋体" w:cs="Times New Roman"/>
                      <w:b w:val="0"/>
                      <w:bCs/>
                      <w:color w:val="auto"/>
                      <w:spacing w:val="-7"/>
                      <w:highlight w:val="none"/>
                    </w:rPr>
                    <w:t>10</w:t>
                  </w:r>
                </w:p>
              </w:tc>
              <w:tc>
                <w:tcPr>
                  <w:tcW w:w="2678" w:type="pct"/>
                  <w:vMerge w:val="restart"/>
                  <w:vAlign w:val="center"/>
                </w:tcPr>
                <w:p w14:paraId="7229A180">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6"/>
                      <w:highlight w:val="none"/>
                    </w:rPr>
                    <w:t>2A2-ZMC3</w:t>
                  </w:r>
                </w:p>
              </w:tc>
              <w:tc>
                <w:tcPr>
                  <w:tcW w:w="1099" w:type="pct"/>
                  <w:vAlign w:val="center"/>
                </w:tcPr>
                <w:p w14:paraId="42259599">
                  <w:pPr>
                    <w:pStyle w:val="118"/>
                    <w:autoSpaceDE/>
                    <w:autoSpaceDN/>
                    <w:spacing w:line="240" w:lineRule="auto"/>
                    <w:rPr>
                      <w:rFonts w:hint="default" w:ascii="Times New Roman" w:hAnsi="Times New Roman" w:eastAsia="宋体" w:cs="Times New Roman"/>
                      <w:b w:val="0"/>
                      <w:bCs/>
                      <w:color w:val="auto"/>
                      <w:spacing w:val="2"/>
                      <w:highlight w:val="none"/>
                    </w:rPr>
                  </w:pPr>
                  <w:r>
                    <w:rPr>
                      <w:rFonts w:hint="default" w:ascii="Times New Roman" w:hAnsi="Times New Roman" w:eastAsia="宋体" w:cs="Times New Roman"/>
                      <w:b w:val="0"/>
                      <w:bCs/>
                      <w:color w:val="auto"/>
                      <w:spacing w:val="2"/>
                      <w:highlight w:val="none"/>
                    </w:rPr>
                    <w:t>24</w:t>
                  </w:r>
                </w:p>
              </w:tc>
              <w:tc>
                <w:tcPr>
                  <w:tcW w:w="757" w:type="pct"/>
                  <w:vAlign w:val="center"/>
                </w:tcPr>
                <w:p w14:paraId="36E8F037">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1</w:t>
                  </w:r>
                </w:p>
              </w:tc>
            </w:tr>
            <w:tr w14:paraId="15F38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464" w:type="pct"/>
                  <w:vAlign w:val="center"/>
                </w:tcPr>
                <w:p w14:paraId="3779CA4D">
                  <w:pPr>
                    <w:pStyle w:val="118"/>
                    <w:autoSpaceDE/>
                    <w:autoSpaceDN/>
                    <w:spacing w:line="240" w:lineRule="auto"/>
                    <w:rPr>
                      <w:rFonts w:hint="default" w:ascii="Times New Roman" w:hAnsi="Times New Roman" w:eastAsia="宋体" w:cs="Times New Roman"/>
                      <w:b w:val="0"/>
                      <w:bCs/>
                      <w:color w:val="auto"/>
                      <w:spacing w:val="-7"/>
                      <w:highlight w:val="none"/>
                    </w:rPr>
                  </w:pPr>
                  <w:r>
                    <w:rPr>
                      <w:rFonts w:hint="default" w:ascii="Times New Roman" w:hAnsi="Times New Roman" w:eastAsia="宋体" w:cs="Times New Roman"/>
                      <w:b w:val="0"/>
                      <w:bCs/>
                      <w:color w:val="auto"/>
                      <w:spacing w:val="-7"/>
                      <w:highlight w:val="none"/>
                    </w:rPr>
                    <w:t>11</w:t>
                  </w:r>
                </w:p>
              </w:tc>
              <w:tc>
                <w:tcPr>
                  <w:tcW w:w="2678" w:type="pct"/>
                  <w:vMerge w:val="continue"/>
                  <w:vAlign w:val="center"/>
                </w:tcPr>
                <w:p w14:paraId="5652BACC">
                  <w:pPr>
                    <w:pStyle w:val="118"/>
                    <w:autoSpaceDE/>
                    <w:autoSpaceDN/>
                    <w:spacing w:line="240" w:lineRule="auto"/>
                    <w:rPr>
                      <w:rFonts w:hint="default" w:ascii="Times New Roman" w:hAnsi="Times New Roman" w:eastAsia="宋体" w:cs="Times New Roman"/>
                      <w:b w:val="0"/>
                      <w:bCs/>
                      <w:color w:val="auto"/>
                      <w:spacing w:val="6"/>
                      <w:highlight w:val="none"/>
                    </w:rPr>
                  </w:pPr>
                </w:p>
              </w:tc>
              <w:tc>
                <w:tcPr>
                  <w:tcW w:w="1099" w:type="pct"/>
                  <w:vAlign w:val="center"/>
                </w:tcPr>
                <w:p w14:paraId="3ED5013F">
                  <w:pPr>
                    <w:pStyle w:val="118"/>
                    <w:autoSpaceDE/>
                    <w:autoSpaceDN/>
                    <w:spacing w:line="240" w:lineRule="auto"/>
                    <w:rPr>
                      <w:rFonts w:hint="default" w:ascii="Times New Roman" w:hAnsi="Times New Roman" w:eastAsia="宋体" w:cs="Times New Roman"/>
                      <w:b w:val="0"/>
                      <w:bCs/>
                      <w:color w:val="auto"/>
                      <w:spacing w:val="2"/>
                      <w:highlight w:val="none"/>
                    </w:rPr>
                  </w:pPr>
                  <w:r>
                    <w:rPr>
                      <w:rFonts w:hint="default" w:ascii="Times New Roman" w:hAnsi="Times New Roman" w:eastAsia="宋体" w:cs="Times New Roman"/>
                      <w:b w:val="0"/>
                      <w:bCs/>
                      <w:color w:val="auto"/>
                      <w:spacing w:val="2"/>
                      <w:highlight w:val="none"/>
                    </w:rPr>
                    <w:t>27</w:t>
                  </w:r>
                </w:p>
              </w:tc>
              <w:tc>
                <w:tcPr>
                  <w:tcW w:w="757" w:type="pct"/>
                  <w:vAlign w:val="center"/>
                </w:tcPr>
                <w:p w14:paraId="0C9D9F43">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4</w:t>
                  </w:r>
                </w:p>
              </w:tc>
            </w:tr>
            <w:tr w14:paraId="06F8B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464" w:type="pct"/>
                  <w:vAlign w:val="center"/>
                </w:tcPr>
                <w:p w14:paraId="3B22D245">
                  <w:pPr>
                    <w:pStyle w:val="118"/>
                    <w:autoSpaceDE/>
                    <w:autoSpaceDN/>
                    <w:spacing w:line="240" w:lineRule="auto"/>
                    <w:rPr>
                      <w:rFonts w:hint="default" w:ascii="Times New Roman" w:hAnsi="Times New Roman" w:eastAsia="宋体" w:cs="Times New Roman"/>
                      <w:b w:val="0"/>
                      <w:bCs/>
                      <w:color w:val="auto"/>
                      <w:spacing w:val="-7"/>
                      <w:highlight w:val="none"/>
                    </w:rPr>
                  </w:pPr>
                  <w:r>
                    <w:rPr>
                      <w:rFonts w:hint="default" w:ascii="Times New Roman" w:hAnsi="Times New Roman" w:eastAsia="宋体" w:cs="Times New Roman"/>
                      <w:b w:val="0"/>
                      <w:bCs/>
                      <w:color w:val="auto"/>
                      <w:spacing w:val="-7"/>
                      <w:highlight w:val="none"/>
                    </w:rPr>
                    <w:t>12</w:t>
                  </w:r>
                </w:p>
              </w:tc>
              <w:tc>
                <w:tcPr>
                  <w:tcW w:w="2678" w:type="pct"/>
                  <w:vMerge w:val="continue"/>
                  <w:vAlign w:val="center"/>
                </w:tcPr>
                <w:p w14:paraId="41E96B52">
                  <w:pPr>
                    <w:pStyle w:val="118"/>
                    <w:autoSpaceDE/>
                    <w:autoSpaceDN/>
                    <w:spacing w:line="240" w:lineRule="auto"/>
                    <w:rPr>
                      <w:rFonts w:hint="default" w:ascii="Times New Roman" w:hAnsi="Times New Roman" w:eastAsia="宋体" w:cs="Times New Roman"/>
                      <w:b w:val="0"/>
                      <w:bCs/>
                      <w:color w:val="auto"/>
                      <w:spacing w:val="6"/>
                      <w:highlight w:val="none"/>
                    </w:rPr>
                  </w:pPr>
                </w:p>
              </w:tc>
              <w:tc>
                <w:tcPr>
                  <w:tcW w:w="1099" w:type="pct"/>
                  <w:vAlign w:val="center"/>
                </w:tcPr>
                <w:p w14:paraId="32C702DB">
                  <w:pPr>
                    <w:pStyle w:val="118"/>
                    <w:autoSpaceDE/>
                    <w:autoSpaceDN/>
                    <w:spacing w:line="240" w:lineRule="auto"/>
                    <w:rPr>
                      <w:rFonts w:hint="default" w:ascii="Times New Roman" w:hAnsi="Times New Roman" w:eastAsia="宋体" w:cs="Times New Roman"/>
                      <w:b w:val="0"/>
                      <w:bCs/>
                      <w:color w:val="auto"/>
                      <w:spacing w:val="2"/>
                      <w:highlight w:val="none"/>
                    </w:rPr>
                  </w:pPr>
                  <w:r>
                    <w:rPr>
                      <w:rFonts w:hint="default" w:ascii="Times New Roman" w:hAnsi="Times New Roman" w:eastAsia="宋体" w:cs="Times New Roman"/>
                      <w:b w:val="0"/>
                      <w:bCs/>
                      <w:color w:val="auto"/>
                      <w:spacing w:val="2"/>
                      <w:highlight w:val="none"/>
                    </w:rPr>
                    <w:t>30</w:t>
                  </w:r>
                </w:p>
              </w:tc>
              <w:tc>
                <w:tcPr>
                  <w:tcW w:w="757" w:type="pct"/>
                  <w:vAlign w:val="center"/>
                </w:tcPr>
                <w:p w14:paraId="17C54BC6">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8</w:t>
                  </w:r>
                </w:p>
              </w:tc>
            </w:tr>
            <w:tr w14:paraId="68C4F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464" w:type="pct"/>
                  <w:vAlign w:val="center"/>
                </w:tcPr>
                <w:p w14:paraId="0EB6015B">
                  <w:pPr>
                    <w:pStyle w:val="118"/>
                    <w:autoSpaceDE/>
                    <w:autoSpaceDN/>
                    <w:spacing w:line="240" w:lineRule="auto"/>
                    <w:rPr>
                      <w:rFonts w:hint="default" w:ascii="Times New Roman" w:hAnsi="Times New Roman" w:eastAsia="宋体" w:cs="Times New Roman"/>
                      <w:b w:val="0"/>
                      <w:bCs/>
                      <w:color w:val="auto"/>
                      <w:spacing w:val="-7"/>
                      <w:highlight w:val="none"/>
                    </w:rPr>
                  </w:pPr>
                  <w:r>
                    <w:rPr>
                      <w:rFonts w:hint="default" w:ascii="Times New Roman" w:hAnsi="Times New Roman" w:eastAsia="宋体" w:cs="Times New Roman"/>
                      <w:b w:val="0"/>
                      <w:bCs/>
                      <w:color w:val="auto"/>
                      <w:spacing w:val="-7"/>
                      <w:highlight w:val="none"/>
                    </w:rPr>
                    <w:t>13</w:t>
                  </w:r>
                </w:p>
              </w:tc>
              <w:tc>
                <w:tcPr>
                  <w:tcW w:w="2678" w:type="pct"/>
                  <w:vMerge w:val="continue"/>
                  <w:vAlign w:val="center"/>
                </w:tcPr>
                <w:p w14:paraId="775EC13E">
                  <w:pPr>
                    <w:pStyle w:val="118"/>
                    <w:autoSpaceDE/>
                    <w:autoSpaceDN/>
                    <w:spacing w:line="240" w:lineRule="auto"/>
                    <w:rPr>
                      <w:rFonts w:hint="default" w:ascii="Times New Roman" w:hAnsi="Times New Roman" w:eastAsia="宋体" w:cs="Times New Roman"/>
                      <w:b w:val="0"/>
                      <w:bCs/>
                      <w:color w:val="auto"/>
                      <w:spacing w:val="6"/>
                      <w:highlight w:val="none"/>
                    </w:rPr>
                  </w:pPr>
                </w:p>
              </w:tc>
              <w:tc>
                <w:tcPr>
                  <w:tcW w:w="1099" w:type="pct"/>
                  <w:vAlign w:val="center"/>
                </w:tcPr>
                <w:p w14:paraId="092868C7">
                  <w:pPr>
                    <w:pStyle w:val="118"/>
                    <w:autoSpaceDE/>
                    <w:autoSpaceDN/>
                    <w:spacing w:line="240" w:lineRule="auto"/>
                    <w:rPr>
                      <w:rFonts w:hint="default" w:ascii="Times New Roman" w:hAnsi="Times New Roman" w:eastAsia="宋体" w:cs="Times New Roman"/>
                      <w:b w:val="0"/>
                      <w:bCs/>
                      <w:color w:val="auto"/>
                      <w:spacing w:val="2"/>
                      <w:highlight w:val="none"/>
                    </w:rPr>
                  </w:pPr>
                  <w:r>
                    <w:rPr>
                      <w:rFonts w:hint="default" w:ascii="Times New Roman" w:hAnsi="Times New Roman" w:eastAsia="宋体" w:cs="Times New Roman"/>
                      <w:b w:val="0"/>
                      <w:bCs/>
                      <w:color w:val="auto"/>
                      <w:spacing w:val="2"/>
                      <w:highlight w:val="none"/>
                    </w:rPr>
                    <w:t>33</w:t>
                  </w:r>
                </w:p>
              </w:tc>
              <w:tc>
                <w:tcPr>
                  <w:tcW w:w="757" w:type="pct"/>
                  <w:vAlign w:val="center"/>
                </w:tcPr>
                <w:p w14:paraId="6E485A81">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6</w:t>
                  </w:r>
                </w:p>
              </w:tc>
            </w:tr>
            <w:tr w14:paraId="4F335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464" w:type="pct"/>
                  <w:vAlign w:val="center"/>
                </w:tcPr>
                <w:p w14:paraId="67C15EF6">
                  <w:pPr>
                    <w:pStyle w:val="118"/>
                    <w:autoSpaceDE/>
                    <w:autoSpaceDN/>
                    <w:spacing w:line="240" w:lineRule="auto"/>
                    <w:rPr>
                      <w:rFonts w:hint="default" w:ascii="Times New Roman" w:hAnsi="Times New Roman" w:eastAsia="宋体" w:cs="Times New Roman"/>
                      <w:b w:val="0"/>
                      <w:bCs/>
                      <w:color w:val="auto"/>
                      <w:spacing w:val="-7"/>
                      <w:highlight w:val="none"/>
                    </w:rPr>
                  </w:pPr>
                  <w:r>
                    <w:rPr>
                      <w:rFonts w:hint="default" w:ascii="Times New Roman" w:hAnsi="Times New Roman" w:eastAsia="宋体" w:cs="Times New Roman"/>
                      <w:b w:val="0"/>
                      <w:bCs/>
                      <w:color w:val="auto"/>
                      <w:spacing w:val="-7"/>
                      <w:highlight w:val="none"/>
                    </w:rPr>
                    <w:t>14</w:t>
                  </w:r>
                </w:p>
              </w:tc>
              <w:tc>
                <w:tcPr>
                  <w:tcW w:w="2678" w:type="pct"/>
                  <w:vMerge w:val="continue"/>
                  <w:vAlign w:val="center"/>
                </w:tcPr>
                <w:p w14:paraId="0064EAEC">
                  <w:pPr>
                    <w:pStyle w:val="118"/>
                    <w:autoSpaceDE/>
                    <w:autoSpaceDN/>
                    <w:spacing w:line="240" w:lineRule="auto"/>
                    <w:rPr>
                      <w:rFonts w:hint="default" w:ascii="Times New Roman" w:hAnsi="Times New Roman" w:eastAsia="宋体" w:cs="Times New Roman"/>
                      <w:b w:val="0"/>
                      <w:bCs/>
                      <w:color w:val="auto"/>
                      <w:spacing w:val="6"/>
                      <w:highlight w:val="none"/>
                    </w:rPr>
                  </w:pPr>
                </w:p>
              </w:tc>
              <w:tc>
                <w:tcPr>
                  <w:tcW w:w="1099" w:type="pct"/>
                  <w:vAlign w:val="center"/>
                </w:tcPr>
                <w:p w14:paraId="3A951443">
                  <w:pPr>
                    <w:pStyle w:val="118"/>
                    <w:autoSpaceDE/>
                    <w:autoSpaceDN/>
                    <w:spacing w:line="240" w:lineRule="auto"/>
                    <w:rPr>
                      <w:rFonts w:hint="default" w:ascii="Times New Roman" w:hAnsi="Times New Roman" w:eastAsia="宋体" w:cs="Times New Roman"/>
                      <w:b w:val="0"/>
                      <w:bCs/>
                      <w:color w:val="auto"/>
                      <w:spacing w:val="2"/>
                      <w:highlight w:val="none"/>
                    </w:rPr>
                  </w:pPr>
                  <w:r>
                    <w:rPr>
                      <w:rFonts w:hint="default" w:ascii="Times New Roman" w:hAnsi="Times New Roman" w:eastAsia="宋体" w:cs="Times New Roman"/>
                      <w:b w:val="0"/>
                      <w:bCs/>
                      <w:color w:val="auto"/>
                      <w:spacing w:val="2"/>
                      <w:highlight w:val="none"/>
                    </w:rPr>
                    <w:t>36</w:t>
                  </w:r>
                </w:p>
              </w:tc>
              <w:tc>
                <w:tcPr>
                  <w:tcW w:w="757" w:type="pct"/>
                  <w:vAlign w:val="center"/>
                </w:tcPr>
                <w:p w14:paraId="04370E7C">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4</w:t>
                  </w:r>
                </w:p>
              </w:tc>
            </w:tr>
            <w:tr w14:paraId="3FEC7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464" w:type="pct"/>
                  <w:vAlign w:val="center"/>
                </w:tcPr>
                <w:p w14:paraId="7FEF15A9">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15</w:t>
                  </w:r>
                </w:p>
              </w:tc>
              <w:tc>
                <w:tcPr>
                  <w:tcW w:w="2678" w:type="pct"/>
                  <w:vMerge w:val="continue"/>
                  <w:vAlign w:val="center"/>
                </w:tcPr>
                <w:p w14:paraId="121EE9F6">
                  <w:pPr>
                    <w:pStyle w:val="118"/>
                    <w:autoSpaceDE/>
                    <w:autoSpaceDN/>
                    <w:spacing w:line="240" w:lineRule="auto"/>
                    <w:rPr>
                      <w:rFonts w:hint="default" w:ascii="Times New Roman" w:hAnsi="Times New Roman" w:eastAsia="宋体" w:cs="Times New Roman"/>
                      <w:b w:val="0"/>
                      <w:bCs/>
                      <w:color w:val="auto"/>
                      <w:highlight w:val="none"/>
                    </w:rPr>
                  </w:pPr>
                </w:p>
              </w:tc>
              <w:tc>
                <w:tcPr>
                  <w:tcW w:w="1099" w:type="pct"/>
                  <w:vAlign w:val="center"/>
                </w:tcPr>
                <w:p w14:paraId="470235B1">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39</w:t>
                  </w:r>
                </w:p>
              </w:tc>
              <w:tc>
                <w:tcPr>
                  <w:tcW w:w="757" w:type="pct"/>
                  <w:vAlign w:val="center"/>
                </w:tcPr>
                <w:p w14:paraId="3AD2B166">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4</w:t>
                  </w:r>
                </w:p>
              </w:tc>
            </w:tr>
            <w:tr w14:paraId="37E35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464" w:type="pct"/>
                  <w:vAlign w:val="center"/>
                </w:tcPr>
                <w:p w14:paraId="6DB86869">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16</w:t>
                  </w:r>
                </w:p>
              </w:tc>
              <w:tc>
                <w:tcPr>
                  <w:tcW w:w="2678" w:type="pct"/>
                  <w:vMerge w:val="restart"/>
                  <w:vAlign w:val="center"/>
                </w:tcPr>
                <w:p w14:paraId="568A7D4D">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6"/>
                      <w:highlight w:val="none"/>
                    </w:rPr>
                    <w:t>2A2-ZMC4</w:t>
                  </w:r>
                </w:p>
              </w:tc>
              <w:tc>
                <w:tcPr>
                  <w:tcW w:w="1099" w:type="pct"/>
                  <w:vAlign w:val="center"/>
                </w:tcPr>
                <w:p w14:paraId="19F5E83D">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42</w:t>
                  </w:r>
                </w:p>
              </w:tc>
              <w:tc>
                <w:tcPr>
                  <w:tcW w:w="757" w:type="pct"/>
                  <w:vAlign w:val="center"/>
                </w:tcPr>
                <w:p w14:paraId="09DB29E8">
                  <w:pPr>
                    <w:pStyle w:val="118"/>
                    <w:autoSpaceDE/>
                    <w:autoSpaceDN/>
                    <w:spacing w:line="240" w:lineRule="auto"/>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lang w:val="en-US" w:eastAsia="zh-CN"/>
                    </w:rPr>
                    <w:t>1</w:t>
                  </w:r>
                </w:p>
              </w:tc>
            </w:tr>
            <w:tr w14:paraId="5DB76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464" w:type="pct"/>
                  <w:vAlign w:val="center"/>
                </w:tcPr>
                <w:p w14:paraId="268765E1">
                  <w:pPr>
                    <w:pStyle w:val="118"/>
                    <w:autoSpaceDE/>
                    <w:autoSpaceDN/>
                    <w:spacing w:line="240" w:lineRule="auto"/>
                    <w:rPr>
                      <w:rFonts w:hint="default" w:ascii="Times New Roman" w:hAnsi="Times New Roman" w:eastAsia="宋体" w:cs="Times New Roman"/>
                      <w:b w:val="0"/>
                      <w:bCs/>
                      <w:color w:val="auto"/>
                      <w:spacing w:val="-1"/>
                      <w:highlight w:val="none"/>
                    </w:rPr>
                  </w:pPr>
                  <w:r>
                    <w:rPr>
                      <w:rFonts w:hint="default" w:ascii="Times New Roman" w:hAnsi="Times New Roman" w:eastAsia="宋体" w:cs="Times New Roman"/>
                      <w:b w:val="0"/>
                      <w:bCs/>
                      <w:color w:val="auto"/>
                      <w:spacing w:val="-1"/>
                      <w:highlight w:val="none"/>
                    </w:rPr>
                    <w:t>17</w:t>
                  </w:r>
                </w:p>
              </w:tc>
              <w:tc>
                <w:tcPr>
                  <w:tcW w:w="2678" w:type="pct"/>
                  <w:vMerge w:val="continue"/>
                  <w:vAlign w:val="center"/>
                </w:tcPr>
                <w:p w14:paraId="335C1D90">
                  <w:pPr>
                    <w:pStyle w:val="118"/>
                    <w:autoSpaceDE/>
                    <w:autoSpaceDN/>
                    <w:spacing w:line="240" w:lineRule="auto"/>
                    <w:rPr>
                      <w:rFonts w:hint="default" w:ascii="Times New Roman" w:hAnsi="Times New Roman" w:eastAsia="宋体" w:cs="Times New Roman"/>
                      <w:b w:val="0"/>
                      <w:bCs/>
                      <w:color w:val="auto"/>
                      <w:spacing w:val="6"/>
                      <w:highlight w:val="none"/>
                    </w:rPr>
                  </w:pPr>
                </w:p>
              </w:tc>
              <w:tc>
                <w:tcPr>
                  <w:tcW w:w="1099" w:type="pct"/>
                  <w:vAlign w:val="center"/>
                </w:tcPr>
                <w:p w14:paraId="6FE6F952">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51</w:t>
                  </w:r>
                </w:p>
              </w:tc>
              <w:tc>
                <w:tcPr>
                  <w:tcW w:w="757" w:type="pct"/>
                  <w:vAlign w:val="center"/>
                </w:tcPr>
                <w:p w14:paraId="0AF7C118">
                  <w:pPr>
                    <w:pStyle w:val="118"/>
                    <w:autoSpaceDE/>
                    <w:autoSpaceDN/>
                    <w:spacing w:line="240" w:lineRule="auto"/>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lang w:val="en-US" w:eastAsia="zh-CN"/>
                    </w:rPr>
                    <w:t>1</w:t>
                  </w:r>
                </w:p>
              </w:tc>
            </w:tr>
            <w:tr w14:paraId="69D45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464" w:type="pct"/>
                  <w:vAlign w:val="center"/>
                </w:tcPr>
                <w:p w14:paraId="5F937D1C">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18</w:t>
                  </w:r>
                </w:p>
              </w:tc>
              <w:tc>
                <w:tcPr>
                  <w:tcW w:w="2678" w:type="pct"/>
                  <w:vAlign w:val="center"/>
                </w:tcPr>
                <w:p w14:paraId="38339621">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6"/>
                      <w:highlight w:val="none"/>
                    </w:rPr>
                    <w:t>2A2-ZMCK</w:t>
                  </w:r>
                </w:p>
              </w:tc>
              <w:tc>
                <w:tcPr>
                  <w:tcW w:w="1099" w:type="pct"/>
                  <w:vAlign w:val="center"/>
                </w:tcPr>
                <w:p w14:paraId="2E134C9A">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45</w:t>
                  </w:r>
                </w:p>
              </w:tc>
              <w:tc>
                <w:tcPr>
                  <w:tcW w:w="757" w:type="pct"/>
                  <w:vAlign w:val="center"/>
                </w:tcPr>
                <w:p w14:paraId="356E76E7">
                  <w:pPr>
                    <w:pStyle w:val="118"/>
                    <w:autoSpaceDE/>
                    <w:autoSpaceDN/>
                    <w:spacing w:line="240" w:lineRule="auto"/>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lang w:val="en-US" w:eastAsia="zh-CN"/>
                    </w:rPr>
                    <w:t>1</w:t>
                  </w:r>
                </w:p>
              </w:tc>
            </w:tr>
            <w:tr w14:paraId="4C948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464" w:type="pct"/>
                  <w:vAlign w:val="center"/>
                </w:tcPr>
                <w:p w14:paraId="11FEE43F">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19</w:t>
                  </w:r>
                </w:p>
              </w:tc>
              <w:tc>
                <w:tcPr>
                  <w:tcW w:w="2678" w:type="pct"/>
                  <w:vAlign w:val="center"/>
                </w:tcPr>
                <w:p w14:paraId="7A87016D">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6"/>
                      <w:highlight w:val="none"/>
                    </w:rPr>
                    <w:t>220DLZD</w:t>
                  </w:r>
                </w:p>
              </w:tc>
              <w:tc>
                <w:tcPr>
                  <w:tcW w:w="1099" w:type="pct"/>
                  <w:vAlign w:val="center"/>
                </w:tcPr>
                <w:p w14:paraId="284EA9CF">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54</w:t>
                  </w:r>
                </w:p>
              </w:tc>
              <w:tc>
                <w:tcPr>
                  <w:tcW w:w="757" w:type="pct"/>
                  <w:vAlign w:val="center"/>
                </w:tcPr>
                <w:p w14:paraId="6CD543BC">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1</w:t>
                  </w:r>
                </w:p>
              </w:tc>
            </w:tr>
            <w:tr w14:paraId="629C4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464" w:type="pct"/>
                  <w:vAlign w:val="center"/>
                </w:tcPr>
                <w:p w14:paraId="78DEB34F">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20</w:t>
                  </w:r>
                </w:p>
              </w:tc>
              <w:tc>
                <w:tcPr>
                  <w:tcW w:w="2678" w:type="pct"/>
                  <w:vAlign w:val="center"/>
                </w:tcPr>
                <w:p w14:paraId="1291DEBB">
                  <w:pPr>
                    <w:pStyle w:val="118"/>
                    <w:autoSpaceDE/>
                    <w:autoSpaceDN/>
                    <w:spacing w:line="240" w:lineRule="auto"/>
                    <w:rPr>
                      <w:rFonts w:hint="default" w:ascii="Times New Roman" w:hAnsi="Times New Roman" w:eastAsia="宋体" w:cs="Times New Roman"/>
                      <w:b w:val="0"/>
                      <w:bCs/>
                      <w:color w:val="auto"/>
                      <w:spacing w:val="6"/>
                      <w:highlight w:val="none"/>
                    </w:rPr>
                  </w:pPr>
                  <w:r>
                    <w:rPr>
                      <w:rFonts w:hint="default" w:ascii="Times New Roman" w:hAnsi="Times New Roman" w:eastAsia="宋体" w:cs="Times New Roman"/>
                      <w:b w:val="0"/>
                      <w:bCs/>
                      <w:color w:val="auto"/>
                      <w:spacing w:val="6"/>
                      <w:highlight w:val="none"/>
                    </w:rPr>
                    <w:t>2E6-SDJC</w:t>
                  </w:r>
                </w:p>
              </w:tc>
              <w:tc>
                <w:tcPr>
                  <w:tcW w:w="1099" w:type="pct"/>
                  <w:vAlign w:val="center"/>
                </w:tcPr>
                <w:p w14:paraId="011A5752">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18</w:t>
                  </w:r>
                </w:p>
              </w:tc>
              <w:tc>
                <w:tcPr>
                  <w:tcW w:w="757" w:type="pct"/>
                  <w:vAlign w:val="center"/>
                </w:tcPr>
                <w:p w14:paraId="6A949EC8">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1</w:t>
                  </w:r>
                </w:p>
              </w:tc>
            </w:tr>
            <w:tr w14:paraId="7E538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43" w:type="pct"/>
                  <w:gridSpan w:val="2"/>
                  <w:vAlign w:val="center"/>
                </w:tcPr>
                <w:p w14:paraId="21945638">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4"/>
                      <w:highlight w:val="none"/>
                    </w:rPr>
                    <w:t>合计</w:t>
                  </w:r>
                </w:p>
              </w:tc>
              <w:tc>
                <w:tcPr>
                  <w:tcW w:w="1099" w:type="pct"/>
                  <w:vAlign w:val="center"/>
                </w:tcPr>
                <w:p w14:paraId="52BC62C8">
                  <w:pPr>
                    <w:autoSpaceDE/>
                    <w:autoSpaceDN/>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757" w:type="pct"/>
                  <w:vAlign w:val="center"/>
                </w:tcPr>
                <w:p w14:paraId="20267497">
                  <w:pPr>
                    <w:pStyle w:val="118"/>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3"/>
                      <w:highlight w:val="none"/>
                      <w:lang w:val="en-US" w:eastAsia="zh-CN"/>
                    </w:rPr>
                    <w:t>5</w:t>
                  </w:r>
                  <w:r>
                    <w:rPr>
                      <w:rFonts w:hint="default" w:ascii="Times New Roman" w:hAnsi="Times New Roman" w:eastAsia="宋体" w:cs="Times New Roman"/>
                      <w:b w:val="0"/>
                      <w:bCs/>
                      <w:color w:val="auto"/>
                      <w:spacing w:val="-3"/>
                      <w:highlight w:val="none"/>
                    </w:rPr>
                    <w:t>7</w:t>
                  </w:r>
                </w:p>
              </w:tc>
            </w:tr>
          </w:tbl>
          <w:p w14:paraId="658F2BC7">
            <w:pPr>
              <w:pStyle w:val="41"/>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（8）工程占地</w:t>
            </w:r>
          </w:p>
          <w:p w14:paraId="408F680E">
            <w:pPr>
              <w:pStyle w:val="41"/>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施工人员租住周边村民用房，施工现场不单独设置施工营地。</w:t>
            </w:r>
          </w:p>
          <w:p w14:paraId="5897B71A">
            <w:pPr>
              <w:pStyle w:val="41"/>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全线共需建杆塔</w:t>
            </w:r>
            <w:r>
              <w:rPr>
                <w:rFonts w:hint="default" w:ascii="Times New Roman" w:hAnsi="Times New Roman" w:eastAsia="宋体" w:cs="Times New Roman"/>
                <w:snapToGrid w:val="0"/>
                <w:color w:val="auto"/>
                <w:kern w:val="2"/>
                <w:sz w:val="24"/>
                <w:szCs w:val="24"/>
                <w:highlight w:val="none"/>
                <w:lang w:val="en-US" w:eastAsia="zh-CN"/>
              </w:rPr>
              <w:t>5</w:t>
            </w:r>
            <w:r>
              <w:rPr>
                <w:rFonts w:hint="default" w:ascii="Times New Roman" w:hAnsi="Times New Roman" w:eastAsia="宋体" w:cs="Times New Roman"/>
                <w:snapToGrid w:val="0"/>
                <w:color w:val="auto"/>
                <w:kern w:val="2"/>
                <w:sz w:val="24"/>
                <w:szCs w:val="24"/>
                <w:highlight w:val="none"/>
              </w:rPr>
              <w:t>7基，塔基永久占地约为</w:t>
            </w:r>
            <w:r>
              <w:rPr>
                <w:rFonts w:hint="eastAsia" w:ascii="Times New Roman" w:hAnsi="Times New Roman" w:eastAsia="宋体" w:cs="Times New Roman"/>
                <w:color w:val="auto"/>
                <w:sz w:val="24"/>
                <w:szCs w:val="24"/>
                <w:highlight w:val="none"/>
                <w:lang w:val="en-US" w:eastAsia="zh-CN"/>
              </w:rPr>
              <w:t>6202</w:t>
            </w:r>
            <w:r>
              <w:rPr>
                <w:rFonts w:hint="default" w:ascii="Times New Roman" w:hAnsi="Times New Roman" w:eastAsia="宋体" w:cs="Times New Roman"/>
                <w:snapToGrid w:val="0"/>
                <w:color w:val="auto"/>
                <w:kern w:val="2"/>
                <w:sz w:val="24"/>
                <w:szCs w:val="24"/>
                <w:highlight w:val="none"/>
              </w:rPr>
              <w:t>m</w:t>
            </w:r>
            <w:r>
              <w:rPr>
                <w:rFonts w:hint="default" w:ascii="Times New Roman" w:hAnsi="Times New Roman" w:eastAsia="宋体" w:cs="Times New Roman"/>
                <w:snapToGrid w:val="0"/>
                <w:color w:val="auto"/>
                <w:kern w:val="2"/>
                <w:sz w:val="24"/>
                <w:szCs w:val="24"/>
                <w:highlight w:val="none"/>
                <w:vertAlign w:val="superscript"/>
              </w:rPr>
              <w:t>2</w:t>
            </w:r>
            <w:r>
              <w:rPr>
                <w:rFonts w:hint="default" w:ascii="Times New Roman" w:hAnsi="Times New Roman" w:eastAsia="宋体" w:cs="Times New Roman"/>
                <w:snapToGrid w:val="0"/>
                <w:color w:val="auto"/>
                <w:kern w:val="2"/>
                <w:sz w:val="24"/>
                <w:szCs w:val="24"/>
                <w:highlight w:val="none"/>
              </w:rPr>
              <w:t>。</w:t>
            </w:r>
          </w:p>
          <w:p w14:paraId="4F584E5D">
            <w:pPr>
              <w:pStyle w:val="41"/>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铁塔塔基施工区（包括施工生产区和临时堆土区）每基占地约2</w:t>
            </w:r>
            <w:r>
              <w:rPr>
                <w:rFonts w:hint="default" w:ascii="Times New Roman" w:hAnsi="Times New Roman" w:eastAsia="宋体" w:cs="Times New Roman"/>
                <w:snapToGrid w:val="0"/>
                <w:color w:val="auto"/>
                <w:kern w:val="2"/>
                <w:sz w:val="24"/>
                <w:szCs w:val="24"/>
                <w:highlight w:val="none"/>
                <w:lang w:val="en-US" w:eastAsia="zh-CN"/>
              </w:rPr>
              <w:t>25</w:t>
            </w:r>
            <w:r>
              <w:rPr>
                <w:rFonts w:hint="default" w:ascii="Times New Roman" w:hAnsi="Times New Roman" w:eastAsia="宋体" w:cs="Times New Roman"/>
                <w:snapToGrid w:val="0"/>
                <w:color w:val="auto"/>
                <w:kern w:val="2"/>
                <w:sz w:val="24"/>
                <w:szCs w:val="24"/>
                <w:highlight w:val="none"/>
              </w:rPr>
              <w:t>m</w:t>
            </w:r>
            <w:r>
              <w:rPr>
                <w:rFonts w:hint="default" w:ascii="Times New Roman" w:hAnsi="Times New Roman" w:eastAsia="宋体" w:cs="Times New Roman"/>
                <w:snapToGrid w:val="0"/>
                <w:color w:val="auto"/>
                <w:kern w:val="2"/>
                <w:sz w:val="24"/>
                <w:szCs w:val="24"/>
                <w:highlight w:val="none"/>
                <w:vertAlign w:val="superscript"/>
              </w:rPr>
              <w:t>2</w:t>
            </w:r>
            <w:r>
              <w:rPr>
                <w:rFonts w:hint="default" w:ascii="Times New Roman" w:hAnsi="Times New Roman" w:eastAsia="宋体" w:cs="Times New Roman"/>
                <w:snapToGrid w:val="0"/>
                <w:color w:val="auto"/>
                <w:kern w:val="2"/>
                <w:sz w:val="24"/>
                <w:szCs w:val="24"/>
                <w:highlight w:val="none"/>
              </w:rPr>
              <w:t>，铁塔塔基临时占地合计1</w:t>
            </w:r>
            <w:r>
              <w:rPr>
                <w:rFonts w:hint="default" w:ascii="Times New Roman" w:hAnsi="Times New Roman" w:eastAsia="宋体" w:cs="Times New Roman"/>
                <w:snapToGrid w:val="0"/>
                <w:color w:val="auto"/>
                <w:kern w:val="2"/>
                <w:sz w:val="24"/>
                <w:szCs w:val="24"/>
                <w:highlight w:val="none"/>
                <w:lang w:val="en-US" w:eastAsia="zh-CN"/>
              </w:rPr>
              <w:t>2825</w:t>
            </w:r>
            <w:r>
              <w:rPr>
                <w:rFonts w:hint="default" w:ascii="Times New Roman" w:hAnsi="Times New Roman" w:eastAsia="宋体" w:cs="Times New Roman"/>
                <w:snapToGrid w:val="0"/>
                <w:color w:val="auto"/>
                <w:kern w:val="2"/>
                <w:sz w:val="24"/>
                <w:szCs w:val="24"/>
                <w:highlight w:val="none"/>
              </w:rPr>
              <w:t>m</w:t>
            </w:r>
            <w:r>
              <w:rPr>
                <w:rFonts w:hint="default" w:ascii="Times New Roman" w:hAnsi="Times New Roman" w:eastAsia="宋体" w:cs="Times New Roman"/>
                <w:snapToGrid w:val="0"/>
                <w:color w:val="auto"/>
                <w:kern w:val="2"/>
                <w:sz w:val="24"/>
                <w:szCs w:val="24"/>
                <w:highlight w:val="none"/>
                <w:vertAlign w:val="superscript"/>
              </w:rPr>
              <w:t>2</w:t>
            </w:r>
            <w:r>
              <w:rPr>
                <w:rFonts w:hint="default" w:ascii="Times New Roman" w:hAnsi="Times New Roman" w:eastAsia="宋体" w:cs="Times New Roman"/>
                <w:snapToGrid w:val="0"/>
                <w:color w:val="auto"/>
                <w:kern w:val="2"/>
                <w:sz w:val="24"/>
                <w:szCs w:val="24"/>
                <w:highlight w:val="none"/>
              </w:rPr>
              <w:t>。</w:t>
            </w:r>
          </w:p>
          <w:p w14:paraId="09C33189">
            <w:pPr>
              <w:pStyle w:val="41"/>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施工临时道路，施工道路长度约6600m，道路宽约3m，铁塔塔基临时占地合计19800m</w:t>
            </w:r>
            <w:r>
              <w:rPr>
                <w:rFonts w:hint="default" w:ascii="Times New Roman" w:hAnsi="Times New Roman" w:eastAsia="宋体" w:cs="Times New Roman"/>
                <w:snapToGrid w:val="0"/>
                <w:color w:val="auto"/>
                <w:kern w:val="2"/>
                <w:sz w:val="24"/>
                <w:szCs w:val="24"/>
                <w:highlight w:val="none"/>
                <w:vertAlign w:val="superscript"/>
              </w:rPr>
              <w:t>2</w:t>
            </w:r>
            <w:r>
              <w:rPr>
                <w:rFonts w:hint="default" w:ascii="Times New Roman" w:hAnsi="Times New Roman" w:eastAsia="宋体" w:cs="Times New Roman"/>
                <w:snapToGrid w:val="0"/>
                <w:color w:val="auto"/>
                <w:kern w:val="2"/>
                <w:sz w:val="24"/>
                <w:szCs w:val="24"/>
                <w:highlight w:val="none"/>
              </w:rPr>
              <w:t>，保护区内全部采用骡马驮运，不新建施工道路。</w:t>
            </w:r>
          </w:p>
          <w:p w14:paraId="20500FE4">
            <w:pPr>
              <w:pStyle w:val="41"/>
              <w:spacing w:line="360" w:lineRule="auto"/>
              <w:ind w:firstLine="480" w:firstLineChars="200"/>
              <w:jc w:val="both"/>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牵张场地的设置原则为：按5km设置一处。张力放线后应尽快进行架线，一般以张力放线施工段作紧线段，以直线塔为紧线操作塔。紧线完毕后应尽快进行耐张塔的附件安装和直线塔的线夹安装、防振金具和间隔棒的安装。本项目共设置牵张场地约5处，牵张场全部位于</w:t>
            </w:r>
            <w:r>
              <w:rPr>
                <w:rFonts w:hint="default" w:ascii="Times New Roman" w:hAnsi="Times New Roman" w:eastAsia="宋体" w:cs="Times New Roman"/>
                <w:bCs/>
                <w:color w:val="auto"/>
                <w:sz w:val="24"/>
                <w:szCs w:val="24"/>
                <w:highlight w:val="none"/>
              </w:rPr>
              <w:t>河北滦河上游国家级自然保护区，</w:t>
            </w:r>
            <w:r>
              <w:rPr>
                <w:rFonts w:hint="default" w:ascii="Times New Roman" w:hAnsi="Times New Roman" w:eastAsia="宋体" w:cs="Times New Roman"/>
                <w:snapToGrid w:val="0"/>
                <w:color w:val="auto"/>
                <w:kern w:val="2"/>
                <w:sz w:val="24"/>
                <w:szCs w:val="24"/>
                <w:highlight w:val="none"/>
              </w:rPr>
              <w:t>每处占地面积1000m</w:t>
            </w:r>
            <w:r>
              <w:rPr>
                <w:rFonts w:hint="default" w:ascii="Times New Roman" w:hAnsi="Times New Roman" w:eastAsia="宋体" w:cs="Times New Roman"/>
                <w:snapToGrid w:val="0"/>
                <w:color w:val="auto"/>
                <w:kern w:val="2"/>
                <w:sz w:val="24"/>
                <w:szCs w:val="24"/>
                <w:highlight w:val="none"/>
                <w:vertAlign w:val="superscript"/>
              </w:rPr>
              <w:t>2</w:t>
            </w:r>
            <w:r>
              <w:rPr>
                <w:rFonts w:hint="default" w:ascii="Times New Roman" w:hAnsi="Times New Roman" w:eastAsia="宋体" w:cs="Times New Roman"/>
                <w:snapToGrid w:val="0"/>
                <w:color w:val="auto"/>
                <w:kern w:val="2"/>
                <w:sz w:val="24"/>
                <w:szCs w:val="24"/>
                <w:highlight w:val="none"/>
              </w:rPr>
              <w:t>，属临时占地。牵张场占地合计5000m</w:t>
            </w:r>
            <w:r>
              <w:rPr>
                <w:rFonts w:hint="default" w:ascii="Times New Roman" w:hAnsi="Times New Roman" w:eastAsia="宋体" w:cs="Times New Roman"/>
                <w:snapToGrid w:val="0"/>
                <w:color w:val="auto"/>
                <w:kern w:val="2"/>
                <w:sz w:val="24"/>
                <w:szCs w:val="24"/>
                <w:highlight w:val="none"/>
                <w:vertAlign w:val="superscript"/>
              </w:rPr>
              <w:t>2</w:t>
            </w:r>
            <w:r>
              <w:rPr>
                <w:rFonts w:hint="default" w:ascii="Times New Roman" w:hAnsi="Times New Roman" w:eastAsia="宋体" w:cs="Times New Roman"/>
                <w:snapToGrid w:val="0"/>
                <w:color w:val="auto"/>
                <w:kern w:val="2"/>
                <w:sz w:val="24"/>
                <w:szCs w:val="24"/>
                <w:highlight w:val="none"/>
              </w:rPr>
              <w:t>。</w:t>
            </w:r>
          </w:p>
          <w:p w14:paraId="3A7E5D5E">
            <w:pPr>
              <w:pStyle w:val="41"/>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综上所述，本项目塔基永久占地合计</w:t>
            </w:r>
            <w:r>
              <w:rPr>
                <w:rFonts w:hint="eastAsia" w:ascii="Times New Roman" w:hAnsi="Times New Roman" w:eastAsia="宋体" w:cs="Times New Roman"/>
                <w:snapToGrid w:val="0"/>
                <w:color w:val="auto"/>
                <w:kern w:val="2"/>
                <w:sz w:val="24"/>
                <w:szCs w:val="24"/>
                <w:highlight w:val="none"/>
                <w:lang w:val="en-US" w:eastAsia="zh-CN"/>
              </w:rPr>
              <w:t>6202</w:t>
            </w:r>
            <w:r>
              <w:rPr>
                <w:rFonts w:hint="default" w:ascii="Times New Roman" w:hAnsi="Times New Roman" w:eastAsia="宋体" w:cs="Times New Roman"/>
                <w:snapToGrid w:val="0"/>
                <w:color w:val="auto"/>
                <w:kern w:val="2"/>
                <w:sz w:val="24"/>
                <w:szCs w:val="24"/>
                <w:highlight w:val="none"/>
              </w:rPr>
              <w:t>m</w:t>
            </w:r>
            <w:r>
              <w:rPr>
                <w:rFonts w:hint="default" w:ascii="Times New Roman" w:hAnsi="Times New Roman" w:eastAsia="宋体" w:cs="Times New Roman"/>
                <w:snapToGrid w:val="0"/>
                <w:color w:val="auto"/>
                <w:kern w:val="2"/>
                <w:sz w:val="24"/>
                <w:szCs w:val="24"/>
                <w:highlight w:val="none"/>
                <w:vertAlign w:val="superscript"/>
              </w:rPr>
              <w:t>2</w:t>
            </w:r>
            <w:r>
              <w:rPr>
                <w:rFonts w:hint="default" w:ascii="Times New Roman" w:hAnsi="Times New Roman" w:eastAsia="宋体" w:cs="Times New Roman"/>
                <w:snapToGrid w:val="0"/>
                <w:color w:val="auto"/>
                <w:kern w:val="2"/>
                <w:sz w:val="24"/>
                <w:szCs w:val="24"/>
                <w:highlight w:val="none"/>
              </w:rPr>
              <w:t>，临时占地合计3</w:t>
            </w:r>
            <w:r>
              <w:rPr>
                <w:rFonts w:hint="default" w:ascii="Times New Roman" w:hAnsi="Times New Roman" w:eastAsia="宋体" w:cs="Times New Roman"/>
                <w:snapToGrid w:val="0"/>
                <w:color w:val="auto"/>
                <w:kern w:val="2"/>
                <w:sz w:val="24"/>
                <w:szCs w:val="24"/>
                <w:highlight w:val="none"/>
                <w:lang w:val="en-US" w:eastAsia="zh-CN"/>
              </w:rPr>
              <w:t>7625</w:t>
            </w:r>
            <w:r>
              <w:rPr>
                <w:rFonts w:hint="default" w:ascii="Times New Roman" w:hAnsi="Times New Roman" w:eastAsia="宋体" w:cs="Times New Roman"/>
                <w:snapToGrid w:val="0"/>
                <w:color w:val="auto"/>
                <w:kern w:val="2"/>
                <w:sz w:val="24"/>
                <w:szCs w:val="24"/>
                <w:highlight w:val="none"/>
              </w:rPr>
              <w:t>m</w:t>
            </w:r>
            <w:r>
              <w:rPr>
                <w:rFonts w:hint="default" w:ascii="Times New Roman" w:hAnsi="Times New Roman" w:eastAsia="宋体" w:cs="Times New Roman"/>
                <w:snapToGrid w:val="0"/>
                <w:color w:val="auto"/>
                <w:kern w:val="2"/>
                <w:sz w:val="24"/>
                <w:szCs w:val="24"/>
                <w:highlight w:val="none"/>
                <w:vertAlign w:val="superscript"/>
              </w:rPr>
              <w:t>2</w:t>
            </w:r>
            <w:r>
              <w:rPr>
                <w:rFonts w:hint="default" w:ascii="Times New Roman" w:hAnsi="Times New Roman" w:eastAsia="宋体" w:cs="Times New Roman"/>
                <w:snapToGrid w:val="0"/>
                <w:color w:val="auto"/>
                <w:kern w:val="2"/>
                <w:sz w:val="24"/>
                <w:szCs w:val="24"/>
                <w:highlight w:val="none"/>
              </w:rPr>
              <w:t>。</w:t>
            </w:r>
          </w:p>
          <w:p w14:paraId="1CD0BA30">
            <w:pPr>
              <w:pStyle w:val="41"/>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（9）本项目土方量情况</w:t>
            </w:r>
          </w:p>
          <w:p w14:paraId="0E839184">
            <w:pPr>
              <w:pStyle w:val="41"/>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本项目线路施工土方量为杆塔基础建设过程中产生的土石方量，挖方共计</w:t>
            </w:r>
            <w:r>
              <w:rPr>
                <w:rFonts w:hint="default" w:ascii="Times New Roman" w:hAnsi="Times New Roman" w:eastAsia="宋体" w:cs="Times New Roman"/>
                <w:snapToGrid w:val="0"/>
                <w:color w:val="auto"/>
                <w:kern w:val="2"/>
                <w:sz w:val="24"/>
                <w:szCs w:val="24"/>
                <w:highlight w:val="none"/>
                <w:lang w:val="en-US" w:eastAsia="zh-CN"/>
              </w:rPr>
              <w:t>950</w:t>
            </w:r>
            <w:r>
              <w:rPr>
                <w:rFonts w:hint="default" w:ascii="Times New Roman" w:hAnsi="Times New Roman" w:eastAsia="宋体" w:cs="Times New Roman"/>
                <w:snapToGrid w:val="0"/>
                <w:color w:val="auto"/>
                <w:kern w:val="2"/>
                <w:sz w:val="24"/>
                <w:szCs w:val="24"/>
                <w:highlight w:val="none"/>
              </w:rPr>
              <w:t>0m</w:t>
            </w:r>
            <w:r>
              <w:rPr>
                <w:rFonts w:hint="default" w:ascii="Times New Roman" w:hAnsi="Times New Roman" w:eastAsia="宋体" w:cs="Times New Roman"/>
                <w:snapToGrid w:val="0"/>
                <w:color w:val="auto"/>
                <w:kern w:val="2"/>
                <w:sz w:val="24"/>
                <w:szCs w:val="24"/>
                <w:highlight w:val="none"/>
                <w:vertAlign w:val="superscript"/>
              </w:rPr>
              <w:t>3</w:t>
            </w:r>
            <w:r>
              <w:rPr>
                <w:rFonts w:hint="default" w:ascii="Times New Roman" w:hAnsi="Times New Roman" w:eastAsia="宋体" w:cs="Times New Roman"/>
                <w:snapToGrid w:val="0"/>
                <w:color w:val="auto"/>
                <w:kern w:val="2"/>
                <w:sz w:val="24"/>
                <w:szCs w:val="24"/>
                <w:highlight w:val="none"/>
              </w:rPr>
              <w:t>，填方及综合利用</w:t>
            </w:r>
            <w:r>
              <w:rPr>
                <w:rFonts w:hint="default" w:ascii="Times New Roman" w:hAnsi="Times New Roman" w:eastAsia="宋体" w:cs="Times New Roman"/>
                <w:snapToGrid w:val="0"/>
                <w:color w:val="auto"/>
                <w:kern w:val="2"/>
                <w:sz w:val="24"/>
                <w:szCs w:val="24"/>
                <w:highlight w:val="none"/>
                <w:lang w:val="en-US" w:eastAsia="zh-CN"/>
              </w:rPr>
              <w:t>950</w:t>
            </w:r>
            <w:r>
              <w:rPr>
                <w:rFonts w:hint="default" w:ascii="Times New Roman" w:hAnsi="Times New Roman" w:eastAsia="宋体" w:cs="Times New Roman"/>
                <w:snapToGrid w:val="0"/>
                <w:color w:val="auto"/>
                <w:kern w:val="2"/>
                <w:sz w:val="24"/>
                <w:szCs w:val="24"/>
                <w:highlight w:val="none"/>
              </w:rPr>
              <w:t>0m</w:t>
            </w:r>
            <w:r>
              <w:rPr>
                <w:rFonts w:hint="default" w:ascii="Times New Roman" w:hAnsi="Times New Roman" w:eastAsia="宋体" w:cs="Times New Roman"/>
                <w:snapToGrid w:val="0"/>
                <w:color w:val="auto"/>
                <w:kern w:val="2"/>
                <w:sz w:val="24"/>
                <w:szCs w:val="24"/>
                <w:highlight w:val="none"/>
                <w:vertAlign w:val="superscript"/>
              </w:rPr>
              <w:t>3</w:t>
            </w:r>
            <w:r>
              <w:rPr>
                <w:rFonts w:hint="default" w:ascii="Times New Roman" w:hAnsi="Times New Roman" w:eastAsia="宋体" w:cs="Times New Roman"/>
                <w:snapToGrid w:val="0"/>
                <w:color w:val="auto"/>
                <w:kern w:val="2"/>
                <w:sz w:val="24"/>
                <w:szCs w:val="24"/>
                <w:highlight w:val="none"/>
              </w:rPr>
              <w:t>，无弃方产生。</w:t>
            </w:r>
          </w:p>
          <w:p w14:paraId="687232C4">
            <w:pPr>
              <w:pStyle w:val="41"/>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（10）劳动定员</w:t>
            </w:r>
          </w:p>
          <w:p w14:paraId="001283CA">
            <w:pPr>
              <w:pStyle w:val="41"/>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本项目不需设置劳动定员。</w:t>
            </w:r>
          </w:p>
          <w:p w14:paraId="61569627">
            <w:pPr>
              <w:pStyle w:val="41"/>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（11）给排水</w:t>
            </w:r>
          </w:p>
          <w:p w14:paraId="51CB31BB">
            <w:pPr>
              <w:pStyle w:val="41"/>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给水：施工期用水从附近村庄采用罐车拉取，无废水外排。</w:t>
            </w:r>
          </w:p>
          <w:p w14:paraId="7B3FB90F">
            <w:pPr>
              <w:pStyle w:val="41"/>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运行期不涉及用水。</w:t>
            </w:r>
          </w:p>
          <w:p w14:paraId="56AB6464">
            <w:pPr>
              <w:pStyle w:val="41"/>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（12）主要经济技术指标</w:t>
            </w:r>
          </w:p>
          <w:p w14:paraId="0837388F">
            <w:pPr>
              <w:pStyle w:val="41"/>
              <w:spacing w:line="360" w:lineRule="auto"/>
              <w:ind w:firstLine="480" w:firstLineChars="200"/>
              <w:jc w:val="both"/>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本工程总投资约</w:t>
            </w:r>
            <w:r>
              <w:rPr>
                <w:rFonts w:hint="default" w:ascii="Times New Roman" w:hAnsi="Times New Roman" w:eastAsia="宋体" w:cs="Times New Roman"/>
                <w:color w:val="auto"/>
                <w:sz w:val="24"/>
                <w:szCs w:val="24"/>
                <w:highlight w:val="none"/>
              </w:rPr>
              <w:t>3829.44</w:t>
            </w:r>
            <w:r>
              <w:rPr>
                <w:rFonts w:hint="default" w:ascii="Times New Roman" w:hAnsi="Times New Roman" w:eastAsia="宋体" w:cs="Times New Roman"/>
                <w:snapToGrid w:val="0"/>
                <w:color w:val="auto"/>
                <w:kern w:val="2"/>
                <w:sz w:val="24"/>
                <w:szCs w:val="24"/>
                <w:highlight w:val="none"/>
              </w:rPr>
              <w:t>万元，其中环保投资约</w:t>
            </w:r>
            <w:r>
              <w:rPr>
                <w:rFonts w:hint="default" w:ascii="Times New Roman" w:hAnsi="Times New Roman" w:eastAsia="宋体" w:cs="Times New Roman"/>
                <w:snapToGrid w:val="0"/>
                <w:color w:val="auto"/>
                <w:kern w:val="2"/>
                <w:sz w:val="24"/>
                <w:szCs w:val="24"/>
                <w:highlight w:val="none"/>
                <w:lang w:val="en-US" w:eastAsia="zh-CN"/>
              </w:rPr>
              <w:t>24</w:t>
            </w:r>
            <w:r>
              <w:rPr>
                <w:rFonts w:hint="default" w:ascii="Times New Roman" w:hAnsi="Times New Roman" w:eastAsia="宋体" w:cs="Times New Roman"/>
                <w:snapToGrid w:val="0"/>
                <w:color w:val="auto"/>
                <w:kern w:val="2"/>
                <w:sz w:val="24"/>
                <w:szCs w:val="24"/>
                <w:highlight w:val="none"/>
              </w:rPr>
              <w:t>0万元，约占总投资的</w:t>
            </w:r>
            <w:r>
              <w:rPr>
                <w:rFonts w:hint="default" w:ascii="Times New Roman" w:hAnsi="Times New Roman" w:eastAsia="宋体" w:cs="Times New Roman"/>
                <w:snapToGrid w:val="0"/>
                <w:color w:val="auto"/>
                <w:kern w:val="2"/>
                <w:sz w:val="24"/>
                <w:szCs w:val="24"/>
                <w:highlight w:val="none"/>
                <w:lang w:val="en-US" w:eastAsia="zh-CN"/>
              </w:rPr>
              <w:t>6.27</w:t>
            </w:r>
            <w:r>
              <w:rPr>
                <w:rFonts w:hint="default" w:ascii="Times New Roman" w:hAnsi="Times New Roman" w:eastAsia="宋体" w:cs="Times New Roman"/>
                <w:snapToGrid w:val="0"/>
                <w:color w:val="auto"/>
                <w:kern w:val="2"/>
                <w:sz w:val="24"/>
                <w:szCs w:val="24"/>
                <w:highlight w:val="none"/>
              </w:rPr>
              <w:t>%。</w:t>
            </w:r>
          </w:p>
          <w:p w14:paraId="49816C76">
            <w:pPr>
              <w:pStyle w:val="41"/>
              <w:spacing w:line="360" w:lineRule="auto"/>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5、公用工程</w:t>
            </w:r>
          </w:p>
          <w:p w14:paraId="052AD2A6">
            <w:pPr>
              <w:pStyle w:val="12"/>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各塔基的施工电源，通过施工承包方自备的发电机解决。</w:t>
            </w:r>
          </w:p>
          <w:p w14:paraId="56DFCD5F">
            <w:pPr>
              <w:pStyle w:val="41"/>
              <w:spacing w:line="360" w:lineRule="auto"/>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6、建设周期</w:t>
            </w:r>
          </w:p>
          <w:p w14:paraId="39DD0266">
            <w:pPr>
              <w:pStyle w:val="41"/>
              <w:spacing w:line="360" w:lineRule="auto"/>
              <w:ind w:firstLine="480" w:firstLineChars="200"/>
              <w:rPr>
                <w:rFonts w:hint="default" w:ascii="Times New Roman" w:hAnsi="Times New Roman" w:eastAsia="宋体" w:cs="Times New Roman"/>
                <w:bCs/>
                <w:color w:val="auto"/>
                <w:spacing w:val="4"/>
                <w:sz w:val="24"/>
                <w:szCs w:val="24"/>
                <w:highlight w:val="none"/>
              </w:rPr>
            </w:pPr>
            <w:r>
              <w:rPr>
                <w:rFonts w:hint="default" w:ascii="Times New Roman" w:hAnsi="Times New Roman" w:eastAsia="宋体" w:cs="Times New Roman"/>
                <w:bCs/>
                <w:color w:val="auto"/>
                <w:sz w:val="24"/>
                <w:szCs w:val="24"/>
                <w:highlight w:val="none"/>
              </w:rPr>
              <w:t>本项目建设周期为4个月。</w:t>
            </w:r>
          </w:p>
        </w:tc>
      </w:tr>
      <w:tr w14:paraId="5E85C9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4" w:hRule="atLeast"/>
        </w:trPr>
        <w:tc>
          <w:tcPr>
            <w:tcW w:w="388" w:type="dxa"/>
            <w:tcBorders>
              <w:bottom w:val="single" w:color="000000" w:sz="4" w:space="0"/>
              <w:right w:val="single" w:color="000000" w:sz="4" w:space="0"/>
            </w:tcBorders>
            <w:vAlign w:val="center"/>
          </w:tcPr>
          <w:p w14:paraId="361E29C4">
            <w:pPr>
              <w:pStyle w:val="41"/>
              <w:spacing w:line="360" w:lineRule="auto"/>
              <w:ind w:right="79"/>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总平面及现场布置</w:t>
            </w:r>
          </w:p>
        </w:tc>
        <w:tc>
          <w:tcPr>
            <w:tcW w:w="8596" w:type="dxa"/>
            <w:tcBorders>
              <w:left w:val="single" w:color="000000" w:sz="4" w:space="0"/>
              <w:bottom w:val="single" w:color="000000" w:sz="4" w:space="0"/>
            </w:tcBorders>
          </w:tcPr>
          <w:p w14:paraId="3E350491">
            <w:pPr>
              <w:autoSpaceDE/>
              <w:autoSpaceDN/>
              <w:adjustRightInd w:val="0"/>
              <w:snapToGrid w:val="0"/>
              <w:spacing w:line="44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1、220kV输电线路总平面布置</w:t>
            </w:r>
          </w:p>
          <w:p w14:paraId="12FD09A4">
            <w:pPr>
              <w:pStyle w:val="41"/>
              <w:spacing w:line="480" w:lineRule="exact"/>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全线共需建杆塔</w:t>
            </w:r>
            <w:r>
              <w:rPr>
                <w:rFonts w:hint="eastAsia" w:ascii="Times New Roman" w:hAnsi="Times New Roman" w:eastAsia="宋体" w:cs="Times New Roman"/>
                <w:snapToGrid w:val="0"/>
                <w:color w:val="auto"/>
                <w:kern w:val="2"/>
                <w:sz w:val="24"/>
                <w:szCs w:val="24"/>
                <w:highlight w:val="none"/>
                <w:lang w:val="en-US" w:eastAsia="zh-CN"/>
              </w:rPr>
              <w:t>57</w:t>
            </w:r>
            <w:r>
              <w:rPr>
                <w:rFonts w:hint="default" w:ascii="Times New Roman" w:hAnsi="Times New Roman" w:eastAsia="宋体" w:cs="Times New Roman"/>
                <w:snapToGrid w:val="0"/>
                <w:color w:val="auto"/>
                <w:kern w:val="2"/>
                <w:sz w:val="24"/>
                <w:szCs w:val="24"/>
                <w:highlight w:val="none"/>
              </w:rPr>
              <w:t>基，塔基永久占地约为</w:t>
            </w:r>
            <w:r>
              <w:rPr>
                <w:rFonts w:hint="eastAsia" w:ascii="Times New Roman" w:hAnsi="Times New Roman" w:eastAsia="宋体" w:cs="Times New Roman"/>
                <w:snapToGrid w:val="0"/>
                <w:color w:val="auto"/>
                <w:kern w:val="2"/>
                <w:sz w:val="24"/>
                <w:szCs w:val="24"/>
                <w:highlight w:val="none"/>
                <w:lang w:val="en-US" w:eastAsia="zh-CN"/>
              </w:rPr>
              <w:t>6202</w:t>
            </w:r>
            <w:r>
              <w:rPr>
                <w:rFonts w:hint="default" w:ascii="Times New Roman" w:hAnsi="Times New Roman" w:eastAsia="宋体" w:cs="Times New Roman"/>
                <w:snapToGrid w:val="0"/>
                <w:color w:val="auto"/>
                <w:kern w:val="2"/>
                <w:sz w:val="24"/>
                <w:szCs w:val="24"/>
                <w:highlight w:val="none"/>
              </w:rPr>
              <w:t>m</w:t>
            </w:r>
            <w:r>
              <w:rPr>
                <w:rFonts w:hint="default" w:ascii="Times New Roman" w:hAnsi="Times New Roman" w:eastAsia="宋体" w:cs="Times New Roman"/>
                <w:snapToGrid w:val="0"/>
                <w:color w:val="auto"/>
                <w:kern w:val="2"/>
                <w:sz w:val="24"/>
                <w:szCs w:val="24"/>
                <w:highlight w:val="none"/>
                <w:vertAlign w:val="superscript"/>
              </w:rPr>
              <w:t>2</w:t>
            </w:r>
            <w:r>
              <w:rPr>
                <w:rFonts w:hint="default" w:ascii="Times New Roman" w:hAnsi="Times New Roman" w:eastAsia="宋体" w:cs="Times New Roman"/>
                <w:snapToGrid w:val="0"/>
                <w:color w:val="auto"/>
                <w:kern w:val="2"/>
                <w:sz w:val="24"/>
                <w:szCs w:val="24"/>
                <w:highlight w:val="none"/>
              </w:rPr>
              <w:t>。</w:t>
            </w:r>
          </w:p>
          <w:p w14:paraId="10679FB0">
            <w:pPr>
              <w:pStyle w:val="41"/>
              <w:spacing w:line="480" w:lineRule="exact"/>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铁塔塔基施工区（包括施工生产区和临时堆土区）每基占地约2</w:t>
            </w:r>
            <w:r>
              <w:rPr>
                <w:rFonts w:hint="default" w:ascii="Times New Roman" w:hAnsi="Times New Roman" w:eastAsia="宋体" w:cs="Times New Roman"/>
                <w:snapToGrid w:val="0"/>
                <w:color w:val="auto"/>
                <w:kern w:val="2"/>
                <w:sz w:val="24"/>
                <w:szCs w:val="24"/>
                <w:highlight w:val="none"/>
                <w:lang w:val="en-US" w:eastAsia="zh-CN"/>
              </w:rPr>
              <w:t>25</w:t>
            </w:r>
            <w:r>
              <w:rPr>
                <w:rFonts w:hint="default" w:ascii="Times New Roman" w:hAnsi="Times New Roman" w:eastAsia="宋体" w:cs="Times New Roman"/>
                <w:snapToGrid w:val="0"/>
                <w:color w:val="auto"/>
                <w:kern w:val="2"/>
                <w:sz w:val="24"/>
                <w:szCs w:val="24"/>
                <w:highlight w:val="none"/>
              </w:rPr>
              <w:t>m</w:t>
            </w:r>
            <w:r>
              <w:rPr>
                <w:rFonts w:hint="default" w:ascii="Times New Roman" w:hAnsi="Times New Roman" w:eastAsia="宋体" w:cs="Times New Roman"/>
                <w:snapToGrid w:val="0"/>
                <w:color w:val="auto"/>
                <w:kern w:val="2"/>
                <w:sz w:val="24"/>
                <w:szCs w:val="24"/>
                <w:highlight w:val="none"/>
                <w:vertAlign w:val="superscript"/>
              </w:rPr>
              <w:t>2</w:t>
            </w:r>
            <w:r>
              <w:rPr>
                <w:rFonts w:hint="default" w:ascii="Times New Roman" w:hAnsi="Times New Roman" w:eastAsia="宋体" w:cs="Times New Roman"/>
                <w:snapToGrid w:val="0"/>
                <w:color w:val="auto"/>
                <w:kern w:val="2"/>
                <w:sz w:val="24"/>
                <w:szCs w:val="24"/>
                <w:highlight w:val="none"/>
              </w:rPr>
              <w:t>，铁塔塔基临时占地合计1</w:t>
            </w:r>
            <w:r>
              <w:rPr>
                <w:rFonts w:hint="default" w:ascii="Times New Roman" w:hAnsi="Times New Roman" w:eastAsia="宋体" w:cs="Times New Roman"/>
                <w:snapToGrid w:val="0"/>
                <w:color w:val="auto"/>
                <w:kern w:val="2"/>
                <w:sz w:val="24"/>
                <w:szCs w:val="24"/>
                <w:highlight w:val="none"/>
                <w:lang w:val="en-US" w:eastAsia="zh-CN"/>
              </w:rPr>
              <w:t>2825</w:t>
            </w:r>
            <w:r>
              <w:rPr>
                <w:rFonts w:hint="default" w:ascii="Times New Roman" w:hAnsi="Times New Roman" w:eastAsia="宋体" w:cs="Times New Roman"/>
                <w:snapToGrid w:val="0"/>
                <w:color w:val="auto"/>
                <w:kern w:val="2"/>
                <w:sz w:val="24"/>
                <w:szCs w:val="24"/>
                <w:highlight w:val="none"/>
              </w:rPr>
              <w:t>m</w:t>
            </w:r>
            <w:r>
              <w:rPr>
                <w:rFonts w:hint="default" w:ascii="Times New Roman" w:hAnsi="Times New Roman" w:eastAsia="宋体" w:cs="Times New Roman"/>
                <w:snapToGrid w:val="0"/>
                <w:color w:val="auto"/>
                <w:kern w:val="2"/>
                <w:sz w:val="24"/>
                <w:szCs w:val="24"/>
                <w:highlight w:val="none"/>
                <w:vertAlign w:val="superscript"/>
              </w:rPr>
              <w:t>2</w:t>
            </w:r>
            <w:r>
              <w:rPr>
                <w:rFonts w:hint="default" w:ascii="Times New Roman" w:hAnsi="Times New Roman" w:eastAsia="宋体" w:cs="Times New Roman"/>
                <w:snapToGrid w:val="0"/>
                <w:color w:val="auto"/>
                <w:kern w:val="2"/>
                <w:sz w:val="24"/>
                <w:szCs w:val="24"/>
                <w:highlight w:val="none"/>
              </w:rPr>
              <w:t>。</w:t>
            </w:r>
          </w:p>
          <w:p w14:paraId="7265E4DF">
            <w:pPr>
              <w:pStyle w:val="41"/>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施工临时道路，施工道路长度约6600m，道路宽约3m，铁塔塔基临时占地合计19800m</w:t>
            </w:r>
            <w:r>
              <w:rPr>
                <w:rFonts w:hint="default" w:ascii="Times New Roman" w:hAnsi="Times New Roman" w:eastAsia="宋体" w:cs="Times New Roman"/>
                <w:snapToGrid w:val="0"/>
                <w:color w:val="auto"/>
                <w:kern w:val="2"/>
                <w:sz w:val="24"/>
                <w:szCs w:val="24"/>
                <w:highlight w:val="none"/>
                <w:vertAlign w:val="superscript"/>
              </w:rPr>
              <w:t>2</w:t>
            </w:r>
            <w:r>
              <w:rPr>
                <w:rFonts w:hint="default" w:ascii="Times New Roman" w:hAnsi="Times New Roman" w:eastAsia="宋体" w:cs="Times New Roman"/>
                <w:snapToGrid w:val="0"/>
                <w:color w:val="auto"/>
                <w:kern w:val="2"/>
                <w:sz w:val="24"/>
                <w:szCs w:val="24"/>
                <w:highlight w:val="none"/>
              </w:rPr>
              <w:t>，保护区内全部采用骡马驮运，不新建施工道路。</w:t>
            </w:r>
          </w:p>
          <w:p w14:paraId="4A0A3938">
            <w:pPr>
              <w:pStyle w:val="41"/>
              <w:spacing w:line="360" w:lineRule="auto"/>
              <w:ind w:firstLine="480" w:firstLineChars="200"/>
              <w:jc w:val="both"/>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牵张场地的设置原则为：按5km设置一处。张力放线后应尽快进行架线，一般以张力放线施工段作紧线段，以直线塔为紧线操作塔。紧线完毕后应尽快进行耐张塔的附件安装和直线塔的线夹安装、防振金具和间隔棒的安装。本项目共设置牵张场地约5处（进入保护区之前</w:t>
            </w:r>
            <w:r>
              <w:rPr>
                <w:rFonts w:hint="eastAsia" w:ascii="Times New Roman" w:hAnsi="Times New Roman" w:eastAsia="宋体" w:cs="Times New Roman"/>
                <w:snapToGrid w:val="0"/>
                <w:color w:val="auto"/>
                <w:kern w:val="2"/>
                <w:sz w:val="24"/>
                <w:szCs w:val="24"/>
                <w:highlight w:val="none"/>
                <w:lang w:eastAsia="zh-CN"/>
              </w:rPr>
              <w:t>（</w:t>
            </w:r>
            <w:r>
              <w:rPr>
                <w:rFonts w:hint="eastAsia" w:ascii="Times New Roman" w:hAnsi="Times New Roman" w:eastAsia="宋体" w:cs="Times New Roman"/>
                <w:snapToGrid w:val="0"/>
                <w:color w:val="auto"/>
                <w:kern w:val="2"/>
                <w:sz w:val="24"/>
                <w:szCs w:val="24"/>
                <w:highlight w:val="none"/>
                <w:lang w:val="en-US" w:eastAsia="zh-CN"/>
              </w:rPr>
              <w:t>N3~N4塔之间</w:t>
            </w:r>
            <w:r>
              <w:rPr>
                <w:rFonts w:hint="eastAsia" w:ascii="Times New Roman" w:hAnsi="Times New Roman" w:eastAsia="宋体" w:cs="Times New Roman"/>
                <w:snapToGrid w:val="0"/>
                <w:color w:val="auto"/>
                <w:kern w:val="2"/>
                <w:sz w:val="24"/>
                <w:szCs w:val="24"/>
                <w:highlight w:val="none"/>
                <w:lang w:eastAsia="zh-CN"/>
              </w:rPr>
              <w:t>）</w:t>
            </w:r>
            <w:r>
              <w:rPr>
                <w:rFonts w:hint="default" w:ascii="Times New Roman" w:hAnsi="Times New Roman" w:eastAsia="宋体" w:cs="Times New Roman"/>
                <w:snapToGrid w:val="0"/>
                <w:color w:val="auto"/>
                <w:kern w:val="2"/>
                <w:sz w:val="24"/>
                <w:szCs w:val="24"/>
                <w:highlight w:val="none"/>
              </w:rPr>
              <w:t>设置1处、出保护区之后设置1处</w:t>
            </w:r>
            <w:r>
              <w:rPr>
                <w:rFonts w:hint="eastAsia" w:ascii="Times New Roman" w:hAnsi="Times New Roman" w:eastAsia="宋体" w:cs="Times New Roman"/>
                <w:snapToGrid w:val="0"/>
                <w:color w:val="auto"/>
                <w:kern w:val="2"/>
                <w:sz w:val="24"/>
                <w:szCs w:val="24"/>
                <w:highlight w:val="none"/>
                <w:lang w:eastAsia="zh-CN"/>
              </w:rPr>
              <w:t>（</w:t>
            </w:r>
            <w:r>
              <w:rPr>
                <w:rFonts w:hint="eastAsia" w:ascii="Times New Roman" w:hAnsi="Times New Roman" w:eastAsia="宋体" w:cs="Times New Roman"/>
                <w:snapToGrid w:val="0"/>
                <w:color w:val="auto"/>
                <w:kern w:val="2"/>
                <w:sz w:val="24"/>
                <w:szCs w:val="24"/>
                <w:highlight w:val="none"/>
                <w:lang w:val="en-US" w:eastAsia="zh-CN"/>
              </w:rPr>
              <w:t>N27号塔</w:t>
            </w:r>
            <w:r>
              <w:rPr>
                <w:rFonts w:hint="eastAsia" w:ascii="Times New Roman" w:hAnsi="Times New Roman" w:eastAsia="宋体" w:cs="Times New Roman"/>
                <w:snapToGrid w:val="0"/>
                <w:color w:val="auto"/>
                <w:kern w:val="2"/>
                <w:sz w:val="24"/>
                <w:szCs w:val="24"/>
                <w:highlight w:val="none"/>
                <w:lang w:eastAsia="zh-CN"/>
              </w:rPr>
              <w:t>）</w:t>
            </w:r>
            <w:r>
              <w:rPr>
                <w:rFonts w:hint="default" w:ascii="Times New Roman" w:hAnsi="Times New Roman" w:eastAsia="宋体" w:cs="Times New Roman"/>
                <w:snapToGrid w:val="0"/>
                <w:color w:val="auto"/>
                <w:kern w:val="2"/>
                <w:sz w:val="24"/>
                <w:szCs w:val="24"/>
                <w:highlight w:val="none"/>
              </w:rPr>
              <w:t>、</w:t>
            </w:r>
            <w:r>
              <w:rPr>
                <w:rFonts w:hint="eastAsia" w:ascii="Times New Roman" w:hAnsi="Times New Roman" w:eastAsia="宋体" w:cs="Times New Roman"/>
                <w:snapToGrid w:val="0"/>
                <w:color w:val="auto"/>
                <w:kern w:val="2"/>
                <w:sz w:val="24"/>
                <w:szCs w:val="24"/>
                <w:highlight w:val="none"/>
                <w:lang w:val="en-US" w:eastAsia="zh-CN"/>
              </w:rPr>
              <w:t>N</w:t>
            </w:r>
            <w:r>
              <w:rPr>
                <w:rFonts w:hint="default" w:ascii="Times New Roman" w:hAnsi="Times New Roman" w:eastAsia="宋体" w:cs="Times New Roman"/>
                <w:snapToGrid w:val="0"/>
                <w:color w:val="auto"/>
                <w:kern w:val="2"/>
                <w:sz w:val="24"/>
                <w:szCs w:val="24"/>
                <w:highlight w:val="none"/>
                <w:lang w:val="en-US" w:eastAsia="zh-CN"/>
              </w:rPr>
              <w:t>35</w:t>
            </w:r>
            <w:r>
              <w:rPr>
                <w:rFonts w:hint="default" w:ascii="Times New Roman" w:hAnsi="Times New Roman" w:eastAsia="宋体" w:cs="Times New Roman"/>
                <w:snapToGrid w:val="0"/>
                <w:color w:val="auto"/>
                <w:kern w:val="2"/>
                <w:sz w:val="24"/>
                <w:szCs w:val="24"/>
                <w:highlight w:val="none"/>
              </w:rPr>
              <w:t>号塔附近、J14</w:t>
            </w:r>
            <w:r>
              <w:rPr>
                <w:rFonts w:hint="eastAsia" w:ascii="Times New Roman" w:hAnsi="Times New Roman" w:eastAsia="宋体" w:cs="Times New Roman"/>
                <w:snapToGrid w:val="0"/>
                <w:color w:val="auto"/>
                <w:kern w:val="2"/>
                <w:sz w:val="24"/>
                <w:szCs w:val="24"/>
                <w:highlight w:val="none"/>
                <w:lang w:eastAsia="zh-CN"/>
              </w:rPr>
              <w:t>（</w:t>
            </w:r>
            <w:r>
              <w:rPr>
                <w:rFonts w:hint="eastAsia" w:ascii="Times New Roman" w:hAnsi="Times New Roman" w:eastAsia="宋体" w:cs="Times New Roman"/>
                <w:snapToGrid w:val="0"/>
                <w:color w:val="auto"/>
                <w:kern w:val="2"/>
                <w:sz w:val="24"/>
                <w:szCs w:val="24"/>
                <w:highlight w:val="none"/>
                <w:lang w:val="en-US" w:eastAsia="zh-CN"/>
              </w:rPr>
              <w:t>N43号塔</w:t>
            </w:r>
            <w:r>
              <w:rPr>
                <w:rFonts w:hint="eastAsia" w:ascii="Times New Roman" w:hAnsi="Times New Roman" w:eastAsia="宋体" w:cs="Times New Roman"/>
                <w:snapToGrid w:val="0"/>
                <w:color w:val="auto"/>
                <w:kern w:val="2"/>
                <w:sz w:val="24"/>
                <w:szCs w:val="24"/>
                <w:highlight w:val="none"/>
                <w:lang w:eastAsia="zh-CN"/>
              </w:rPr>
              <w:t>）</w:t>
            </w:r>
            <w:r>
              <w:rPr>
                <w:rFonts w:hint="default" w:ascii="Times New Roman" w:hAnsi="Times New Roman" w:eastAsia="宋体" w:cs="Times New Roman"/>
                <w:snapToGrid w:val="0"/>
                <w:color w:val="auto"/>
                <w:kern w:val="2"/>
                <w:sz w:val="24"/>
                <w:szCs w:val="24"/>
                <w:highlight w:val="none"/>
              </w:rPr>
              <w:t>处附近、J15</w:t>
            </w:r>
            <w:r>
              <w:rPr>
                <w:rFonts w:hint="eastAsia" w:ascii="Times New Roman" w:hAnsi="Times New Roman" w:eastAsia="宋体" w:cs="Times New Roman"/>
                <w:snapToGrid w:val="0"/>
                <w:color w:val="auto"/>
                <w:kern w:val="2"/>
                <w:sz w:val="24"/>
                <w:szCs w:val="24"/>
                <w:highlight w:val="none"/>
                <w:lang w:eastAsia="zh-CN"/>
              </w:rPr>
              <w:t>（</w:t>
            </w:r>
            <w:r>
              <w:rPr>
                <w:rFonts w:hint="eastAsia" w:ascii="Times New Roman" w:hAnsi="Times New Roman" w:eastAsia="宋体" w:cs="Times New Roman"/>
                <w:snapToGrid w:val="0"/>
                <w:color w:val="auto"/>
                <w:kern w:val="2"/>
                <w:sz w:val="24"/>
                <w:szCs w:val="24"/>
                <w:highlight w:val="none"/>
                <w:lang w:val="en-US" w:eastAsia="zh-CN"/>
              </w:rPr>
              <w:t>N55号塔</w:t>
            </w:r>
            <w:r>
              <w:rPr>
                <w:rFonts w:hint="eastAsia" w:ascii="Times New Roman" w:hAnsi="Times New Roman" w:eastAsia="宋体" w:cs="Times New Roman"/>
                <w:snapToGrid w:val="0"/>
                <w:color w:val="auto"/>
                <w:kern w:val="2"/>
                <w:sz w:val="24"/>
                <w:szCs w:val="24"/>
                <w:highlight w:val="none"/>
                <w:lang w:eastAsia="zh-CN"/>
              </w:rPr>
              <w:t>）</w:t>
            </w:r>
            <w:r>
              <w:rPr>
                <w:rFonts w:hint="default" w:ascii="Times New Roman" w:hAnsi="Times New Roman" w:eastAsia="宋体" w:cs="Times New Roman"/>
                <w:snapToGrid w:val="0"/>
                <w:color w:val="auto"/>
                <w:kern w:val="2"/>
                <w:sz w:val="24"/>
                <w:szCs w:val="24"/>
                <w:highlight w:val="none"/>
              </w:rPr>
              <w:t>处附近），牵张场全部位于</w:t>
            </w:r>
            <w:r>
              <w:rPr>
                <w:rFonts w:hint="default" w:ascii="Times New Roman" w:hAnsi="Times New Roman" w:eastAsia="宋体" w:cs="Times New Roman"/>
                <w:bCs/>
                <w:color w:val="auto"/>
                <w:sz w:val="24"/>
                <w:szCs w:val="24"/>
                <w:highlight w:val="none"/>
              </w:rPr>
              <w:t>河北滦河上游国家级自然保护区，</w:t>
            </w:r>
            <w:r>
              <w:rPr>
                <w:rFonts w:hint="default" w:ascii="Times New Roman" w:hAnsi="Times New Roman" w:eastAsia="宋体" w:cs="Times New Roman"/>
                <w:snapToGrid w:val="0"/>
                <w:color w:val="auto"/>
                <w:kern w:val="2"/>
                <w:sz w:val="24"/>
                <w:szCs w:val="24"/>
                <w:highlight w:val="none"/>
              </w:rPr>
              <w:t>每处占地面积1000m</w:t>
            </w:r>
            <w:r>
              <w:rPr>
                <w:rFonts w:hint="default" w:ascii="Times New Roman" w:hAnsi="Times New Roman" w:eastAsia="宋体" w:cs="Times New Roman"/>
                <w:snapToGrid w:val="0"/>
                <w:color w:val="auto"/>
                <w:kern w:val="2"/>
                <w:sz w:val="24"/>
                <w:szCs w:val="24"/>
                <w:highlight w:val="none"/>
                <w:vertAlign w:val="superscript"/>
              </w:rPr>
              <w:t>2</w:t>
            </w:r>
            <w:r>
              <w:rPr>
                <w:rFonts w:hint="default" w:ascii="Times New Roman" w:hAnsi="Times New Roman" w:eastAsia="宋体" w:cs="Times New Roman"/>
                <w:snapToGrid w:val="0"/>
                <w:color w:val="auto"/>
                <w:kern w:val="2"/>
                <w:sz w:val="24"/>
                <w:szCs w:val="24"/>
                <w:highlight w:val="none"/>
              </w:rPr>
              <w:t>，属临时占地。牵张场占地合计5000m</w:t>
            </w:r>
            <w:r>
              <w:rPr>
                <w:rFonts w:hint="default" w:ascii="Times New Roman" w:hAnsi="Times New Roman" w:eastAsia="宋体" w:cs="Times New Roman"/>
                <w:snapToGrid w:val="0"/>
                <w:color w:val="auto"/>
                <w:kern w:val="2"/>
                <w:sz w:val="24"/>
                <w:szCs w:val="24"/>
                <w:highlight w:val="none"/>
                <w:vertAlign w:val="superscript"/>
              </w:rPr>
              <w:t>2</w:t>
            </w:r>
            <w:r>
              <w:rPr>
                <w:rFonts w:hint="default" w:ascii="Times New Roman" w:hAnsi="Times New Roman" w:eastAsia="宋体" w:cs="Times New Roman"/>
                <w:snapToGrid w:val="0"/>
                <w:color w:val="auto"/>
                <w:kern w:val="2"/>
                <w:sz w:val="24"/>
                <w:szCs w:val="24"/>
                <w:highlight w:val="none"/>
              </w:rPr>
              <w:t>。</w:t>
            </w:r>
          </w:p>
          <w:p w14:paraId="0541FD14">
            <w:pPr>
              <w:autoSpaceDE/>
              <w:autoSpaceDN/>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2、施工营地的布设</w:t>
            </w:r>
          </w:p>
          <w:p w14:paraId="4F9692AD">
            <w:pPr>
              <w:autoSpaceDE/>
              <w:autoSpaceDN/>
              <w:adjustRightInd w:val="0"/>
              <w:snapToGrid w:val="0"/>
              <w:spacing w:line="360" w:lineRule="auto"/>
              <w:ind w:firstLine="480"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highlight w:val="none"/>
              </w:rPr>
              <w:t>本项目租住附近民房，不设置施工营地，不需设置取土场、弃土场。</w:t>
            </w:r>
          </w:p>
        </w:tc>
      </w:tr>
      <w:tr w14:paraId="49836A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4" w:hRule="atLeast"/>
        </w:trPr>
        <w:tc>
          <w:tcPr>
            <w:tcW w:w="388" w:type="dxa"/>
            <w:tcBorders>
              <w:top w:val="single" w:color="000000" w:sz="4" w:space="0"/>
              <w:bottom w:val="single" w:color="000000" w:sz="4" w:space="0"/>
              <w:right w:val="single" w:color="000000" w:sz="4" w:space="0"/>
            </w:tcBorders>
            <w:vAlign w:val="center"/>
          </w:tcPr>
          <w:p w14:paraId="4D8A0E48">
            <w:pPr>
              <w:pStyle w:val="41"/>
              <w:spacing w:line="360" w:lineRule="auto"/>
              <w:ind w:right="79"/>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施工方案</w:t>
            </w:r>
          </w:p>
        </w:tc>
        <w:tc>
          <w:tcPr>
            <w:tcW w:w="8596" w:type="dxa"/>
            <w:tcBorders>
              <w:top w:val="single" w:color="000000" w:sz="4" w:space="0"/>
              <w:left w:val="single" w:color="000000" w:sz="4" w:space="0"/>
              <w:bottom w:val="single" w:color="000000" w:sz="4" w:space="0"/>
            </w:tcBorders>
          </w:tcPr>
          <w:p w14:paraId="4452CDC7">
            <w:pPr>
              <w:snapToGrid w:val="0"/>
              <w:spacing w:line="480" w:lineRule="exact"/>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bCs/>
                <w:color w:val="auto"/>
                <w:spacing w:val="-1"/>
                <w:sz w:val="24"/>
                <w:szCs w:val="24"/>
                <w:highlight w:val="none"/>
              </w:rPr>
              <w:t>一</w:t>
            </w:r>
            <w:r>
              <w:rPr>
                <w:rFonts w:hint="default" w:ascii="Times New Roman" w:hAnsi="Times New Roman" w:eastAsia="宋体" w:cs="Times New Roman"/>
                <w:b/>
                <w:bCs/>
                <w:color w:val="auto"/>
                <w:sz w:val="24"/>
                <w:szCs w:val="24"/>
                <w:highlight w:val="none"/>
              </w:rPr>
              <w:t>、施工期</w:t>
            </w:r>
            <w:r>
              <w:rPr>
                <w:rFonts w:hint="default" w:ascii="Times New Roman" w:hAnsi="Times New Roman" w:eastAsia="宋体" w:cs="Times New Roman"/>
                <w:b/>
                <w:color w:val="auto"/>
                <w:sz w:val="24"/>
                <w:szCs w:val="24"/>
                <w:highlight w:val="none"/>
              </w:rPr>
              <w:t>工艺流程简述（图示）</w:t>
            </w:r>
          </w:p>
          <w:p w14:paraId="37AD1B2B">
            <w:pPr>
              <w:autoSpaceDE/>
              <w:autoSpaceDN/>
              <w:adjustRightInd w:val="0"/>
              <w:spacing w:line="460" w:lineRule="exact"/>
              <w:ind w:firstLine="480"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pacing w:val="-1"/>
                <w:sz w:val="24"/>
                <w:szCs w:val="24"/>
                <w:highlight w:val="none"/>
              </w:rPr>
              <w:t>、施工工艺和方法</w:t>
            </w:r>
          </w:p>
          <w:p w14:paraId="06F80C3A">
            <w:pPr>
              <w:autoSpaceDE/>
              <w:autoSpaceDN/>
              <w:adjustRightInd w:val="0"/>
              <w:spacing w:line="460" w:lineRule="exact"/>
              <w:ind w:firstLine="476"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（1）架空线路</w:t>
            </w:r>
          </w:p>
          <w:p w14:paraId="74F9CB1C">
            <w:pPr>
              <w:autoSpaceDE/>
              <w:autoSpaceDN/>
              <w:adjustRightInd w:val="0"/>
              <w:spacing w:line="460" w:lineRule="exact"/>
              <w:ind w:firstLine="476"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a.塔基施工</w:t>
            </w:r>
          </w:p>
          <w:p w14:paraId="2DF1DA4C">
            <w:pPr>
              <w:autoSpaceDE/>
              <w:autoSpaceDN/>
              <w:adjustRightInd w:val="0"/>
              <w:spacing w:line="460" w:lineRule="exact"/>
              <w:ind w:firstLine="476"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杆塔建设所使用材料采用汽车运输方式运送到施工处附近。本项目线路全线采用常规基础。施工用混凝土均为外购商品混凝土，不在现场进行搅拌。</w:t>
            </w:r>
          </w:p>
          <w:p w14:paraId="32506975">
            <w:pPr>
              <w:autoSpaceDE/>
              <w:autoSpaceDN/>
              <w:adjustRightInd w:val="0"/>
              <w:spacing w:line="460" w:lineRule="exact"/>
              <w:ind w:firstLine="476"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b.组塔施工</w:t>
            </w:r>
          </w:p>
          <w:p w14:paraId="51EA6ACB">
            <w:pPr>
              <w:autoSpaceDE/>
              <w:autoSpaceDN/>
              <w:adjustRightInd w:val="0"/>
              <w:spacing w:line="460" w:lineRule="exact"/>
              <w:ind w:firstLine="476"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杆塔组立分为整体组立和分解组立两大类。采用整体组立杆塔施工工艺，须先在地面对杆塔进行整体组装，从而减少高空作业，提高施工效率，并且有利于安全作业，提高经济效益。但整体组立杆塔容易受地形条件、铁塔型式和起吊设备的限制，此种情况下，可采用杆塔分解组立的施工方法。本项目杆塔在建设过程中，根据具体杆塔所处的地形条件和杆塔型式采用适宜的施工方法。</w:t>
            </w:r>
          </w:p>
          <w:p w14:paraId="290FDDEA">
            <w:pPr>
              <w:autoSpaceDE/>
              <w:autoSpaceDN/>
              <w:adjustRightInd w:val="0"/>
              <w:spacing w:line="460" w:lineRule="exact"/>
              <w:ind w:firstLine="476"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c.架线施工</w:t>
            </w:r>
          </w:p>
          <w:p w14:paraId="60C130A0">
            <w:pPr>
              <w:autoSpaceDE/>
              <w:autoSpaceDN/>
              <w:adjustRightInd w:val="0"/>
              <w:spacing w:line="460" w:lineRule="exact"/>
              <w:ind w:firstLine="476"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各线路导、地线均采用张力放线施工方法，防止在放线过程中导、地线落地拖拉及相互摩擦。采用张力放线施工时需设置牵张场地，一般利用当地道路；当塔位离施工道路较远或不能满足要求时，根据工程实际情况设置牵张设备、布置导线及施工操作等要求，在施工结束后，牵张场地等临时占地恢复原来使用功能。</w:t>
            </w:r>
          </w:p>
          <w:p w14:paraId="6E734310">
            <w:pPr>
              <w:autoSpaceDE/>
              <w:autoSpaceDN/>
              <w:adjustRightInd w:val="0"/>
              <w:spacing w:line="460" w:lineRule="exact"/>
              <w:ind w:firstLine="476"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本项目输电线路架线施工将跨越各类基础设施，主要包括：电力线、通信线等。本项目架线采用张力放线施工方法，张力架线全过程中导(地)线是架空状态的，一旦发生张力失控，导(地)线将落至被跨越设施，从而对被跨越设施产生影响。因此，目前跨越架线施工一般采用跨越架施工方式，通过在被跨越设施两侧设立跨越架，跨越架之间架设承力索，通过承力索进行封顶网安装，有效遮护被跨越物，起到保护被跨越物作用。应用跨越架的结构形式有：木(竹)质结构跨越架、悬索式跨越架。</w:t>
            </w:r>
          </w:p>
          <w:p w14:paraId="56E0ADF4">
            <w:pPr>
              <w:autoSpaceDE/>
              <w:autoSpaceDN/>
              <w:adjustRightInd w:val="0"/>
              <w:spacing w:line="460" w:lineRule="exact"/>
              <w:ind w:firstLine="476"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I.木(竹)质结构跨越架</w:t>
            </w:r>
          </w:p>
          <w:p w14:paraId="047E4E46">
            <w:pPr>
              <w:autoSpaceDE/>
              <w:autoSpaceDN/>
              <w:adjustRightInd w:val="0"/>
              <w:spacing w:line="460" w:lineRule="exact"/>
              <w:ind w:firstLine="476"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用经纬仪测出线路与被跨越设施交叉的中心点，定出两侧跨越架的设置位置。跨越架横向中心线必须在线路的中心线上。于指定地点安装木(竹)质结构跨越架，跨越架体搭设完成后，用钢丝绳连接成一体加强跨越架的稳定性，同时钢丝绳作为封顶网的承力索。在承托线上铺封顶网(麻绳或尼龙绳编织)并作为展放导地线的滑道。跨越架线完成后，及时拆除跨越架。</w:t>
            </w:r>
          </w:p>
          <w:p w14:paraId="7C8D84BB">
            <w:pPr>
              <w:autoSpaceDE/>
              <w:autoSpaceDN/>
              <w:adjustRightInd w:val="0"/>
              <w:spacing w:line="460" w:lineRule="exact"/>
              <w:ind w:firstLine="476"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II.悬索式跨越架</w:t>
            </w:r>
          </w:p>
          <w:p w14:paraId="5C29E7B4">
            <w:pPr>
              <w:autoSpaceDE/>
              <w:autoSpaceDN/>
              <w:adjustRightInd w:val="0"/>
              <w:spacing w:line="460" w:lineRule="exact"/>
              <w:ind w:firstLine="476"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主要是利用被跨越设施两侧跨越塔做支撑，在两塔之间架设承力索，通过承力索进行封顶网安装有效遮护被跨越物，起到保护被跨越物作用。</w:t>
            </w:r>
          </w:p>
          <w:p w14:paraId="4EAAC246">
            <w:pPr>
              <w:autoSpaceDE/>
              <w:autoSpaceDN/>
              <w:adjustRightInd w:val="0"/>
              <w:spacing w:line="460" w:lineRule="exact"/>
              <w:ind w:firstLine="476"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线路工程跨越施工时，应对被跨越设施进行现场调查，了解跨越地形条件、跨越设施的位置、跨越物的重要程度等内容，选用合适的跨越方式进行施工，不会对跨越设施产生影响。</w:t>
            </w:r>
          </w:p>
          <w:p w14:paraId="07EBE820">
            <w:pPr>
              <w:autoSpaceDE/>
              <w:autoSpaceDN/>
              <w:adjustRightInd w:val="0"/>
              <w:spacing w:line="460" w:lineRule="exact"/>
              <w:ind w:firstLine="476"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线路施工流程见下图。</w:t>
            </w:r>
          </w:p>
          <w:p w14:paraId="0034CE4C">
            <w:pPr>
              <w:autoSpaceDE/>
              <w:autoSpaceDN/>
              <w:adjustRightInd w:val="0"/>
              <w:jc w:val="center"/>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zCs w:val="21"/>
                <w:highlight w:val="none"/>
              </w:rPr>
              <w:drawing>
                <wp:inline distT="0" distB="0" distL="114300" distR="114300">
                  <wp:extent cx="5292725" cy="1193165"/>
                  <wp:effectExtent l="0" t="0" r="3175" b="6985"/>
                  <wp:docPr id="4" name="图片 2" descr="线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线路"/>
                          <pic:cNvPicPr>
                            <a:picLocks noChangeAspect="1"/>
                          </pic:cNvPicPr>
                        </pic:nvPicPr>
                        <pic:blipFill>
                          <a:blip r:embed="rId10"/>
                          <a:srcRect t="5772" r="-95" b="10764"/>
                          <a:stretch>
                            <a:fillRect/>
                          </a:stretch>
                        </pic:blipFill>
                        <pic:spPr>
                          <a:xfrm>
                            <a:off x="0" y="0"/>
                            <a:ext cx="5292725" cy="1193165"/>
                          </a:xfrm>
                          <a:prstGeom prst="rect">
                            <a:avLst/>
                          </a:prstGeom>
                          <a:noFill/>
                          <a:ln>
                            <a:noFill/>
                          </a:ln>
                        </pic:spPr>
                      </pic:pic>
                    </a:graphicData>
                  </a:graphic>
                </wp:inline>
              </w:drawing>
            </w:r>
          </w:p>
          <w:p w14:paraId="04DAF5B5">
            <w:pPr>
              <w:autoSpaceDE/>
              <w:autoSpaceDN/>
              <w:adjustRightInd w:val="0"/>
              <w:spacing w:line="480" w:lineRule="exact"/>
              <w:ind w:firstLine="418" w:firstLineChars="200"/>
              <w:jc w:val="center"/>
              <w:textAlignment w:val="baseline"/>
              <w:rPr>
                <w:rFonts w:hint="default" w:ascii="Times New Roman" w:hAnsi="Times New Roman" w:eastAsia="宋体" w:cs="Times New Roman"/>
                <w:b/>
                <w:bCs/>
                <w:color w:val="auto"/>
                <w:spacing w:val="-1"/>
                <w:sz w:val="21"/>
                <w:szCs w:val="21"/>
                <w:highlight w:val="none"/>
              </w:rPr>
            </w:pPr>
            <w:r>
              <w:rPr>
                <w:rFonts w:hint="default" w:ascii="Times New Roman" w:hAnsi="Times New Roman" w:eastAsia="宋体" w:cs="Times New Roman"/>
                <w:b/>
                <w:bCs/>
                <w:color w:val="auto"/>
                <w:spacing w:val="-1"/>
                <w:sz w:val="21"/>
                <w:szCs w:val="21"/>
                <w:highlight w:val="none"/>
              </w:rPr>
              <w:t>图2-1    架空线路施工流程图</w:t>
            </w:r>
          </w:p>
          <w:p w14:paraId="5F10C7CB">
            <w:pPr>
              <w:autoSpaceDE/>
              <w:autoSpaceDN/>
              <w:adjustRightInd w:val="0"/>
              <w:spacing w:line="480" w:lineRule="exact"/>
              <w:ind w:firstLine="476"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（2）保护区段施工工艺</w:t>
            </w:r>
          </w:p>
          <w:p w14:paraId="21CD90F3">
            <w:pPr>
              <w:autoSpaceDE/>
              <w:autoSpaceDN/>
              <w:adjustRightInd w:val="0"/>
              <w:spacing w:line="480" w:lineRule="exact"/>
              <w:ind w:firstLine="476"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a.塔基开挖</w:t>
            </w:r>
          </w:p>
          <w:p w14:paraId="663E7193">
            <w:pPr>
              <w:autoSpaceDE/>
              <w:autoSpaceDN/>
              <w:adjustRightInd w:val="0"/>
              <w:spacing w:line="480" w:lineRule="exact"/>
              <w:ind w:firstLine="476"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塔基等建筑材料采取人工或者牲畜运输，基础施工也采取人工分层开挖。每个塔基开挖4个直径80cm深4m的圆柱形土坑，单个塔基的开挖土方大概为2m</w:t>
            </w:r>
            <w:r>
              <w:rPr>
                <w:rFonts w:hint="default" w:ascii="Times New Roman" w:hAnsi="Times New Roman" w:eastAsia="宋体" w:cs="Times New Roman"/>
                <w:color w:val="auto"/>
                <w:spacing w:val="-1"/>
                <w:sz w:val="24"/>
                <w:szCs w:val="24"/>
                <w:highlight w:val="none"/>
                <w:vertAlign w:val="superscript"/>
              </w:rPr>
              <w:t>3</w:t>
            </w:r>
            <w:r>
              <w:rPr>
                <w:rFonts w:hint="default" w:ascii="Times New Roman" w:hAnsi="Times New Roman" w:eastAsia="宋体" w:cs="Times New Roman"/>
                <w:color w:val="auto"/>
                <w:spacing w:val="-1"/>
                <w:sz w:val="24"/>
                <w:szCs w:val="24"/>
                <w:highlight w:val="none"/>
              </w:rPr>
              <w:t>，由人工搅拌水泥浇筑，开挖土方均在塔基占地范围内的合理位置填埋。</w:t>
            </w:r>
          </w:p>
          <w:p w14:paraId="0497F032">
            <w:pPr>
              <w:autoSpaceDE/>
              <w:autoSpaceDN/>
              <w:adjustRightInd w:val="0"/>
              <w:spacing w:line="480" w:lineRule="exact"/>
              <w:ind w:firstLine="476"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b.组塔</w:t>
            </w:r>
          </w:p>
          <w:p w14:paraId="53E64ED5">
            <w:pPr>
              <w:autoSpaceDE/>
              <w:autoSpaceDN/>
              <w:adjustRightInd w:val="0"/>
              <w:spacing w:line="480" w:lineRule="exact"/>
              <w:ind w:firstLine="476"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根据《国家电网公司关于印发标准化建设成果（35～750kV输变电工程通用设计、通用设备）应用目录（2016年版）的通知》，本次工程线路位于围场县，属于山地项目，塔型选择采用高低腿铁塔，尽量减少占地和土方开挖量。塔基的建构材料由牲畜运输到占地范围内，由人工的方式进行组装，减少对保护区环境的破坏。保护区内涉及转角塔13座，直角塔10座。</w:t>
            </w:r>
          </w:p>
          <w:p w14:paraId="456B22B6">
            <w:pPr>
              <w:autoSpaceDE/>
              <w:autoSpaceDN/>
              <w:adjustRightInd w:val="0"/>
              <w:spacing w:line="480" w:lineRule="exact"/>
              <w:ind w:firstLine="476"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c.架线工艺</w:t>
            </w:r>
          </w:p>
          <w:p w14:paraId="3A1F7815">
            <w:pPr>
              <w:autoSpaceDE/>
              <w:autoSpaceDN/>
              <w:adjustRightInd w:val="0"/>
              <w:spacing w:line="480" w:lineRule="exact"/>
              <w:ind w:firstLine="476"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架线施工时采用张力架线，施工过程中钢丝绳及导线始终不落地，效率高，速度快，对保护区影响小。初级导引绳采用无人机不落地展放，全程不砍伐通道。在展放过程中，利用无人机牵引初级导引绳逐基通过放线段塔顶，塔上人员通过专用工具将初级导引绳置入塔顶的朝天滑车轮槽中，逐次完成每基塔的操作。后续各级引绳及导地线通近逐级牵引及分相移位全过程带张力展放。</w:t>
            </w:r>
          </w:p>
          <w:p w14:paraId="644EA0E8">
            <w:pPr>
              <w:autoSpaceDE/>
              <w:autoSpaceDN/>
              <w:adjustRightInd w:val="0"/>
              <w:spacing w:line="480" w:lineRule="exact"/>
              <w:ind w:firstLine="476"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2、施工时序及建设周期</w:t>
            </w:r>
          </w:p>
          <w:p w14:paraId="377FD7F9">
            <w:pPr>
              <w:autoSpaceDE/>
              <w:autoSpaceDN/>
              <w:adjustRightInd w:val="0"/>
              <w:spacing w:line="480" w:lineRule="exact"/>
              <w:ind w:firstLine="476"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建设内容主要包括施工准备、塔基施工、组塔施工、架线施工、验收消缺、运行等。整个项目建设周期为4个月。</w:t>
            </w:r>
          </w:p>
          <w:p w14:paraId="3E8D3051">
            <w:pPr>
              <w:autoSpaceDE/>
              <w:autoSpaceDN/>
              <w:adjustRightInd w:val="0"/>
              <w:spacing w:line="480" w:lineRule="exact"/>
              <w:ind w:firstLine="476" w:firstLineChars="200"/>
              <w:textAlignment w:val="baseline"/>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pacing w:val="-1"/>
                <w:sz w:val="24"/>
                <w:szCs w:val="24"/>
                <w:highlight w:val="none"/>
              </w:rPr>
              <w:t>施工准备期10天，塔基施工60天，组塔、架线施工约35天，验收消缺、试运行约15天。</w:t>
            </w:r>
          </w:p>
        </w:tc>
      </w:tr>
      <w:tr w14:paraId="381FE6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4" w:hRule="atLeast"/>
        </w:trPr>
        <w:tc>
          <w:tcPr>
            <w:tcW w:w="388" w:type="dxa"/>
            <w:tcBorders>
              <w:top w:val="single" w:color="000000" w:sz="4" w:space="0"/>
              <w:right w:val="single" w:color="000000" w:sz="4" w:space="0"/>
            </w:tcBorders>
            <w:vAlign w:val="center"/>
          </w:tcPr>
          <w:p w14:paraId="51994029">
            <w:pPr>
              <w:pStyle w:val="41"/>
              <w:spacing w:line="48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其他</w:t>
            </w:r>
          </w:p>
        </w:tc>
        <w:tc>
          <w:tcPr>
            <w:tcW w:w="8596" w:type="dxa"/>
            <w:tcBorders>
              <w:top w:val="single" w:color="000000" w:sz="4" w:space="0"/>
              <w:left w:val="single" w:color="000000" w:sz="4" w:space="0"/>
            </w:tcBorders>
            <w:vAlign w:val="center"/>
          </w:tcPr>
          <w:p w14:paraId="7F3F3D4E">
            <w:pPr>
              <w:spacing w:line="48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无</w:t>
            </w:r>
          </w:p>
        </w:tc>
      </w:tr>
    </w:tbl>
    <w:p w14:paraId="057F9127">
      <w:pPr>
        <w:spacing w:line="345" w:lineRule="exact"/>
        <w:rPr>
          <w:rFonts w:hint="default" w:ascii="Times New Roman" w:hAnsi="Times New Roman" w:eastAsia="宋体" w:cs="Times New Roman"/>
          <w:color w:val="auto"/>
          <w:sz w:val="21"/>
          <w:highlight w:val="none"/>
        </w:rPr>
        <w:sectPr>
          <w:pgSz w:w="11910" w:h="16840"/>
          <w:pgMar w:top="1580" w:right="1320" w:bottom="1000" w:left="1340" w:header="0" w:footer="907" w:gutter="0"/>
          <w:cols w:space="720" w:num="1"/>
        </w:sectPr>
      </w:pPr>
    </w:p>
    <w:p w14:paraId="01B9414B">
      <w:pPr>
        <w:pStyle w:val="12"/>
        <w:spacing w:line="550" w:lineRule="exact"/>
        <w:ind w:left="635" w:right="652"/>
        <w:jc w:val="center"/>
        <w:outlineLvl w:val="0"/>
        <w:rPr>
          <w:rFonts w:hint="default" w:ascii="Times New Roman" w:hAnsi="Times New Roman" w:eastAsia="宋体" w:cs="Times New Roman"/>
          <w:color w:val="auto"/>
          <w:highlight w:val="none"/>
        </w:rPr>
      </w:pPr>
      <w:bookmarkStart w:id="3" w:name="_Toc150930988"/>
      <w:r>
        <w:rPr>
          <w:rFonts w:hint="default" w:ascii="Times New Roman" w:hAnsi="Times New Roman" w:eastAsia="宋体" w:cs="Times New Roman"/>
          <w:color w:val="auto"/>
          <w:highlight w:val="none"/>
        </w:rPr>
        <w:t>三、生态环境现状、保护目标及评价标准</w:t>
      </w:r>
      <w:bookmarkEnd w:id="3"/>
    </w:p>
    <w:p w14:paraId="3B0A9810">
      <w:pPr>
        <w:pStyle w:val="12"/>
        <w:spacing w:before="5"/>
        <w:rPr>
          <w:rFonts w:hint="default" w:ascii="Times New Roman" w:hAnsi="Times New Roman" w:eastAsia="宋体" w:cs="Times New Roman"/>
          <w:color w:val="auto"/>
          <w:sz w:val="8"/>
          <w:highlight w:val="none"/>
        </w:rPr>
      </w:pPr>
    </w:p>
    <w:tbl>
      <w:tblPr>
        <w:tblStyle w:val="39"/>
        <w:tblW w:w="9130" w:type="dxa"/>
        <w:tblInd w:w="1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08"/>
        <w:gridCol w:w="8522"/>
      </w:tblGrid>
      <w:tr w14:paraId="0A5D45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4" w:hRule="atLeast"/>
        </w:trPr>
        <w:tc>
          <w:tcPr>
            <w:tcW w:w="608" w:type="dxa"/>
            <w:tcBorders>
              <w:bottom w:val="single" w:color="000000" w:sz="4" w:space="0"/>
              <w:right w:val="single" w:color="000000" w:sz="4" w:space="0"/>
            </w:tcBorders>
            <w:vAlign w:val="center"/>
          </w:tcPr>
          <w:p w14:paraId="20787209">
            <w:pPr>
              <w:pStyle w:val="41"/>
              <w:spacing w:line="480" w:lineRule="exact"/>
              <w:ind w:right="79"/>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生态环境现状</w:t>
            </w:r>
          </w:p>
        </w:tc>
        <w:tc>
          <w:tcPr>
            <w:tcW w:w="8522" w:type="dxa"/>
            <w:tcBorders>
              <w:left w:val="single" w:color="000000" w:sz="4" w:space="0"/>
              <w:bottom w:val="single" w:color="000000" w:sz="4" w:space="0"/>
            </w:tcBorders>
          </w:tcPr>
          <w:p w14:paraId="47BB940B">
            <w:pPr>
              <w:pStyle w:val="116"/>
              <w:ind w:firstLine="482"/>
              <w:rPr>
                <w:rFonts w:hint="default" w:ascii="Times New Roman" w:hAnsi="Times New Roman" w:cs="Times New Roman"/>
                <w:b/>
                <w:bCs/>
                <w:color w:val="auto"/>
                <w:highlight w:val="none"/>
              </w:rPr>
            </w:pPr>
            <w:bookmarkStart w:id="4" w:name="_Toc1920_WPSOffice_Level2"/>
            <w:bookmarkStart w:id="5" w:name="_Toc57358892"/>
            <w:bookmarkStart w:id="6" w:name="_Toc6567_WPSOffice_Level2"/>
            <w:bookmarkStart w:id="7" w:name="_Toc28699"/>
            <w:bookmarkStart w:id="8" w:name="_Toc3316"/>
            <w:r>
              <w:rPr>
                <w:rFonts w:hint="default" w:ascii="Times New Roman" w:hAnsi="Times New Roman" w:cs="Times New Roman"/>
                <w:b/>
                <w:bCs/>
                <w:color w:val="auto"/>
                <w:highlight w:val="none"/>
              </w:rPr>
              <w:t>1、主体功能区划</w:t>
            </w:r>
          </w:p>
          <w:p w14:paraId="022B3C7F">
            <w:pPr>
              <w:pStyle w:val="124"/>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（1）全国主体功能规划</w:t>
            </w:r>
          </w:p>
          <w:p w14:paraId="4FBC8716">
            <w:pPr>
              <w:pStyle w:val="124"/>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评价区域在</w:t>
            </w:r>
            <w:r>
              <w:rPr>
                <w:rFonts w:hint="default" w:ascii="Times New Roman" w:hAnsi="Times New Roman" w:eastAsia="宋体" w:cs="Times New Roman"/>
                <w:color w:val="auto"/>
                <w:szCs w:val="24"/>
                <w:highlight w:val="none"/>
                <w:shd w:val="clear" w:color="auto" w:fill="FFFFFF"/>
              </w:rPr>
              <w:t>《全国主体功能区规划》</w:t>
            </w:r>
            <w:r>
              <w:rPr>
                <w:rFonts w:hint="default" w:ascii="Times New Roman" w:hAnsi="Times New Roman" w:eastAsia="宋体" w:cs="Times New Roman"/>
                <w:color w:val="auto"/>
                <w:highlight w:val="none"/>
              </w:rPr>
              <w:t>中，属于限制开发区域（重点生态功能区）-浑善达克沙漠化防治生态功能区和禁止开发区域-河北滦河上游国家级自然保护区：</w:t>
            </w:r>
          </w:p>
          <w:p w14:paraId="0E97449E">
            <w:pPr>
              <w:pStyle w:val="124"/>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①限制开发区域</w:t>
            </w:r>
          </w:p>
          <w:p w14:paraId="5C3021E9">
            <w:pPr>
              <w:pStyle w:val="124"/>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综合评价：以固定、半固定沙丘为主，干旱频发，多大风天气，是北京乃至华北地区沙尘的主要来源地。目前土地沙化严重，干旱缺水，对华北地区生态安全构成威胁。</w:t>
            </w:r>
          </w:p>
          <w:p w14:paraId="3D91D08B">
            <w:pPr>
              <w:pStyle w:val="124"/>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发展方向：采取植物和工程措施，加强综合治理。</w:t>
            </w:r>
          </w:p>
          <w:p w14:paraId="1DFA49BA">
            <w:pPr>
              <w:pStyle w:val="124"/>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开发管制原则：</w:t>
            </w:r>
          </w:p>
          <w:p w14:paraId="25EB2742">
            <w:pPr>
              <w:pStyle w:val="124"/>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——对各类开发活动进行严格管制，尽可能减少对自然生态系统的干扰，不得损害生态系统的稳定和完整性。</w:t>
            </w:r>
          </w:p>
          <w:p w14:paraId="494DDBC7">
            <w:pPr>
              <w:pStyle w:val="124"/>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开发矿产资源、发展适宜产业和建设基础设施，都要控制在尽可能小的空间范围之内，并做到天然草地、林地、水库水面、河流水面、湖泊水面等绿色生态空间面积不减少。控制新增公路、铁路建设规模，必须新建的，应事先规划好动物迁徙通道。在有条件的地区之间，要通过水系、绿带等构建生态廊道，避免形成“生态孤岛”。</w:t>
            </w:r>
          </w:p>
          <w:p w14:paraId="4AF5421A">
            <w:pPr>
              <w:pStyle w:val="124"/>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严格控制开发强度，逐步减少农村居民点占用的空间，腾出更多的空间用于维系生态系统的良性循环。城镇建设与工业开发要依托现有资源环境承载能力相对较强的城镇集中布局、据点式开发，禁止成片蔓延式扩张。原则上不再新建各类开发区和扩大现有工业开发区的面积，已有的工业开发区要逐步改造成为低消耗、可循环、少排放、“零污染”的生态型工业区。</w:t>
            </w:r>
          </w:p>
          <w:p w14:paraId="3DF5ACFF">
            <w:pPr>
              <w:pStyle w:val="124"/>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实行更加严格的产业准入环境标准，严把项目准入关。在不损害生态系统功能的前提下，因地制宜地适度发展旅游、农林牧产品生产和加工、观光休闲农业等产业，积极发展服务业，根据不同地区的情况，保持一定的经济增长速度和财政自给能力。</w:t>
            </w:r>
          </w:p>
          <w:p w14:paraId="14FA8C67">
            <w:pPr>
              <w:pStyle w:val="124"/>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现有城镇布局基础上进一步集约开发、集中建设，重点规划和建设资源环境承载能力相对较强的县城和中心镇，提高综合承载能力。引导一部分人口向城市化地区转移，一部分人口向区域内的县城和中心镇转移。生态移民点应尽量集中布局到县城和中心镇，避免新建孤立的村落式移民社区。</w:t>
            </w:r>
          </w:p>
          <w:p w14:paraId="6AE9161F">
            <w:pPr>
              <w:pStyle w:val="124"/>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——加强县城和中心镇的道路、供排水、垃圾污水处理等基础设施建设。在条件适宜的地区，</w:t>
            </w:r>
            <w:r>
              <w:rPr>
                <w:rFonts w:hint="default" w:ascii="Times New Roman" w:hAnsi="Times New Roman" w:eastAsia="宋体" w:cs="Times New Roman"/>
                <w:b/>
                <w:bCs/>
                <w:color w:val="auto"/>
                <w:highlight w:val="none"/>
              </w:rPr>
              <w:t>积极推广沼气、风能、太阳能、地热能等清洁能源，努力解决农村特别是山区、高原、草原和海岛地区农村的能源需求</w:t>
            </w:r>
            <w:r>
              <w:rPr>
                <w:rFonts w:hint="default" w:ascii="Times New Roman" w:hAnsi="Times New Roman" w:eastAsia="宋体" w:cs="Times New Roman"/>
                <w:color w:val="auto"/>
                <w:highlight w:val="none"/>
              </w:rPr>
              <w:t>。在有条件的地区建设一批节能环保的生态型社区。健全公共服务体系，改善教育、医疗、文化等设施条件，提高公共服务供给能力和水平。</w:t>
            </w:r>
          </w:p>
          <w:p w14:paraId="0B0280C7">
            <w:pPr>
              <w:pStyle w:val="124"/>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②国家禁止开发区域</w:t>
            </w:r>
          </w:p>
          <w:p w14:paraId="7A12F9C7">
            <w:pPr>
              <w:pStyle w:val="124"/>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功能定位：我国保护自然文化资源的重要区域，珍稀动植物基因资源保护地。</w:t>
            </w:r>
          </w:p>
          <w:p w14:paraId="45053CEE">
            <w:pPr>
              <w:pStyle w:val="124"/>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管制原则：</w:t>
            </w:r>
          </w:p>
          <w:p w14:paraId="74FF5731">
            <w:pPr>
              <w:pStyle w:val="124"/>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国家禁止开发区域要依据法律法规规定和相关规划实施强制性保护，严格控制人为因素对自然生态和文化自然遗产原真性、完整性的干扰，严禁不符合主体功能定位的各类开发活动，引导人口逐步有序转移，实现污染物“零排放”，提高环境质量。</w:t>
            </w:r>
          </w:p>
          <w:p w14:paraId="02C0DFC0">
            <w:pPr>
              <w:pStyle w:val="124"/>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要依据《中华人民共和国自然保护区条例》、本规划确定的原则和自然保护区规划进行管理。</w:t>
            </w:r>
          </w:p>
          <w:p w14:paraId="3C54806C">
            <w:pPr>
              <w:pStyle w:val="124"/>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按核心区、缓冲区和实验区分类管理。核心区，严禁任何生产建设活动；缓冲区，除必要的科学实验活动外，严禁其他任何生产建设活动；实验区，除必要的科学实验以及符合自然保护区规划的旅游、种植业和畜牧业等活动外，严禁其他生产建设活动。</w:t>
            </w:r>
          </w:p>
          <w:p w14:paraId="10CF8781">
            <w:pPr>
              <w:pStyle w:val="124"/>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——按核心区、缓冲区、实验区的顺序，逐步转移自然保护区的人口。绝大多数自然保护区核心区应逐步实现无人居住，缓冲区和实验区也应较大幅度减少人口。</w:t>
            </w:r>
          </w:p>
          <w:p w14:paraId="048E294C">
            <w:pPr>
              <w:pStyle w:val="124"/>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——根据自然保护区的实际情况，实行异地转移和就地转移两种转移方式，一部分人口转移到自然保护区以外，一部分人口就地转为自然保护区管护人员。</w:t>
            </w:r>
          </w:p>
          <w:p w14:paraId="5CD2FC62">
            <w:pPr>
              <w:pStyle w:val="124"/>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——在不影响自然保护区主体功能的前提下，对范围较大、目前核心区人口较多的，可以保持适量的人口规模和适度的农牧业活动，同时通过生活补助等途径，确保人民生活水平稳步提高。</w:t>
            </w:r>
          </w:p>
          <w:p w14:paraId="25292926">
            <w:pPr>
              <w:pStyle w:val="124"/>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——交通、通信、电网等基础设施要慎重建设，能避则避，必须穿越的，要符合自然保护区规划，并进行保护区影响专题评价。新建公路、铁路和其他基础设施不得穿越自然保护区核心区，尽量避免穿越缓冲区。</w:t>
            </w:r>
          </w:p>
          <w:p w14:paraId="371C5FB6">
            <w:pPr>
              <w:pStyle w:val="116"/>
              <w:ind w:firstLine="480"/>
              <w:rPr>
                <w:rFonts w:hint="default" w:ascii="Times New Roman" w:hAnsi="Times New Roman" w:cs="Times New Roman"/>
                <w:b/>
                <w:bCs/>
                <w:color w:val="auto"/>
                <w:highlight w:val="none"/>
              </w:rPr>
            </w:pPr>
            <w:r>
              <w:rPr>
                <w:rFonts w:hint="default" w:ascii="Times New Roman" w:hAnsi="Times New Roman" w:cs="Times New Roman"/>
                <w:color w:val="auto"/>
                <w:highlight w:val="none"/>
              </w:rPr>
              <w:t>本项目为</w:t>
            </w:r>
            <w:r>
              <w:rPr>
                <w:rFonts w:hint="eastAsia" w:cs="Times New Roman"/>
                <w:color w:val="auto"/>
                <w:highlight w:val="none"/>
                <w:lang w:eastAsia="zh-CN"/>
              </w:rPr>
              <w:t>新能源光伏发电配套电力送出工程</w:t>
            </w:r>
            <w:r>
              <w:rPr>
                <w:rFonts w:hint="default" w:ascii="Times New Roman" w:hAnsi="Times New Roman" w:cs="Times New Roman"/>
                <w:color w:val="auto"/>
                <w:highlight w:val="none"/>
              </w:rPr>
              <w:t>，送出线路位于河北省承德市围场满族蒙古族自治县境内，项目部分线路占用河北滦河上游国家级自然保护区和生态保护红线，编制了《华能围场项目220kV送出线路工程对河北滦河上游国家级自然保护区生物多样性影响评价报告》，国家林业和草原局出具了《关于同意华能围场“风光储氢热一体化”项目（光伏200MW）项目220kV送出线路工程穿越河北滦河上游国家级自然保护区实验区的行政许可决定》（林保许准（冀）[2024]10号）项目采取一系列保护措施，可以确保生态功能不降低，符合全国主体功能区划定位。</w:t>
            </w:r>
          </w:p>
          <w:p w14:paraId="569098D7">
            <w:pPr>
              <w:pStyle w:val="11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r>
              <w:rPr>
                <w:rFonts w:hint="default" w:ascii="Times New Roman" w:hAnsi="Times New Roman" w:cs="Times New Roman"/>
                <w:bCs/>
                <w:color w:val="auto"/>
                <w:highlight w:val="none"/>
              </w:rPr>
              <w:t>《河北省主体功能区划》</w:t>
            </w:r>
          </w:p>
          <w:p w14:paraId="04445424">
            <w:pPr>
              <w:pStyle w:val="116"/>
              <w:ind w:firstLine="48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根据《河北省主体功能区划》，工程位于国家重点生态功能区。</w:t>
            </w:r>
          </w:p>
          <w:p w14:paraId="4C5C88FF">
            <w:pPr>
              <w:pStyle w:val="116"/>
              <w:ind w:firstLine="48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区域区位：河北省北部地区，国家浑善达克沙漠化防治生态功能区的南部。</w:t>
            </w:r>
          </w:p>
          <w:p w14:paraId="15008704">
            <w:pPr>
              <w:pStyle w:val="116"/>
              <w:ind w:firstLine="48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区域范围：张家口市张北、沽源、康保、尚义；承德市丰宁满族自治县、围场满族蒙古族自治县。本区域涉及张家口市和承德市的6个县。</w:t>
            </w:r>
          </w:p>
          <w:p w14:paraId="504858E7">
            <w:pPr>
              <w:pStyle w:val="116"/>
              <w:ind w:firstLine="48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发展方向</w:t>
            </w:r>
          </w:p>
          <w:p w14:paraId="02877575">
            <w:pPr>
              <w:pStyle w:val="116"/>
              <w:ind w:firstLine="48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生态建设。加强天然草场保护和人工草场建设，加大沿边沿坝防护林带、退耕还林、京津风沙源治理、巩固退耕还林成果规划项目等国家和省重点生态工程建设力度。转变畜牧业生产方式，实行禁牧休牧和划区轮牧，推行舍饲圈养，以草定畜，严格控制载畜量。加强对内陆河流的规划和管理，保护内流湖淖和河流湿地，改善风口地区和沙化土地集中地区生态环境。控制高耗水农业面积和用水总量，保持水资源的供求平衡。</w:t>
            </w:r>
          </w:p>
          <w:p w14:paraId="21B1AD52">
            <w:pPr>
              <w:pStyle w:val="116"/>
              <w:ind w:firstLine="480"/>
              <w:rPr>
                <w:rFonts w:hint="default" w:ascii="Times New Roman" w:hAnsi="Times New Roman" w:cs="Times New Roman"/>
                <w:bCs/>
                <w:color w:val="auto"/>
                <w:highlight w:val="none"/>
              </w:rPr>
            </w:pPr>
            <w:r>
              <w:rPr>
                <w:rFonts w:hint="default" w:ascii="Times New Roman" w:hAnsi="Times New Roman" w:cs="Times New Roman"/>
                <w:color w:val="auto"/>
                <w:highlight w:val="none"/>
              </w:rPr>
              <w:t>继续实施倾斜政策，大力支持坝上地区教育、医疗、文化、旅游等公共服务设施和农村交通、水利、电力、通讯等基础设施建设，重点推广风能、太阳能、沼气等清洁能源利用。</w:t>
            </w:r>
          </w:p>
          <w:p w14:paraId="3852F5E3">
            <w:pPr>
              <w:pStyle w:val="116"/>
              <w:ind w:firstLine="48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本项目为</w:t>
            </w:r>
            <w:r>
              <w:rPr>
                <w:rFonts w:hint="eastAsia" w:cs="Times New Roman"/>
                <w:bCs/>
                <w:color w:val="auto"/>
                <w:highlight w:val="none"/>
                <w:lang w:eastAsia="zh-CN"/>
              </w:rPr>
              <w:t>新能源光伏发电配套电力送出工程</w:t>
            </w:r>
            <w:r>
              <w:rPr>
                <w:rFonts w:hint="default" w:ascii="Times New Roman" w:hAnsi="Times New Roman" w:cs="Times New Roman"/>
                <w:bCs/>
                <w:color w:val="auto"/>
                <w:highlight w:val="none"/>
              </w:rPr>
              <w:t>，属于电力供应，不属于资源消耗高、环境污染重的工业项目，与功能区发展方向无冲突，属于重点推广的清洁能源利用项目。</w:t>
            </w:r>
          </w:p>
          <w:p w14:paraId="61AFE0CD">
            <w:pPr>
              <w:pStyle w:val="116"/>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w:t>
            </w:r>
            <w:bookmarkEnd w:id="4"/>
            <w:bookmarkEnd w:id="5"/>
            <w:bookmarkEnd w:id="6"/>
            <w:bookmarkEnd w:id="7"/>
            <w:bookmarkEnd w:id="8"/>
            <w:r>
              <w:rPr>
                <w:rFonts w:hint="default" w:ascii="Times New Roman" w:hAnsi="Times New Roman" w:cs="Times New Roman"/>
                <w:b/>
                <w:bCs/>
                <w:color w:val="auto"/>
                <w:highlight w:val="none"/>
              </w:rPr>
              <w:t>生态功能区划</w:t>
            </w:r>
          </w:p>
          <w:p w14:paraId="3350026C">
            <w:pPr>
              <w:pStyle w:val="124"/>
              <w:spacing w:line="360" w:lineRule="auto"/>
              <w:ind w:firstLine="480"/>
              <w:rPr>
                <w:rFonts w:hint="default" w:ascii="Times New Roman" w:hAnsi="Times New Roman" w:eastAsia="宋体" w:cs="Times New Roman"/>
                <w:color w:val="auto"/>
                <w:highlight w:val="none"/>
              </w:rPr>
            </w:pPr>
            <w:bookmarkStart w:id="9" w:name="_Toc57358893"/>
            <w:r>
              <w:rPr>
                <w:rFonts w:hint="default" w:ascii="Times New Roman" w:hAnsi="Times New Roman" w:eastAsia="宋体" w:cs="Times New Roman"/>
                <w:color w:val="auto"/>
                <w:highlight w:val="none"/>
              </w:rPr>
              <w:t>（1）全国生态功能区划</w:t>
            </w:r>
          </w:p>
          <w:p w14:paraId="1F79BCEE">
            <w:pPr>
              <w:pStyle w:val="124"/>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评价区域在《全国生态功能区划（修编版）》中，属于生态功能大类中的生态调节功能区，在生态调节功能区中属于水源涵养功能区中的京津冀北部水源涵养功能区（编号Ⅰ-01-06）和防风固沙功能区中的浑善达克沙地防风固沙功能区（编号为Ⅰ-04-03）。</w:t>
            </w:r>
          </w:p>
          <w:p w14:paraId="1C51CC2E">
            <w:pPr>
              <w:pStyle w:val="2"/>
              <w:spacing w:after="0" w:line="240" w:lineRule="auto"/>
              <w:ind w:firstLine="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表3-1  项目所在区域生态功能区划</w:t>
            </w:r>
          </w:p>
          <w:tbl>
            <w:tblPr>
              <w:tblStyle w:val="32"/>
              <w:tblW w:w="840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9"/>
              <w:gridCol w:w="706"/>
              <w:gridCol w:w="916"/>
              <w:gridCol w:w="1572"/>
              <w:gridCol w:w="4720"/>
            </w:tblGrid>
            <w:tr w14:paraId="258013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6" w:type="pct"/>
                  <w:gridSpan w:val="3"/>
                  <w:tcBorders>
                    <w:top w:val="single" w:color="auto" w:sz="4" w:space="0"/>
                    <w:left w:val="single" w:color="auto" w:sz="4" w:space="0"/>
                    <w:bottom w:val="single" w:color="auto" w:sz="4" w:space="0"/>
                    <w:right w:val="single" w:color="auto" w:sz="4" w:space="0"/>
                  </w:tcBorders>
                  <w:vAlign w:val="center"/>
                </w:tcPr>
                <w:p w14:paraId="0912D2C3">
                  <w:pPr>
                    <w:pStyle w:val="91"/>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生态功能分区单元</w:t>
                  </w:r>
                </w:p>
              </w:tc>
              <w:tc>
                <w:tcPr>
                  <w:tcW w:w="935" w:type="pct"/>
                  <w:vMerge w:val="restart"/>
                  <w:tcBorders>
                    <w:top w:val="single" w:color="auto" w:sz="4" w:space="0"/>
                    <w:left w:val="single" w:color="auto" w:sz="4" w:space="0"/>
                    <w:bottom w:val="single" w:color="auto" w:sz="4" w:space="0"/>
                    <w:right w:val="single" w:color="auto" w:sz="4" w:space="0"/>
                  </w:tcBorders>
                  <w:vAlign w:val="center"/>
                </w:tcPr>
                <w:p w14:paraId="322C3258">
                  <w:pPr>
                    <w:pStyle w:val="91"/>
                    <w:autoSpaceDE w:val="0"/>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主要生态环境问题</w:t>
                  </w:r>
                </w:p>
              </w:tc>
              <w:tc>
                <w:tcPr>
                  <w:tcW w:w="2807" w:type="pct"/>
                  <w:vMerge w:val="restart"/>
                  <w:tcBorders>
                    <w:top w:val="single" w:color="auto" w:sz="4" w:space="0"/>
                    <w:left w:val="single" w:color="auto" w:sz="4" w:space="0"/>
                    <w:bottom w:val="single" w:color="auto" w:sz="4" w:space="0"/>
                    <w:right w:val="single" w:color="auto" w:sz="4" w:space="0"/>
                  </w:tcBorders>
                  <w:vAlign w:val="center"/>
                </w:tcPr>
                <w:p w14:paraId="649439F3">
                  <w:pPr>
                    <w:pStyle w:val="91"/>
                    <w:autoSpaceDE w:val="0"/>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生态保护主要方向</w:t>
                  </w:r>
                </w:p>
              </w:tc>
            </w:tr>
            <w:tr w14:paraId="470F5D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6" w:type="pct"/>
                  <w:gridSpan w:val="3"/>
                  <w:tcBorders>
                    <w:top w:val="single" w:color="auto" w:sz="4" w:space="0"/>
                    <w:left w:val="single" w:color="auto" w:sz="4" w:space="0"/>
                    <w:bottom w:val="single" w:color="auto" w:sz="4" w:space="0"/>
                    <w:right w:val="single" w:color="auto" w:sz="4" w:space="0"/>
                  </w:tcBorders>
                  <w:vAlign w:val="center"/>
                </w:tcPr>
                <w:p w14:paraId="3D6FF870">
                  <w:pPr>
                    <w:pStyle w:val="91"/>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生态功能区</w:t>
                  </w:r>
                </w:p>
              </w:tc>
              <w:tc>
                <w:tcPr>
                  <w:tcW w:w="935" w:type="pct"/>
                  <w:vMerge w:val="continue"/>
                  <w:tcBorders>
                    <w:top w:val="single" w:color="auto" w:sz="12" w:space="0"/>
                    <w:left w:val="single" w:color="auto" w:sz="4" w:space="0"/>
                    <w:bottom w:val="single" w:color="auto" w:sz="4" w:space="0"/>
                    <w:right w:val="single" w:color="auto" w:sz="4" w:space="0"/>
                  </w:tcBorders>
                  <w:vAlign w:val="center"/>
                </w:tcPr>
                <w:p w14:paraId="0B9AA746">
                  <w:pPr>
                    <w:widowControl/>
                    <w:rPr>
                      <w:rFonts w:hint="default" w:ascii="Times New Roman" w:hAnsi="Times New Roman" w:eastAsia="宋体" w:cs="Times New Roman"/>
                      <w:bCs/>
                      <w:color w:val="auto"/>
                      <w:kern w:val="2"/>
                      <w:sz w:val="21"/>
                      <w:szCs w:val="21"/>
                      <w:highlight w:val="none"/>
                    </w:rPr>
                  </w:pPr>
                </w:p>
              </w:tc>
              <w:tc>
                <w:tcPr>
                  <w:tcW w:w="2807" w:type="pct"/>
                  <w:vMerge w:val="continue"/>
                  <w:tcBorders>
                    <w:top w:val="single" w:color="auto" w:sz="12" w:space="0"/>
                    <w:left w:val="single" w:color="auto" w:sz="4" w:space="0"/>
                    <w:bottom w:val="single" w:color="auto" w:sz="4" w:space="0"/>
                    <w:right w:val="single" w:color="auto" w:sz="4" w:space="0"/>
                  </w:tcBorders>
                  <w:vAlign w:val="center"/>
                </w:tcPr>
                <w:p w14:paraId="470FDFF4">
                  <w:pPr>
                    <w:widowControl/>
                    <w:rPr>
                      <w:rFonts w:hint="default" w:ascii="Times New Roman" w:hAnsi="Times New Roman" w:eastAsia="宋体" w:cs="Times New Roman"/>
                      <w:bCs/>
                      <w:color w:val="auto"/>
                      <w:kern w:val="2"/>
                      <w:sz w:val="21"/>
                      <w:szCs w:val="21"/>
                      <w:highlight w:val="none"/>
                    </w:rPr>
                  </w:pPr>
                </w:p>
              </w:tc>
            </w:tr>
            <w:tr w14:paraId="06E27D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pct"/>
                  <w:vMerge w:val="restart"/>
                  <w:tcBorders>
                    <w:top w:val="single" w:color="auto" w:sz="4" w:space="0"/>
                    <w:left w:val="single" w:color="auto" w:sz="4" w:space="0"/>
                    <w:right w:val="single" w:color="auto" w:sz="4" w:space="0"/>
                  </w:tcBorders>
                  <w:vAlign w:val="center"/>
                </w:tcPr>
                <w:p w14:paraId="3394D421">
                  <w:pPr>
                    <w:pStyle w:val="91"/>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生态调节功能区Ⅰ</w:t>
                  </w:r>
                </w:p>
              </w:tc>
              <w:tc>
                <w:tcPr>
                  <w:tcW w:w="420" w:type="pct"/>
                  <w:tcBorders>
                    <w:top w:val="single" w:color="auto" w:sz="4" w:space="0"/>
                    <w:left w:val="single" w:color="auto" w:sz="4" w:space="0"/>
                    <w:bottom w:val="single" w:color="auto" w:sz="4" w:space="0"/>
                    <w:right w:val="single" w:color="auto" w:sz="4" w:space="0"/>
                  </w:tcBorders>
                  <w:vAlign w:val="center"/>
                </w:tcPr>
                <w:p w14:paraId="6F9AB214">
                  <w:pPr>
                    <w:pStyle w:val="91"/>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水源涵养功能区Ⅰ-01</w:t>
                  </w:r>
                </w:p>
              </w:tc>
              <w:tc>
                <w:tcPr>
                  <w:tcW w:w="545" w:type="pct"/>
                  <w:tcBorders>
                    <w:top w:val="single" w:color="auto" w:sz="4" w:space="0"/>
                    <w:left w:val="single" w:color="auto" w:sz="4" w:space="0"/>
                    <w:bottom w:val="single" w:color="auto" w:sz="4" w:space="0"/>
                    <w:right w:val="single" w:color="auto" w:sz="4" w:space="0"/>
                  </w:tcBorders>
                  <w:vAlign w:val="center"/>
                </w:tcPr>
                <w:p w14:paraId="1CAE9D08">
                  <w:pPr>
                    <w:pStyle w:val="91"/>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京津冀北部水源涵养功能区Ⅰ-01-06</w:t>
                  </w:r>
                </w:p>
              </w:tc>
              <w:tc>
                <w:tcPr>
                  <w:tcW w:w="935" w:type="pct"/>
                  <w:tcBorders>
                    <w:top w:val="single" w:color="auto" w:sz="4" w:space="0"/>
                    <w:left w:val="single" w:color="auto" w:sz="4" w:space="0"/>
                    <w:bottom w:val="single" w:color="auto" w:sz="4" w:space="0"/>
                    <w:right w:val="single" w:color="auto" w:sz="4" w:space="0"/>
                  </w:tcBorders>
                  <w:vAlign w:val="center"/>
                </w:tcPr>
                <w:p w14:paraId="71CB07CE">
                  <w:pPr>
                    <w:pStyle w:val="91"/>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人类活动干扰强度大；生态系统结构单一，生态系统质量低，水源涵养功能衰退；森林资源过度开发、天然草原过度放牧等导致植被破坏、水土流失与土地沙化严重；湿地萎缩、面积减少；冰川后退，雪线上升</w:t>
                  </w:r>
                </w:p>
              </w:tc>
              <w:tc>
                <w:tcPr>
                  <w:tcW w:w="2807" w:type="pct"/>
                  <w:tcBorders>
                    <w:top w:val="single" w:color="auto" w:sz="4" w:space="0"/>
                    <w:left w:val="single" w:color="auto" w:sz="4" w:space="0"/>
                    <w:bottom w:val="single" w:color="auto" w:sz="4" w:space="0"/>
                    <w:right w:val="single" w:color="auto" w:sz="4" w:space="0"/>
                  </w:tcBorders>
                  <w:vAlign w:val="center"/>
                </w:tcPr>
                <w:p w14:paraId="14F76A1E">
                  <w:pPr>
                    <w:pStyle w:val="91"/>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对重要水源涵养区建立生态功能保护区，加强对水源涵养区的保护与管理，严格保护具有重要水源涵养功能的自然植被，限制或禁止各种损害生态系统水源涵养功能的经济社会活动和生产方式，如无序采矿、毁林开荒、湿地和草地开垦、过度放牧、道路建设等。</w:t>
                  </w:r>
                </w:p>
                <w:p w14:paraId="72AEB32C">
                  <w:pPr>
                    <w:pStyle w:val="91"/>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（2）继续加强生态保护与恢复，恢复与重建水源涵养区森林、草地、湿地等生态系统，提高生态系统的水源涵养能力。坚持自然恢复为主，严格限制在水源涵养区大规模人工造林。</w:t>
                  </w:r>
                </w:p>
                <w:p w14:paraId="331C9A9E">
                  <w:pPr>
                    <w:pStyle w:val="91"/>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（3）控制水污染，减轻水污染负荷，禁止导致水体污染的产业发展，开展生态清洁小流域的建设。</w:t>
                  </w:r>
                </w:p>
                <w:p w14:paraId="6B646E25">
                  <w:pPr>
                    <w:pStyle w:val="91"/>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（4）严格控制载畜量，实行以草定畜，在农牧交错区提倡农牧结合，发展生态产业，培育替代产业，减轻区内畜牧业对水源和生态系统的压力。</w:t>
                  </w:r>
                </w:p>
              </w:tc>
            </w:tr>
            <w:tr w14:paraId="663042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pct"/>
                  <w:vMerge w:val="continue"/>
                  <w:tcBorders>
                    <w:left w:val="single" w:color="auto" w:sz="4" w:space="0"/>
                    <w:bottom w:val="single" w:color="auto" w:sz="4" w:space="0"/>
                    <w:right w:val="single" w:color="auto" w:sz="4" w:space="0"/>
                  </w:tcBorders>
                  <w:vAlign w:val="center"/>
                </w:tcPr>
                <w:p w14:paraId="3A078F1A">
                  <w:pPr>
                    <w:pStyle w:val="91"/>
                    <w:autoSpaceDE w:val="0"/>
                    <w:spacing w:line="240" w:lineRule="auto"/>
                    <w:ind w:firstLine="0" w:firstLineChars="0"/>
                    <w:jc w:val="center"/>
                    <w:rPr>
                      <w:rFonts w:hint="default" w:ascii="Times New Roman" w:hAnsi="Times New Roman" w:cs="Times New Roman"/>
                      <w:bCs/>
                      <w:color w:val="auto"/>
                      <w:sz w:val="21"/>
                      <w:szCs w:val="21"/>
                      <w:highlight w:val="none"/>
                    </w:rPr>
                  </w:pPr>
                </w:p>
              </w:tc>
              <w:tc>
                <w:tcPr>
                  <w:tcW w:w="420" w:type="pct"/>
                  <w:tcBorders>
                    <w:top w:val="single" w:color="auto" w:sz="4" w:space="0"/>
                    <w:left w:val="single" w:color="auto" w:sz="4" w:space="0"/>
                    <w:bottom w:val="single" w:color="auto" w:sz="4" w:space="0"/>
                    <w:right w:val="single" w:color="auto" w:sz="4" w:space="0"/>
                  </w:tcBorders>
                  <w:vAlign w:val="center"/>
                </w:tcPr>
                <w:p w14:paraId="4F09A386">
                  <w:pPr>
                    <w:pStyle w:val="91"/>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防风固沙功能区Ⅰ-04</w:t>
                  </w:r>
                </w:p>
              </w:tc>
              <w:tc>
                <w:tcPr>
                  <w:tcW w:w="545" w:type="pct"/>
                  <w:tcBorders>
                    <w:top w:val="single" w:color="auto" w:sz="4" w:space="0"/>
                    <w:left w:val="single" w:color="auto" w:sz="4" w:space="0"/>
                    <w:bottom w:val="single" w:color="auto" w:sz="4" w:space="0"/>
                    <w:right w:val="single" w:color="auto" w:sz="4" w:space="0"/>
                  </w:tcBorders>
                  <w:vAlign w:val="center"/>
                </w:tcPr>
                <w:p w14:paraId="3FD325AB">
                  <w:pPr>
                    <w:pStyle w:val="91"/>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浑善达克沙地防风固沙功能区Ⅰ-04-03</w:t>
                  </w:r>
                </w:p>
              </w:tc>
              <w:tc>
                <w:tcPr>
                  <w:tcW w:w="935" w:type="pct"/>
                  <w:tcBorders>
                    <w:top w:val="single" w:color="auto" w:sz="4" w:space="0"/>
                    <w:left w:val="single" w:color="auto" w:sz="4" w:space="0"/>
                    <w:bottom w:val="single" w:color="auto" w:sz="4" w:space="0"/>
                    <w:right w:val="single" w:color="auto" w:sz="4" w:space="0"/>
                  </w:tcBorders>
                  <w:vAlign w:val="center"/>
                </w:tcPr>
                <w:p w14:paraId="2258F0BB">
                  <w:pPr>
                    <w:pStyle w:val="91"/>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过度放牧、草原开垦、水资源严重短缺与水资源过度开发导致植被退化、土地沙化、沙尘暴等。</w:t>
                  </w:r>
                </w:p>
              </w:tc>
              <w:tc>
                <w:tcPr>
                  <w:tcW w:w="2807" w:type="pct"/>
                  <w:tcBorders>
                    <w:top w:val="single" w:color="auto" w:sz="4" w:space="0"/>
                    <w:left w:val="single" w:color="auto" w:sz="4" w:space="0"/>
                    <w:bottom w:val="single" w:color="auto" w:sz="4" w:space="0"/>
                    <w:right w:val="single" w:color="auto" w:sz="4" w:space="0"/>
                  </w:tcBorders>
                  <w:vAlign w:val="center"/>
                </w:tcPr>
                <w:p w14:paraId="49180715">
                  <w:pPr>
                    <w:pStyle w:val="91"/>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（1）在沙漠化极敏感区和高度敏感区建立生态功能保护区，严格控制放牧和草原生物资源的利用，禁止开垦草原，加强植被恢复和保护。</w:t>
                  </w:r>
                </w:p>
                <w:p w14:paraId="39D47F9B">
                  <w:pPr>
                    <w:pStyle w:val="91"/>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（2）调整传统的畜牧业生产方式，大力发展草业，加快规模化圈养牧业的发展，控制放养对草地生态系统的损害。</w:t>
                  </w:r>
                </w:p>
                <w:p w14:paraId="28302205">
                  <w:pPr>
                    <w:pStyle w:val="91"/>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（3）积极推进草畜平衡科学管理办法，限制养殖规模。</w:t>
                  </w:r>
                </w:p>
                <w:p w14:paraId="5995E2F2">
                  <w:pPr>
                    <w:pStyle w:val="91"/>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（4）实施防风固沙工程，恢复草地植被，大力推进调整产业结构，退耕还草，退牧还草等措施。</w:t>
                  </w:r>
                </w:p>
              </w:tc>
            </w:tr>
          </w:tbl>
          <w:p w14:paraId="6475A629">
            <w:pPr>
              <w:pStyle w:val="124"/>
              <w:spacing w:line="360" w:lineRule="auto"/>
              <w:ind w:firstLine="480"/>
              <w:rPr>
                <w:rFonts w:hint="default" w:ascii="Times New Roman" w:hAnsi="Times New Roman" w:eastAsia="宋体" w:cs="Times New Roman"/>
                <w:color w:val="auto"/>
                <w:highlight w:val="none"/>
              </w:rPr>
            </w:pPr>
            <w:r>
              <w:rPr>
                <w:rFonts w:hint="default" w:ascii="Times New Roman" w:hAnsi="Times New Roman" w:cs="Times New Roman" w:eastAsiaTheme="minorEastAsia"/>
                <w:color w:val="auto"/>
                <w:szCs w:val="24"/>
                <w:highlight w:val="none"/>
              </w:rPr>
              <w:t>项目符合国土空间用途管制要求，建设的杆塔为点状工程，输电线路为架空形式，不会造成连续性大面积植被破坏，不影响生境连通性，不会造成生物多样性减少、土沙化等。杆塔建成后进行植被恢复，对生态功能进行补偿。</w:t>
            </w:r>
            <w:r>
              <w:rPr>
                <w:rFonts w:hint="default" w:ascii="Times New Roman" w:hAnsi="Times New Roman" w:cs="Times New Roman"/>
                <w:color w:val="auto"/>
                <w:szCs w:val="24"/>
                <w:highlight w:val="none"/>
              </w:rPr>
              <w:t>符合</w:t>
            </w:r>
            <w:r>
              <w:rPr>
                <w:rFonts w:hint="default" w:ascii="Times New Roman" w:hAnsi="Times New Roman" w:eastAsia="宋体" w:cs="Times New Roman"/>
                <w:color w:val="auto"/>
                <w:highlight w:val="none"/>
              </w:rPr>
              <w:t>《全国生态功能区划（修编版）》</w:t>
            </w:r>
            <w:r>
              <w:rPr>
                <w:rFonts w:hint="default" w:ascii="Times New Roman" w:hAnsi="Times New Roman" w:cs="Times New Roman"/>
                <w:color w:val="auto"/>
                <w:highlight w:val="none"/>
              </w:rPr>
              <w:t>要求。</w:t>
            </w:r>
          </w:p>
          <w:p w14:paraId="107460AB">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（2）《河北省生态功能区划》</w:t>
            </w:r>
          </w:p>
          <w:p w14:paraId="5BAD3791">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rPr>
              <w:t>根据《河北省生态功能区划》，本项目属于Ⅰ2-3御道口农牧与水土保持功能区、</w:t>
            </w:r>
            <w:r>
              <w:rPr>
                <w:rFonts w:hint="default" w:ascii="Times New Roman" w:hAnsi="Times New Roman" w:eastAsia="宋体" w:cs="Times New Roman"/>
                <w:bCs/>
                <w:color w:val="auto"/>
                <w:sz w:val="24"/>
                <w:szCs w:val="24"/>
                <w:highlight w:val="none"/>
              </w:rPr>
              <w:fldChar w:fldCharType="begin"/>
            </w:r>
            <w:r>
              <w:rPr>
                <w:rFonts w:hint="default" w:ascii="Times New Roman" w:hAnsi="Times New Roman" w:eastAsia="宋体" w:cs="Times New Roman"/>
                <w:bCs/>
                <w:color w:val="auto"/>
                <w:sz w:val="24"/>
                <w:szCs w:val="24"/>
                <w:highlight w:val="none"/>
              </w:rPr>
              <w:instrText xml:space="preserve"> = 2 \* ROMAN \* MERGEFORMAT </w:instrText>
            </w:r>
            <w:r>
              <w:rPr>
                <w:rFonts w:hint="default" w:ascii="Times New Roman" w:hAnsi="Times New Roman" w:eastAsia="宋体" w:cs="Times New Roman"/>
                <w:bCs/>
                <w:color w:val="auto"/>
                <w:sz w:val="24"/>
                <w:szCs w:val="24"/>
                <w:highlight w:val="none"/>
              </w:rPr>
              <w:fldChar w:fldCharType="separate"/>
            </w:r>
            <w:r>
              <w:rPr>
                <w:rFonts w:hint="default" w:ascii="Times New Roman" w:hAnsi="Times New Roman" w:cs="Times New Roman"/>
                <w:color w:val="auto"/>
                <w:sz w:val="24"/>
                <w:szCs w:val="24"/>
                <w:highlight w:val="none"/>
              </w:rPr>
              <w:t>II</w:t>
            </w:r>
            <w:r>
              <w:rPr>
                <w:rFonts w:hint="default" w:ascii="Times New Roman" w:hAnsi="Times New Roman" w:eastAsia="宋体" w:cs="Times New Roman"/>
                <w:bCs/>
                <w:color w:val="auto"/>
                <w:sz w:val="24"/>
                <w:szCs w:val="24"/>
                <w:highlight w:val="none"/>
              </w:rPr>
              <w:fldChar w:fldCharType="end"/>
            </w:r>
            <w:r>
              <w:rPr>
                <w:rFonts w:hint="default" w:ascii="Times New Roman" w:hAnsi="Times New Roman" w:eastAsia="宋体" w:cs="Times New Roman"/>
                <w:bCs/>
                <w:color w:val="auto"/>
                <w:sz w:val="24"/>
                <w:szCs w:val="24"/>
                <w:highlight w:val="none"/>
              </w:rPr>
              <w:t>1-2燕山山地北部水源涵养与水土保持生态功能区</w:t>
            </w:r>
            <w:r>
              <w:rPr>
                <w:rFonts w:hint="default" w:ascii="Times New Roman" w:hAnsi="Times New Roman" w:eastAsia="宋体" w:cs="Times New Roman"/>
                <w:color w:val="auto"/>
                <w:sz w:val="24"/>
                <w:szCs w:val="24"/>
                <w:highlight w:val="none"/>
              </w:rPr>
              <w:t>，详见附图12，评价范围的生态功能状况如下：</w:t>
            </w:r>
          </w:p>
          <w:p w14:paraId="1F399F67">
            <w:pPr>
              <w:pStyle w:val="2"/>
              <w:spacing w:after="0" w:line="240" w:lineRule="auto"/>
              <w:ind w:firstLine="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表3-2  项目所在区域生态功能区划</w:t>
            </w:r>
          </w:p>
          <w:tbl>
            <w:tblPr>
              <w:tblStyle w:val="32"/>
              <w:tblW w:w="809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5"/>
              <w:gridCol w:w="1097"/>
              <w:gridCol w:w="1558"/>
              <w:gridCol w:w="1555"/>
              <w:gridCol w:w="1628"/>
              <w:gridCol w:w="1341"/>
            </w:tblGrid>
            <w:tr w14:paraId="1129F6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70" w:type="dxa"/>
                  <w:gridSpan w:val="3"/>
                  <w:tcBorders>
                    <w:top w:val="single" w:color="auto" w:sz="4" w:space="0"/>
                    <w:left w:val="single" w:color="auto" w:sz="4" w:space="0"/>
                    <w:bottom w:val="single" w:color="auto" w:sz="4" w:space="0"/>
                    <w:right w:val="single" w:color="auto" w:sz="4" w:space="0"/>
                  </w:tcBorders>
                  <w:vAlign w:val="center"/>
                </w:tcPr>
                <w:p w14:paraId="00A4F136">
                  <w:pPr>
                    <w:pStyle w:val="91"/>
                    <w:autoSpaceDE w:val="0"/>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生态功能分区单元</w:t>
                  </w:r>
                </w:p>
              </w:tc>
              <w:tc>
                <w:tcPr>
                  <w:tcW w:w="1555" w:type="dxa"/>
                  <w:vMerge w:val="restart"/>
                  <w:tcBorders>
                    <w:top w:val="single" w:color="auto" w:sz="4" w:space="0"/>
                    <w:left w:val="single" w:color="auto" w:sz="4" w:space="0"/>
                    <w:bottom w:val="single" w:color="auto" w:sz="4" w:space="0"/>
                    <w:right w:val="single" w:color="auto" w:sz="4" w:space="0"/>
                  </w:tcBorders>
                  <w:vAlign w:val="center"/>
                </w:tcPr>
                <w:p w14:paraId="52C66056">
                  <w:pPr>
                    <w:pStyle w:val="91"/>
                    <w:autoSpaceDE w:val="0"/>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主要生态环境问题</w:t>
                  </w:r>
                </w:p>
              </w:tc>
              <w:tc>
                <w:tcPr>
                  <w:tcW w:w="1628" w:type="dxa"/>
                  <w:vMerge w:val="restart"/>
                  <w:tcBorders>
                    <w:top w:val="single" w:color="auto" w:sz="4" w:space="0"/>
                    <w:left w:val="single" w:color="auto" w:sz="4" w:space="0"/>
                    <w:bottom w:val="single" w:color="auto" w:sz="4" w:space="0"/>
                    <w:right w:val="single" w:color="auto" w:sz="4" w:space="0"/>
                  </w:tcBorders>
                  <w:vAlign w:val="center"/>
                </w:tcPr>
                <w:p w14:paraId="1F6A942B">
                  <w:pPr>
                    <w:pStyle w:val="91"/>
                    <w:autoSpaceDE w:val="0"/>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环保目标</w:t>
                  </w:r>
                </w:p>
              </w:tc>
              <w:tc>
                <w:tcPr>
                  <w:tcW w:w="1341" w:type="dxa"/>
                  <w:vMerge w:val="restart"/>
                  <w:tcBorders>
                    <w:top w:val="single" w:color="auto" w:sz="4" w:space="0"/>
                    <w:left w:val="single" w:color="auto" w:sz="4" w:space="0"/>
                    <w:bottom w:val="single" w:color="auto" w:sz="4" w:space="0"/>
                    <w:right w:val="single" w:color="auto" w:sz="4" w:space="0"/>
                  </w:tcBorders>
                  <w:vAlign w:val="center"/>
                </w:tcPr>
                <w:p w14:paraId="56C2FB27">
                  <w:pPr>
                    <w:pStyle w:val="91"/>
                    <w:autoSpaceDE w:val="0"/>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建设方向及措施</w:t>
                  </w:r>
                </w:p>
              </w:tc>
            </w:tr>
            <w:tr w14:paraId="7371CA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tcBorders>
                    <w:top w:val="single" w:color="auto" w:sz="4" w:space="0"/>
                    <w:left w:val="single" w:color="auto" w:sz="4" w:space="0"/>
                    <w:bottom w:val="single" w:color="auto" w:sz="4" w:space="0"/>
                    <w:right w:val="single" w:color="auto" w:sz="4" w:space="0"/>
                  </w:tcBorders>
                  <w:vAlign w:val="center"/>
                </w:tcPr>
                <w:p w14:paraId="11E5B628">
                  <w:pPr>
                    <w:pStyle w:val="91"/>
                    <w:autoSpaceDE w:val="0"/>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生态区</w:t>
                  </w:r>
                </w:p>
              </w:tc>
              <w:tc>
                <w:tcPr>
                  <w:tcW w:w="1097" w:type="dxa"/>
                  <w:tcBorders>
                    <w:top w:val="single" w:color="auto" w:sz="4" w:space="0"/>
                    <w:left w:val="single" w:color="auto" w:sz="4" w:space="0"/>
                    <w:bottom w:val="single" w:color="auto" w:sz="4" w:space="0"/>
                    <w:right w:val="single" w:color="auto" w:sz="4" w:space="0"/>
                  </w:tcBorders>
                  <w:vAlign w:val="center"/>
                </w:tcPr>
                <w:p w14:paraId="3489D1F5">
                  <w:pPr>
                    <w:pStyle w:val="91"/>
                    <w:autoSpaceDE w:val="0"/>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生态亚区</w:t>
                  </w:r>
                </w:p>
              </w:tc>
              <w:tc>
                <w:tcPr>
                  <w:tcW w:w="1558" w:type="dxa"/>
                  <w:tcBorders>
                    <w:top w:val="single" w:color="auto" w:sz="4" w:space="0"/>
                    <w:left w:val="single" w:color="auto" w:sz="4" w:space="0"/>
                    <w:bottom w:val="single" w:color="auto" w:sz="4" w:space="0"/>
                    <w:right w:val="single" w:color="auto" w:sz="4" w:space="0"/>
                  </w:tcBorders>
                  <w:vAlign w:val="center"/>
                </w:tcPr>
                <w:p w14:paraId="26486B0A">
                  <w:pPr>
                    <w:pStyle w:val="91"/>
                    <w:autoSpaceDE w:val="0"/>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生态功能区</w:t>
                  </w:r>
                </w:p>
              </w:tc>
              <w:tc>
                <w:tcPr>
                  <w:tcW w:w="1555" w:type="dxa"/>
                  <w:vMerge w:val="continue"/>
                  <w:tcBorders>
                    <w:top w:val="single" w:color="auto" w:sz="12" w:space="0"/>
                    <w:left w:val="single" w:color="auto" w:sz="4" w:space="0"/>
                    <w:bottom w:val="single" w:color="auto" w:sz="4" w:space="0"/>
                    <w:right w:val="single" w:color="auto" w:sz="4" w:space="0"/>
                  </w:tcBorders>
                  <w:vAlign w:val="center"/>
                </w:tcPr>
                <w:p w14:paraId="433F199A">
                  <w:pPr>
                    <w:widowControl/>
                    <w:rPr>
                      <w:rFonts w:hint="default" w:ascii="Times New Roman" w:hAnsi="Times New Roman" w:eastAsia="宋体" w:cs="Times New Roman"/>
                      <w:bCs/>
                      <w:color w:val="auto"/>
                      <w:kern w:val="2"/>
                      <w:sz w:val="21"/>
                      <w:szCs w:val="21"/>
                      <w:highlight w:val="none"/>
                    </w:rPr>
                  </w:pPr>
                </w:p>
              </w:tc>
              <w:tc>
                <w:tcPr>
                  <w:tcW w:w="1628" w:type="dxa"/>
                  <w:vMerge w:val="continue"/>
                  <w:tcBorders>
                    <w:top w:val="single" w:color="auto" w:sz="12" w:space="0"/>
                    <w:left w:val="single" w:color="auto" w:sz="4" w:space="0"/>
                    <w:bottom w:val="single" w:color="auto" w:sz="4" w:space="0"/>
                    <w:right w:val="single" w:color="auto" w:sz="4" w:space="0"/>
                  </w:tcBorders>
                  <w:vAlign w:val="center"/>
                </w:tcPr>
                <w:p w14:paraId="66C600E9">
                  <w:pPr>
                    <w:widowControl/>
                    <w:rPr>
                      <w:rFonts w:hint="default" w:ascii="Times New Roman" w:hAnsi="Times New Roman" w:eastAsia="宋体" w:cs="Times New Roman"/>
                      <w:bCs/>
                      <w:color w:val="auto"/>
                      <w:kern w:val="2"/>
                      <w:sz w:val="21"/>
                      <w:szCs w:val="21"/>
                      <w:highlight w:val="none"/>
                    </w:rPr>
                  </w:pPr>
                </w:p>
              </w:tc>
              <w:tc>
                <w:tcPr>
                  <w:tcW w:w="1341" w:type="dxa"/>
                  <w:vMerge w:val="continue"/>
                  <w:tcBorders>
                    <w:top w:val="single" w:color="auto" w:sz="12" w:space="0"/>
                    <w:left w:val="single" w:color="auto" w:sz="4" w:space="0"/>
                    <w:bottom w:val="single" w:color="auto" w:sz="4" w:space="0"/>
                    <w:right w:val="single" w:color="auto" w:sz="4" w:space="0"/>
                  </w:tcBorders>
                  <w:vAlign w:val="center"/>
                </w:tcPr>
                <w:p w14:paraId="551DCDEC">
                  <w:pPr>
                    <w:widowControl/>
                    <w:rPr>
                      <w:rFonts w:hint="default" w:ascii="Times New Roman" w:hAnsi="Times New Roman" w:eastAsia="宋体" w:cs="Times New Roman"/>
                      <w:bCs/>
                      <w:color w:val="auto"/>
                      <w:kern w:val="2"/>
                      <w:sz w:val="21"/>
                      <w:szCs w:val="21"/>
                      <w:highlight w:val="none"/>
                    </w:rPr>
                  </w:pPr>
                </w:p>
              </w:tc>
            </w:tr>
            <w:tr w14:paraId="33682B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tcBorders>
                    <w:top w:val="single" w:color="auto" w:sz="4" w:space="0"/>
                    <w:left w:val="single" w:color="auto" w:sz="4" w:space="0"/>
                    <w:bottom w:val="single" w:color="auto" w:sz="4" w:space="0"/>
                    <w:right w:val="single" w:color="auto" w:sz="4" w:space="0"/>
                  </w:tcBorders>
                  <w:vAlign w:val="center"/>
                </w:tcPr>
                <w:p w14:paraId="6F6F7C74">
                  <w:pPr>
                    <w:pStyle w:val="91"/>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Ⅰ坝上高原生态区</w:t>
                  </w:r>
                </w:p>
              </w:tc>
              <w:tc>
                <w:tcPr>
                  <w:tcW w:w="1097" w:type="dxa"/>
                  <w:tcBorders>
                    <w:top w:val="single" w:color="auto" w:sz="4" w:space="0"/>
                    <w:left w:val="single" w:color="auto" w:sz="4" w:space="0"/>
                    <w:bottom w:val="single" w:color="auto" w:sz="4" w:space="0"/>
                    <w:right w:val="single" w:color="auto" w:sz="4" w:space="0"/>
                  </w:tcBorders>
                  <w:vAlign w:val="center"/>
                </w:tcPr>
                <w:p w14:paraId="23066BA6">
                  <w:pPr>
                    <w:pStyle w:val="91"/>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Ⅰ2坝上高原东部森林草原生态亚区</w:t>
                  </w:r>
                </w:p>
              </w:tc>
              <w:tc>
                <w:tcPr>
                  <w:tcW w:w="1558" w:type="dxa"/>
                  <w:tcBorders>
                    <w:top w:val="single" w:color="auto" w:sz="4" w:space="0"/>
                    <w:left w:val="single" w:color="auto" w:sz="4" w:space="0"/>
                    <w:bottom w:val="single" w:color="auto" w:sz="4" w:space="0"/>
                    <w:right w:val="single" w:color="auto" w:sz="4" w:space="0"/>
                  </w:tcBorders>
                  <w:vAlign w:val="center"/>
                </w:tcPr>
                <w:p w14:paraId="485C7C5F">
                  <w:pPr>
                    <w:pStyle w:val="91"/>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Ⅰ2-3御道口农牧与水土保持功能区</w:t>
                  </w:r>
                </w:p>
              </w:tc>
              <w:tc>
                <w:tcPr>
                  <w:tcW w:w="1555" w:type="dxa"/>
                  <w:tcBorders>
                    <w:top w:val="single" w:color="auto" w:sz="4" w:space="0"/>
                    <w:left w:val="single" w:color="auto" w:sz="4" w:space="0"/>
                    <w:bottom w:val="single" w:color="auto" w:sz="4" w:space="0"/>
                    <w:right w:val="single" w:color="auto" w:sz="4" w:space="0"/>
                  </w:tcBorders>
                  <w:vAlign w:val="center"/>
                </w:tcPr>
                <w:p w14:paraId="1F1C23C7">
                  <w:pPr>
                    <w:pStyle w:val="91"/>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水环境污染严重，林草退化严重和土地严重荒漠化</w:t>
                  </w:r>
                </w:p>
              </w:tc>
              <w:tc>
                <w:tcPr>
                  <w:tcW w:w="1628" w:type="dxa"/>
                  <w:tcBorders>
                    <w:top w:val="single" w:color="auto" w:sz="4" w:space="0"/>
                    <w:left w:val="single" w:color="auto" w:sz="4" w:space="0"/>
                    <w:bottom w:val="single" w:color="auto" w:sz="4" w:space="0"/>
                    <w:right w:val="single" w:color="auto" w:sz="4" w:space="0"/>
                  </w:tcBorders>
                  <w:vAlign w:val="center"/>
                </w:tcPr>
                <w:p w14:paraId="159545EA">
                  <w:pPr>
                    <w:pStyle w:val="91"/>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保护草原生态系统，加强荒漠化治理；防治水土流失，减少水环境污染</w:t>
                  </w:r>
                </w:p>
              </w:tc>
              <w:tc>
                <w:tcPr>
                  <w:tcW w:w="1341" w:type="dxa"/>
                  <w:tcBorders>
                    <w:top w:val="single" w:color="auto" w:sz="4" w:space="0"/>
                    <w:left w:val="single" w:color="auto" w:sz="4" w:space="0"/>
                    <w:bottom w:val="single" w:color="auto" w:sz="4" w:space="0"/>
                    <w:right w:val="single" w:color="auto" w:sz="4" w:space="0"/>
                  </w:tcBorders>
                  <w:vAlign w:val="center"/>
                </w:tcPr>
                <w:p w14:paraId="1AA7D377">
                  <w:pPr>
                    <w:pStyle w:val="91"/>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调整农牧用地比例、合理利用草原、开展生态旅游业</w:t>
                  </w:r>
                </w:p>
              </w:tc>
            </w:tr>
            <w:tr w14:paraId="78086A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tcBorders>
                    <w:top w:val="single" w:color="auto" w:sz="4" w:space="0"/>
                    <w:left w:val="single" w:color="auto" w:sz="4" w:space="0"/>
                    <w:bottom w:val="single" w:color="auto" w:sz="4" w:space="0"/>
                    <w:right w:val="single" w:color="auto" w:sz="4" w:space="0"/>
                  </w:tcBorders>
                  <w:vAlign w:val="center"/>
                </w:tcPr>
                <w:p w14:paraId="3E4E8C30">
                  <w:pPr>
                    <w:pStyle w:val="91"/>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II河北山地生态区</w:t>
                  </w:r>
                </w:p>
              </w:tc>
              <w:tc>
                <w:tcPr>
                  <w:tcW w:w="1097" w:type="dxa"/>
                  <w:tcBorders>
                    <w:top w:val="single" w:color="auto" w:sz="4" w:space="0"/>
                    <w:left w:val="single" w:color="auto" w:sz="4" w:space="0"/>
                    <w:bottom w:val="single" w:color="auto" w:sz="4" w:space="0"/>
                    <w:right w:val="single" w:color="auto" w:sz="4" w:space="0"/>
                  </w:tcBorders>
                  <w:vAlign w:val="center"/>
                </w:tcPr>
                <w:p w14:paraId="6664D18C">
                  <w:pPr>
                    <w:pStyle w:val="91"/>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II1冀北及燕山山地森林生态亚区</w:t>
                  </w:r>
                </w:p>
              </w:tc>
              <w:tc>
                <w:tcPr>
                  <w:tcW w:w="1558" w:type="dxa"/>
                  <w:tcBorders>
                    <w:top w:val="single" w:color="auto" w:sz="4" w:space="0"/>
                    <w:left w:val="single" w:color="auto" w:sz="4" w:space="0"/>
                    <w:bottom w:val="single" w:color="auto" w:sz="4" w:space="0"/>
                    <w:right w:val="single" w:color="auto" w:sz="4" w:space="0"/>
                  </w:tcBorders>
                  <w:vAlign w:val="center"/>
                </w:tcPr>
                <w:p w14:paraId="44C7C5F8">
                  <w:pPr>
                    <w:pStyle w:val="91"/>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II1-2燕山山地北部水源涵养与水土保持生态功能区</w:t>
                  </w:r>
                </w:p>
              </w:tc>
              <w:tc>
                <w:tcPr>
                  <w:tcW w:w="1555" w:type="dxa"/>
                  <w:tcBorders>
                    <w:top w:val="single" w:color="auto" w:sz="4" w:space="0"/>
                    <w:left w:val="single" w:color="auto" w:sz="4" w:space="0"/>
                    <w:bottom w:val="single" w:color="auto" w:sz="4" w:space="0"/>
                    <w:right w:val="single" w:color="auto" w:sz="4" w:space="0"/>
                  </w:tcBorders>
                  <w:vAlign w:val="center"/>
                </w:tcPr>
                <w:p w14:paraId="3F029A54">
                  <w:pPr>
                    <w:pStyle w:val="91"/>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水土流失、森林生态功能较弱</w:t>
                  </w:r>
                </w:p>
              </w:tc>
              <w:tc>
                <w:tcPr>
                  <w:tcW w:w="1628" w:type="dxa"/>
                  <w:tcBorders>
                    <w:top w:val="single" w:color="auto" w:sz="4" w:space="0"/>
                    <w:left w:val="single" w:color="auto" w:sz="4" w:space="0"/>
                    <w:bottom w:val="single" w:color="auto" w:sz="4" w:space="0"/>
                    <w:right w:val="single" w:color="auto" w:sz="4" w:space="0"/>
                  </w:tcBorders>
                  <w:vAlign w:val="center"/>
                </w:tcPr>
                <w:p w14:paraId="61E75D2F">
                  <w:pPr>
                    <w:pStyle w:val="91"/>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水源涵养林建设、维护生物多样性、加强水土流失重点区域治理</w:t>
                  </w:r>
                </w:p>
              </w:tc>
              <w:tc>
                <w:tcPr>
                  <w:tcW w:w="1341" w:type="dxa"/>
                  <w:tcBorders>
                    <w:top w:val="single" w:color="auto" w:sz="4" w:space="0"/>
                    <w:left w:val="single" w:color="auto" w:sz="4" w:space="0"/>
                    <w:bottom w:val="single" w:color="auto" w:sz="4" w:space="0"/>
                    <w:right w:val="single" w:color="auto" w:sz="4" w:space="0"/>
                  </w:tcBorders>
                  <w:vAlign w:val="center"/>
                </w:tcPr>
                <w:p w14:paraId="03EEB7A8">
                  <w:pPr>
                    <w:pStyle w:val="91"/>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大力营造水保林、防护林、开发生态旅游、发展生态农业</w:t>
                  </w:r>
                </w:p>
              </w:tc>
            </w:tr>
          </w:tbl>
          <w:p w14:paraId="75F8A162">
            <w:pPr>
              <w:pStyle w:val="2"/>
              <w:adjustRightInd w:val="0"/>
              <w:snapToGrid w:val="0"/>
              <w:spacing w:after="0" w:line="480" w:lineRule="exact"/>
              <w:ind w:firstLine="480" w:firstLineChars="200"/>
              <w:rPr>
                <w:rFonts w:hint="default" w:ascii="Times New Roman" w:hAnsi="Times New Roman" w:eastAsia="宋体" w:cs="Times New Roman"/>
                <w:bCs/>
                <w:color w:val="auto"/>
                <w:kern w:val="2"/>
                <w:sz w:val="24"/>
                <w:szCs w:val="24"/>
                <w:highlight w:val="none"/>
                <w:lang w:eastAsia="zh-CN"/>
              </w:rPr>
            </w:pPr>
            <w:r>
              <w:rPr>
                <w:rFonts w:hint="default" w:ascii="Times New Roman" w:hAnsi="Times New Roman" w:cs="Times New Roman" w:eastAsiaTheme="minorEastAsia"/>
                <w:color w:val="auto"/>
                <w:sz w:val="24"/>
                <w:szCs w:val="24"/>
                <w:highlight w:val="none"/>
                <w:lang w:eastAsia="zh-CN"/>
              </w:rPr>
              <w:t>项目符合国土空间用途管制要求，建设的杆塔为点状工程，输电线路为架空形式</w:t>
            </w:r>
            <w:r>
              <w:rPr>
                <w:rFonts w:hint="default" w:ascii="Times New Roman" w:hAnsi="Times New Roman" w:eastAsia="宋体" w:cs="Times New Roman"/>
                <w:bCs/>
                <w:color w:val="auto"/>
                <w:kern w:val="2"/>
                <w:sz w:val="24"/>
                <w:szCs w:val="24"/>
                <w:highlight w:val="none"/>
                <w:lang w:eastAsia="zh-CN"/>
              </w:rPr>
              <w:t>，不属于资源消耗高、环境污染重的工业项目</w:t>
            </w:r>
            <w:r>
              <w:rPr>
                <w:rFonts w:hint="default" w:ascii="Times New Roman" w:hAnsi="Times New Roman" w:cs="Times New Roman" w:eastAsiaTheme="minorEastAsia"/>
                <w:color w:val="auto"/>
                <w:sz w:val="24"/>
                <w:szCs w:val="24"/>
                <w:highlight w:val="none"/>
                <w:lang w:eastAsia="zh-CN"/>
              </w:rPr>
              <w:t>，不会造成连续性大面积植被破坏，不影响生境连通性，不会造成生物多样性减少、土</w:t>
            </w:r>
            <w:r>
              <w:rPr>
                <w:rFonts w:hint="eastAsia" w:ascii="Times New Roman" w:hAnsi="Times New Roman" w:cs="Times New Roman" w:eastAsiaTheme="minorEastAsia"/>
                <w:color w:val="auto"/>
                <w:sz w:val="24"/>
                <w:szCs w:val="24"/>
                <w:highlight w:val="none"/>
                <w:lang w:val="en-US" w:eastAsia="zh-CN"/>
              </w:rPr>
              <w:t>地</w:t>
            </w:r>
            <w:r>
              <w:rPr>
                <w:rFonts w:hint="default" w:ascii="Times New Roman" w:hAnsi="Times New Roman" w:cs="Times New Roman" w:eastAsiaTheme="minorEastAsia"/>
                <w:color w:val="auto"/>
                <w:sz w:val="24"/>
                <w:szCs w:val="24"/>
                <w:highlight w:val="none"/>
                <w:lang w:eastAsia="zh-CN"/>
              </w:rPr>
              <w:t>沙化等。杆塔建成后进行植被恢复，对生态功能进行补偿</w:t>
            </w:r>
            <w:r>
              <w:rPr>
                <w:rFonts w:hint="default" w:ascii="Times New Roman" w:hAnsi="Times New Roman" w:eastAsia="宋体" w:cs="Times New Roman"/>
                <w:bCs/>
                <w:color w:val="auto"/>
                <w:kern w:val="2"/>
                <w:sz w:val="24"/>
                <w:szCs w:val="24"/>
                <w:highlight w:val="none"/>
                <w:lang w:eastAsia="zh-CN"/>
              </w:rPr>
              <w:t>，与功能区建设方向无冲突。符合</w:t>
            </w:r>
            <w:r>
              <w:rPr>
                <w:rFonts w:hint="default" w:ascii="Times New Roman" w:hAnsi="Times New Roman" w:eastAsia="宋体" w:cs="Times New Roman"/>
                <w:color w:val="auto"/>
                <w:sz w:val="24"/>
                <w:highlight w:val="none"/>
                <w:lang w:eastAsia="zh-CN"/>
              </w:rPr>
              <w:t>《河北省生态功能区划》</w:t>
            </w:r>
            <w:r>
              <w:rPr>
                <w:rFonts w:hint="default" w:ascii="Times New Roman" w:hAnsi="Times New Roman" w:eastAsia="宋体" w:cs="Times New Roman"/>
                <w:bCs/>
                <w:color w:val="auto"/>
                <w:kern w:val="2"/>
                <w:sz w:val="24"/>
                <w:szCs w:val="24"/>
                <w:highlight w:val="none"/>
                <w:lang w:eastAsia="zh-CN"/>
              </w:rPr>
              <w:t>要求。</w:t>
            </w:r>
          </w:p>
          <w:p w14:paraId="7214A859">
            <w:pPr>
              <w:pStyle w:val="2"/>
              <w:adjustRightInd w:val="0"/>
              <w:snapToGrid w:val="0"/>
              <w:spacing w:after="0" w:line="480" w:lineRule="exact"/>
              <w:ind w:firstLine="480" w:firstLineChars="200"/>
              <w:rPr>
                <w:rFonts w:hint="default" w:ascii="Times New Roman" w:hAnsi="Times New Roman" w:eastAsia="宋体" w:cs="Times New Roman"/>
                <w:bCs/>
                <w:color w:val="auto"/>
                <w:kern w:val="2"/>
                <w:sz w:val="24"/>
                <w:szCs w:val="24"/>
                <w:highlight w:val="none"/>
                <w:lang w:eastAsia="zh-CN"/>
              </w:rPr>
            </w:pPr>
            <w:r>
              <w:rPr>
                <w:rFonts w:hint="default" w:ascii="Times New Roman" w:hAnsi="Times New Roman" w:eastAsia="宋体" w:cs="Times New Roman"/>
                <w:bCs/>
                <w:color w:val="auto"/>
                <w:kern w:val="2"/>
                <w:sz w:val="24"/>
                <w:szCs w:val="24"/>
                <w:highlight w:val="none"/>
                <w:lang w:eastAsia="zh-CN"/>
              </w:rPr>
              <w:t>（3）</w:t>
            </w:r>
            <w:r>
              <w:rPr>
                <w:rFonts w:hint="default" w:ascii="Times New Roman" w:hAnsi="Times New Roman" w:eastAsia="宋体" w:cs="Times New Roman"/>
                <w:bCs/>
                <w:snapToGrid w:val="0"/>
                <w:color w:val="auto"/>
                <w:sz w:val="24"/>
                <w:szCs w:val="24"/>
                <w:highlight w:val="none"/>
                <w:lang w:eastAsia="zh-CN"/>
              </w:rPr>
              <w:t>《承德市城市总体规划》（2016-2030年）</w:t>
            </w:r>
          </w:p>
          <w:p w14:paraId="5E542B9A">
            <w:pPr>
              <w:pStyle w:val="2"/>
              <w:adjustRightInd w:val="0"/>
              <w:snapToGrid w:val="0"/>
              <w:spacing w:after="0" w:line="480" w:lineRule="exact"/>
              <w:ind w:firstLine="480" w:firstLineChars="200"/>
              <w:rPr>
                <w:rFonts w:hint="default" w:ascii="Times New Roman" w:hAnsi="Times New Roman" w:eastAsia="宋体" w:cs="Times New Roman"/>
                <w:bCs/>
                <w:snapToGrid w:val="0"/>
                <w:color w:val="auto"/>
                <w:sz w:val="24"/>
                <w:szCs w:val="24"/>
                <w:highlight w:val="none"/>
                <w:lang w:eastAsia="zh-CN"/>
              </w:rPr>
            </w:pPr>
            <w:r>
              <w:rPr>
                <w:rFonts w:hint="default" w:ascii="Times New Roman" w:hAnsi="Times New Roman" w:eastAsia="宋体" w:cs="Times New Roman"/>
                <w:bCs/>
                <w:snapToGrid w:val="0"/>
                <w:color w:val="auto"/>
                <w:sz w:val="24"/>
                <w:szCs w:val="24"/>
                <w:highlight w:val="none"/>
                <w:lang w:eastAsia="zh-CN"/>
              </w:rPr>
              <w:t>根据《承德市城市总体规划》（2016-2030年）中的生态功能区划，承德市（8县3区）划分出一级区两个，即坝上高原生态区、冀北及燕山山地生态区；生态亚区六个，即坝上高原西部草原生态亚区、坝上高原东部森林草原生态亚区、冀北山地森林生态亚区、七老图山森林灌草生态亚区、燕山山地南部林果生态亚区、城市规划发展生态亚区。生态功能区27个。</w:t>
            </w:r>
          </w:p>
          <w:p w14:paraId="5E19AEA7">
            <w:pPr>
              <w:pStyle w:val="3"/>
              <w:spacing w:before="0" w:after="0" w:line="480" w:lineRule="exact"/>
              <w:ind w:firstLine="480" w:firstLineChars="200"/>
              <w:rPr>
                <w:rFonts w:hint="default" w:ascii="Times New Roman" w:hAnsi="Times New Roman" w:eastAsia="宋体" w:cs="Times New Roman"/>
                <w:b w:val="0"/>
                <w:snapToGrid w:val="0"/>
                <w:color w:val="auto"/>
                <w:sz w:val="24"/>
                <w:szCs w:val="24"/>
                <w:highlight w:val="none"/>
              </w:rPr>
            </w:pPr>
            <w:r>
              <w:rPr>
                <w:rFonts w:hint="default" w:ascii="Times New Roman" w:hAnsi="Times New Roman" w:cs="Times New Roman"/>
                <w:b w:val="0"/>
                <w:color w:val="auto"/>
                <w:sz w:val="24"/>
                <w:szCs w:val="24"/>
                <w:highlight w:val="none"/>
              </w:rPr>
              <w:t>本</w:t>
            </w:r>
            <w:r>
              <w:rPr>
                <w:rFonts w:hint="default" w:ascii="Times New Roman" w:hAnsi="Times New Roman" w:eastAsia="宋体" w:cs="Times New Roman"/>
                <w:b w:val="0"/>
                <w:snapToGrid w:val="0"/>
                <w:color w:val="auto"/>
                <w:sz w:val="24"/>
                <w:szCs w:val="24"/>
                <w:highlight w:val="none"/>
              </w:rPr>
              <w:t>项目部分区域属于</w:t>
            </w:r>
            <w:r>
              <w:rPr>
                <w:rFonts w:hint="default" w:ascii="Times New Roman" w:hAnsi="Times New Roman" w:cs="Times New Roman" w:eastAsiaTheme="minorEastAsia"/>
                <w:b w:val="0"/>
                <w:snapToGrid w:val="0"/>
                <w:color w:val="auto"/>
                <w:sz w:val="24"/>
                <w:szCs w:val="24"/>
                <w:highlight w:val="none"/>
              </w:rPr>
              <w:t>“坝上高原生态区（I）—坝上高原东部森林草原亚区（I-2）—御道口生物多样性保护、水源涵养功能区（I-2-3）”</w:t>
            </w:r>
            <w:r>
              <w:rPr>
                <w:rFonts w:hint="eastAsia" w:ascii="Times New Roman" w:hAnsi="Times New Roman" w:cs="Times New Roman" w:eastAsiaTheme="minorEastAsia"/>
                <w:b w:val="0"/>
                <w:snapToGrid w:val="0"/>
                <w:color w:val="auto"/>
                <w:sz w:val="24"/>
                <w:szCs w:val="24"/>
                <w:highlight w:val="none"/>
                <w:lang w:eastAsia="zh-CN"/>
              </w:rPr>
              <w:t>和“冀北及燕山山地生态区（Ⅱ）—冀北山地森林生态亚区（Ⅱ-1）—滦河上游生物多样性保护功能区（Ⅱ-1-3）”</w:t>
            </w:r>
            <w:r>
              <w:rPr>
                <w:rFonts w:hint="default" w:ascii="Times New Roman" w:hAnsi="Times New Roman" w:eastAsia="宋体" w:cs="Times New Roman"/>
                <w:b w:val="0"/>
                <w:snapToGrid w:val="0"/>
                <w:color w:val="auto"/>
                <w:sz w:val="24"/>
                <w:szCs w:val="24"/>
                <w:highlight w:val="none"/>
              </w:rPr>
              <w:t>，区域主要生态环境问题、生态服务功能、建设方向及措施如下表所示</w:t>
            </w:r>
          </w:p>
          <w:p w14:paraId="1A4E123D">
            <w:pPr>
              <w:jc w:val="center"/>
              <w:rPr>
                <w:rFonts w:hint="default" w:ascii="Times New Roman" w:hAnsi="Times New Roman" w:cs="Times New Roman" w:eastAsiaTheme="minorEastAsia"/>
                <w:b/>
                <w:color w:val="auto"/>
                <w:highlight w:val="none"/>
              </w:rPr>
            </w:pPr>
            <w:r>
              <w:rPr>
                <w:rFonts w:hint="default" w:ascii="Times New Roman" w:hAnsi="Times New Roman" w:cs="Times New Roman" w:eastAsiaTheme="minorEastAsia"/>
                <w:b/>
                <w:color w:val="auto"/>
                <w:highlight w:val="none"/>
              </w:rPr>
              <w:t>表3-3   承德市总体规划中生态功能区划相关功能分区</w:t>
            </w:r>
          </w:p>
          <w:tbl>
            <w:tblPr>
              <w:tblStyle w:val="32"/>
              <w:tblW w:w="829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6"/>
              <w:gridCol w:w="828"/>
              <w:gridCol w:w="948"/>
              <w:gridCol w:w="2018"/>
              <w:gridCol w:w="927"/>
              <w:gridCol w:w="2874"/>
            </w:tblGrid>
            <w:tr w14:paraId="3FC83D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472" w:type="dxa"/>
                  <w:gridSpan w:val="3"/>
                  <w:tcBorders>
                    <w:top w:val="single" w:color="auto" w:sz="4" w:space="0"/>
                    <w:left w:val="single" w:color="auto" w:sz="4" w:space="0"/>
                    <w:bottom w:val="single" w:color="auto" w:sz="4" w:space="0"/>
                    <w:right w:val="single" w:color="auto" w:sz="4" w:space="0"/>
                  </w:tcBorders>
                  <w:vAlign w:val="center"/>
                </w:tcPr>
                <w:p w14:paraId="401E7245">
                  <w:pPr>
                    <w:pStyle w:val="91"/>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生态功能分区单元</w:t>
                  </w:r>
                </w:p>
              </w:tc>
              <w:tc>
                <w:tcPr>
                  <w:tcW w:w="2018" w:type="dxa"/>
                  <w:vMerge w:val="restart"/>
                  <w:tcBorders>
                    <w:top w:val="single" w:color="auto" w:sz="4" w:space="0"/>
                    <w:left w:val="single" w:color="auto" w:sz="4" w:space="0"/>
                    <w:bottom w:val="single" w:color="auto" w:sz="4" w:space="0"/>
                    <w:right w:val="single" w:color="auto" w:sz="4" w:space="0"/>
                  </w:tcBorders>
                  <w:vAlign w:val="center"/>
                </w:tcPr>
                <w:p w14:paraId="6B129F2D">
                  <w:pPr>
                    <w:pStyle w:val="91"/>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主要生态环境问题</w:t>
                  </w:r>
                </w:p>
              </w:tc>
              <w:tc>
                <w:tcPr>
                  <w:tcW w:w="927" w:type="dxa"/>
                  <w:vMerge w:val="restart"/>
                  <w:tcBorders>
                    <w:top w:val="single" w:color="auto" w:sz="4" w:space="0"/>
                    <w:left w:val="single" w:color="auto" w:sz="4" w:space="0"/>
                    <w:bottom w:val="single" w:color="auto" w:sz="4" w:space="0"/>
                    <w:right w:val="single" w:color="auto" w:sz="4" w:space="0"/>
                  </w:tcBorders>
                  <w:vAlign w:val="center"/>
                </w:tcPr>
                <w:p w14:paraId="44716095">
                  <w:pPr>
                    <w:pStyle w:val="91"/>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生态服务功能</w:t>
                  </w:r>
                </w:p>
              </w:tc>
              <w:tc>
                <w:tcPr>
                  <w:tcW w:w="2874" w:type="dxa"/>
                  <w:vMerge w:val="restart"/>
                  <w:tcBorders>
                    <w:top w:val="single" w:color="auto" w:sz="4" w:space="0"/>
                    <w:left w:val="single" w:color="auto" w:sz="4" w:space="0"/>
                    <w:bottom w:val="single" w:color="auto" w:sz="4" w:space="0"/>
                    <w:right w:val="single" w:color="auto" w:sz="4" w:space="0"/>
                  </w:tcBorders>
                  <w:vAlign w:val="center"/>
                </w:tcPr>
                <w:p w14:paraId="4C9308DF">
                  <w:pPr>
                    <w:pStyle w:val="91"/>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建设方向及措施</w:t>
                  </w:r>
                </w:p>
              </w:tc>
            </w:tr>
            <w:tr w14:paraId="182CD3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14:paraId="7FEE7C06">
                  <w:pPr>
                    <w:pStyle w:val="91"/>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生态区</w:t>
                  </w:r>
                </w:p>
              </w:tc>
              <w:tc>
                <w:tcPr>
                  <w:tcW w:w="828" w:type="dxa"/>
                  <w:tcBorders>
                    <w:top w:val="single" w:color="auto" w:sz="4" w:space="0"/>
                    <w:left w:val="single" w:color="auto" w:sz="4" w:space="0"/>
                    <w:bottom w:val="single" w:color="auto" w:sz="4" w:space="0"/>
                    <w:right w:val="single" w:color="auto" w:sz="4" w:space="0"/>
                  </w:tcBorders>
                  <w:vAlign w:val="center"/>
                </w:tcPr>
                <w:p w14:paraId="7B18F3A7">
                  <w:pPr>
                    <w:pStyle w:val="91"/>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生态亚区</w:t>
                  </w:r>
                </w:p>
              </w:tc>
              <w:tc>
                <w:tcPr>
                  <w:tcW w:w="948" w:type="dxa"/>
                  <w:tcBorders>
                    <w:top w:val="single" w:color="auto" w:sz="4" w:space="0"/>
                    <w:left w:val="single" w:color="auto" w:sz="4" w:space="0"/>
                    <w:bottom w:val="single" w:color="auto" w:sz="4" w:space="0"/>
                    <w:right w:val="single" w:color="auto" w:sz="4" w:space="0"/>
                  </w:tcBorders>
                  <w:vAlign w:val="center"/>
                </w:tcPr>
                <w:p w14:paraId="07484914">
                  <w:pPr>
                    <w:pStyle w:val="91"/>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生态功能区</w:t>
                  </w:r>
                </w:p>
              </w:tc>
              <w:tc>
                <w:tcPr>
                  <w:tcW w:w="2018" w:type="dxa"/>
                  <w:vMerge w:val="continue"/>
                  <w:tcBorders>
                    <w:top w:val="single" w:color="auto" w:sz="12" w:space="0"/>
                    <w:left w:val="single" w:color="auto" w:sz="4" w:space="0"/>
                    <w:bottom w:val="single" w:color="auto" w:sz="4" w:space="0"/>
                    <w:right w:val="single" w:color="auto" w:sz="4" w:space="0"/>
                  </w:tcBorders>
                  <w:vAlign w:val="center"/>
                </w:tcPr>
                <w:p w14:paraId="7B283E08">
                  <w:pPr>
                    <w:widowControl/>
                    <w:rPr>
                      <w:rFonts w:hint="default" w:ascii="Times New Roman" w:hAnsi="Times New Roman" w:eastAsia="宋体" w:cs="Times New Roman"/>
                      <w:bCs/>
                      <w:color w:val="auto"/>
                      <w:kern w:val="2"/>
                      <w:sz w:val="21"/>
                      <w:szCs w:val="21"/>
                      <w:highlight w:val="none"/>
                    </w:rPr>
                  </w:pPr>
                </w:p>
              </w:tc>
              <w:tc>
                <w:tcPr>
                  <w:tcW w:w="927" w:type="dxa"/>
                  <w:vMerge w:val="continue"/>
                  <w:tcBorders>
                    <w:top w:val="single" w:color="auto" w:sz="12" w:space="0"/>
                    <w:left w:val="single" w:color="auto" w:sz="4" w:space="0"/>
                    <w:bottom w:val="single" w:color="auto" w:sz="4" w:space="0"/>
                    <w:right w:val="single" w:color="auto" w:sz="4" w:space="0"/>
                  </w:tcBorders>
                  <w:vAlign w:val="center"/>
                </w:tcPr>
                <w:p w14:paraId="51E0BAD5">
                  <w:pPr>
                    <w:widowControl/>
                    <w:rPr>
                      <w:rFonts w:hint="default" w:ascii="Times New Roman" w:hAnsi="Times New Roman" w:eastAsia="宋体" w:cs="Times New Roman"/>
                      <w:bCs/>
                      <w:color w:val="auto"/>
                      <w:kern w:val="2"/>
                      <w:sz w:val="21"/>
                      <w:szCs w:val="21"/>
                      <w:highlight w:val="none"/>
                    </w:rPr>
                  </w:pPr>
                </w:p>
              </w:tc>
              <w:tc>
                <w:tcPr>
                  <w:tcW w:w="2874" w:type="dxa"/>
                  <w:vMerge w:val="continue"/>
                  <w:tcBorders>
                    <w:top w:val="single" w:color="auto" w:sz="12" w:space="0"/>
                    <w:left w:val="single" w:color="auto" w:sz="4" w:space="0"/>
                    <w:bottom w:val="single" w:color="auto" w:sz="4" w:space="0"/>
                    <w:right w:val="single" w:color="auto" w:sz="4" w:space="0"/>
                  </w:tcBorders>
                  <w:vAlign w:val="center"/>
                </w:tcPr>
                <w:p w14:paraId="356C5605">
                  <w:pPr>
                    <w:widowControl/>
                    <w:rPr>
                      <w:rFonts w:hint="default" w:ascii="Times New Roman" w:hAnsi="Times New Roman" w:eastAsia="宋体" w:cs="Times New Roman"/>
                      <w:bCs/>
                      <w:color w:val="auto"/>
                      <w:kern w:val="2"/>
                      <w:sz w:val="21"/>
                      <w:szCs w:val="21"/>
                      <w:highlight w:val="none"/>
                    </w:rPr>
                  </w:pPr>
                </w:p>
              </w:tc>
            </w:tr>
            <w:tr w14:paraId="056E81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14:paraId="0AAAC198">
                  <w:pPr>
                    <w:pStyle w:val="91"/>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坝上高原生态区（I）</w:t>
                  </w:r>
                </w:p>
              </w:tc>
              <w:tc>
                <w:tcPr>
                  <w:tcW w:w="828" w:type="dxa"/>
                  <w:tcBorders>
                    <w:top w:val="single" w:color="auto" w:sz="4" w:space="0"/>
                    <w:left w:val="single" w:color="auto" w:sz="4" w:space="0"/>
                    <w:bottom w:val="single" w:color="auto" w:sz="4" w:space="0"/>
                    <w:right w:val="single" w:color="auto" w:sz="4" w:space="0"/>
                  </w:tcBorders>
                  <w:vAlign w:val="center"/>
                </w:tcPr>
                <w:p w14:paraId="53D1AC73">
                  <w:pPr>
                    <w:pStyle w:val="91"/>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坝上高原东部森林草原亚区（I-2）</w:t>
                  </w:r>
                </w:p>
              </w:tc>
              <w:tc>
                <w:tcPr>
                  <w:tcW w:w="948" w:type="dxa"/>
                  <w:tcBorders>
                    <w:top w:val="single" w:color="auto" w:sz="4" w:space="0"/>
                    <w:left w:val="single" w:color="auto" w:sz="4" w:space="0"/>
                    <w:bottom w:val="single" w:color="auto" w:sz="4" w:space="0"/>
                    <w:right w:val="single" w:color="auto" w:sz="4" w:space="0"/>
                  </w:tcBorders>
                  <w:vAlign w:val="center"/>
                </w:tcPr>
                <w:p w14:paraId="2DD19584">
                  <w:pPr>
                    <w:pStyle w:val="91"/>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御道口生物多样性保护、水源涵养功能区（I-2-3）</w:t>
                  </w:r>
                </w:p>
              </w:tc>
              <w:tc>
                <w:tcPr>
                  <w:tcW w:w="2018" w:type="dxa"/>
                  <w:tcBorders>
                    <w:top w:val="single" w:color="auto" w:sz="4" w:space="0"/>
                    <w:left w:val="single" w:color="auto" w:sz="4" w:space="0"/>
                    <w:bottom w:val="single" w:color="auto" w:sz="4" w:space="0"/>
                    <w:right w:val="single" w:color="auto" w:sz="4" w:space="0"/>
                  </w:tcBorders>
                  <w:vAlign w:val="center"/>
                </w:tcPr>
                <w:p w14:paraId="5C61A558">
                  <w:pPr>
                    <w:pStyle w:val="91"/>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生态功能区内水草丰美，物种多样性丰富，但由于人为活动频繁，过度开垦土地和放牧，导致部分地区草场退化，生物多样性减少，土地沙化，是土壤侵蚀（风蚀）敏感区。</w:t>
                  </w:r>
                </w:p>
              </w:tc>
              <w:tc>
                <w:tcPr>
                  <w:tcW w:w="927" w:type="dxa"/>
                  <w:tcBorders>
                    <w:top w:val="single" w:color="auto" w:sz="4" w:space="0"/>
                    <w:left w:val="single" w:color="auto" w:sz="4" w:space="0"/>
                    <w:bottom w:val="single" w:color="auto" w:sz="4" w:space="0"/>
                    <w:right w:val="single" w:color="auto" w:sz="4" w:space="0"/>
                  </w:tcBorders>
                  <w:vAlign w:val="center"/>
                </w:tcPr>
                <w:p w14:paraId="29110A3F">
                  <w:pPr>
                    <w:pStyle w:val="91"/>
                    <w:spacing w:line="240" w:lineRule="auto"/>
                    <w:ind w:firstLine="0" w:firstLineChars="0"/>
                    <w:jc w:val="left"/>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生物多样性保护，水源涵养</w:t>
                  </w:r>
                </w:p>
              </w:tc>
              <w:tc>
                <w:tcPr>
                  <w:tcW w:w="2874" w:type="dxa"/>
                  <w:tcBorders>
                    <w:top w:val="single" w:color="auto" w:sz="4" w:space="0"/>
                    <w:left w:val="single" w:color="auto" w:sz="4" w:space="0"/>
                    <w:bottom w:val="single" w:color="auto" w:sz="4" w:space="0"/>
                    <w:right w:val="single" w:color="auto" w:sz="4" w:space="0"/>
                  </w:tcBorders>
                  <w:vAlign w:val="center"/>
                </w:tcPr>
                <w:p w14:paraId="0DC2CE3C">
                  <w:pPr>
                    <w:pStyle w:val="91"/>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加强植被恢复，控制过度放牧，加强荒漠化治理，恢复本区水源涵养能力。加大退耕还林还草力度，合理利用土地资源；保护湿地生态环境，维持生物多样性；保护草原生态系统，控制草场载畜量，严格控制草原过度放牧，防止草场退化；适当开展生态旅游</w:t>
                  </w:r>
                </w:p>
              </w:tc>
            </w:tr>
            <w:tr w14:paraId="776C0A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96" w:type="dxa"/>
                  <w:tcBorders>
                    <w:top w:val="single" w:color="auto" w:sz="4" w:space="0"/>
                    <w:left w:val="single" w:color="auto" w:sz="4" w:space="0"/>
                    <w:right w:val="single" w:color="auto" w:sz="4" w:space="0"/>
                  </w:tcBorders>
                  <w:vAlign w:val="center"/>
                </w:tcPr>
                <w:p w14:paraId="6CE10182">
                  <w:pPr>
                    <w:pStyle w:val="91"/>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冀北及燕山山地生态区（Ⅱ）</w:t>
                  </w:r>
                </w:p>
              </w:tc>
              <w:tc>
                <w:tcPr>
                  <w:tcW w:w="828" w:type="dxa"/>
                  <w:tcBorders>
                    <w:top w:val="single" w:color="auto" w:sz="4" w:space="0"/>
                    <w:left w:val="single" w:color="auto" w:sz="4" w:space="0"/>
                    <w:bottom w:val="single" w:color="auto" w:sz="4" w:space="0"/>
                    <w:right w:val="single" w:color="auto" w:sz="4" w:space="0"/>
                  </w:tcBorders>
                  <w:vAlign w:val="center"/>
                </w:tcPr>
                <w:p w14:paraId="79F02E5A">
                  <w:pPr>
                    <w:pStyle w:val="91"/>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冀北山地森林生态亚区（Ⅱ-1）</w:t>
                  </w:r>
                </w:p>
              </w:tc>
              <w:tc>
                <w:tcPr>
                  <w:tcW w:w="948" w:type="dxa"/>
                  <w:tcBorders>
                    <w:top w:val="single" w:color="auto" w:sz="4" w:space="0"/>
                    <w:left w:val="single" w:color="auto" w:sz="4" w:space="0"/>
                    <w:bottom w:val="single" w:color="auto" w:sz="4" w:space="0"/>
                    <w:right w:val="single" w:color="auto" w:sz="4" w:space="0"/>
                  </w:tcBorders>
                  <w:vAlign w:val="center"/>
                </w:tcPr>
                <w:p w14:paraId="6F48610B">
                  <w:pPr>
                    <w:pStyle w:val="91"/>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滦河上游生物多样性保护功能区（Ⅱ-1-3）</w:t>
                  </w:r>
                </w:p>
              </w:tc>
              <w:tc>
                <w:tcPr>
                  <w:tcW w:w="2018" w:type="dxa"/>
                  <w:tcBorders>
                    <w:top w:val="single" w:color="auto" w:sz="4" w:space="0"/>
                    <w:left w:val="single" w:color="auto" w:sz="4" w:space="0"/>
                    <w:bottom w:val="single" w:color="auto" w:sz="4" w:space="0"/>
                    <w:right w:val="single" w:color="auto" w:sz="4" w:space="0"/>
                  </w:tcBorders>
                  <w:vAlign w:val="center"/>
                </w:tcPr>
                <w:p w14:paraId="28B3BEB4">
                  <w:pPr>
                    <w:pStyle w:val="91"/>
                    <w:spacing w:line="240" w:lineRule="auto"/>
                    <w:ind w:firstLine="0" w:firstLineChars="0"/>
                    <w:rPr>
                      <w:rFonts w:hint="eastAsia" w:ascii="Times New Roman" w:hAnsi="Times New Roman" w:eastAsia="宋体" w:cs="Times New Roman"/>
                      <w:bCs/>
                      <w:color w:val="auto"/>
                      <w:sz w:val="21"/>
                      <w:szCs w:val="21"/>
                      <w:highlight w:val="none"/>
                      <w:lang w:eastAsia="zh-CN"/>
                    </w:rPr>
                  </w:pPr>
                  <w:r>
                    <w:rPr>
                      <w:rFonts w:hint="eastAsia" w:ascii="Times New Roman" w:cs="Times New Roman"/>
                      <w:bCs/>
                      <w:color w:val="auto"/>
                      <w:sz w:val="21"/>
                      <w:szCs w:val="21"/>
                      <w:highlight w:val="none"/>
                      <w:lang w:eastAsia="zh-CN"/>
                    </w:rPr>
                    <w:t>生物多样性减少，水土流失严重，草地退化，沙化面积不断扩大</w:t>
                  </w:r>
                </w:p>
              </w:tc>
              <w:tc>
                <w:tcPr>
                  <w:tcW w:w="927" w:type="dxa"/>
                  <w:tcBorders>
                    <w:top w:val="single" w:color="auto" w:sz="4" w:space="0"/>
                    <w:left w:val="single" w:color="auto" w:sz="4" w:space="0"/>
                    <w:bottom w:val="single" w:color="auto" w:sz="4" w:space="0"/>
                    <w:right w:val="single" w:color="auto" w:sz="4" w:space="0"/>
                  </w:tcBorders>
                  <w:vAlign w:val="center"/>
                </w:tcPr>
                <w:p w14:paraId="2C5EC171">
                  <w:pPr>
                    <w:pStyle w:val="91"/>
                    <w:spacing w:line="240" w:lineRule="auto"/>
                    <w:ind w:firstLine="0" w:firstLineChars="0"/>
                    <w:jc w:val="left"/>
                    <w:rPr>
                      <w:rFonts w:hint="eastAsia" w:ascii="Times New Roman" w:hAnsi="Times New Roman" w:eastAsia="宋体" w:cs="Times New Roman"/>
                      <w:bCs/>
                      <w:color w:val="auto"/>
                      <w:sz w:val="21"/>
                      <w:szCs w:val="21"/>
                      <w:highlight w:val="none"/>
                      <w:lang w:eastAsia="zh-CN"/>
                    </w:rPr>
                  </w:pPr>
                  <w:r>
                    <w:rPr>
                      <w:rFonts w:hint="eastAsia" w:ascii="Times New Roman" w:cs="Times New Roman"/>
                      <w:bCs/>
                      <w:color w:val="auto"/>
                      <w:sz w:val="21"/>
                      <w:szCs w:val="21"/>
                      <w:highlight w:val="none"/>
                      <w:lang w:eastAsia="zh-CN"/>
                    </w:rPr>
                    <w:t>生物多样性保护、荒漠化防治、水资源保护</w:t>
                  </w:r>
                </w:p>
              </w:tc>
              <w:tc>
                <w:tcPr>
                  <w:tcW w:w="2874" w:type="dxa"/>
                  <w:tcBorders>
                    <w:top w:val="single" w:color="auto" w:sz="4" w:space="0"/>
                    <w:left w:val="single" w:color="auto" w:sz="4" w:space="0"/>
                    <w:bottom w:val="single" w:color="auto" w:sz="4" w:space="0"/>
                    <w:right w:val="single" w:color="auto" w:sz="4" w:space="0"/>
                  </w:tcBorders>
                  <w:vAlign w:val="center"/>
                </w:tcPr>
                <w:p w14:paraId="10A15916">
                  <w:pPr>
                    <w:pStyle w:val="91"/>
                    <w:spacing w:line="240" w:lineRule="auto"/>
                    <w:ind w:firstLine="0" w:firstLineChars="0"/>
                    <w:rPr>
                      <w:rFonts w:hint="eastAsia" w:ascii="Times New Roman" w:hAnsi="Times New Roman" w:eastAsia="宋体" w:cs="Times New Roman"/>
                      <w:bCs/>
                      <w:color w:val="auto"/>
                      <w:sz w:val="21"/>
                      <w:szCs w:val="21"/>
                      <w:highlight w:val="none"/>
                      <w:lang w:eastAsia="zh-CN"/>
                    </w:rPr>
                  </w:pPr>
                  <w:r>
                    <w:rPr>
                      <w:rFonts w:hint="eastAsia" w:ascii="Times New Roman" w:cs="Times New Roman"/>
                      <w:bCs/>
                      <w:color w:val="auto"/>
                      <w:sz w:val="21"/>
                      <w:szCs w:val="21"/>
                      <w:highlight w:val="none"/>
                      <w:lang w:eastAsia="zh-CN"/>
                    </w:rPr>
                    <w:t>积极推进生物多样性保护工作，水土流失综合防治，积极推进退耕还林；增加植被覆盖度，增强水源涵养功能。加强滦河上游自然保护区的保护与管理，强力恢复植被、不断扩大种群，防治病虫害</w:t>
                  </w:r>
                </w:p>
              </w:tc>
            </w:tr>
          </w:tbl>
          <w:p w14:paraId="7B796369">
            <w:pPr>
              <w:adjustRightInd w:val="0"/>
              <w:snapToGrid w:val="0"/>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eastAsiaTheme="minorEastAsia"/>
                <w:color w:val="auto"/>
                <w:sz w:val="24"/>
                <w:szCs w:val="24"/>
                <w:highlight w:val="none"/>
              </w:rPr>
              <w:t>项目符合国土空间用途管制要求，建设的杆塔为点状工程，输电线路为架空形式，不会造成连续性大面积植被破坏，不影响生境连通性，不会造成生物多样性减少、土沙化等。杆塔建成后进行植被恢复，对生态功能进行补偿。因此，项目建设与承德市生态功能区划不冲突。</w:t>
            </w:r>
          </w:p>
          <w:bookmarkEnd w:id="9"/>
          <w:p w14:paraId="7AE7A8B4">
            <w:pPr>
              <w:pStyle w:val="116"/>
              <w:spacing w:line="480" w:lineRule="exact"/>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3、生态环境现状</w:t>
            </w:r>
          </w:p>
          <w:p w14:paraId="24400172">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（1）地形地貌</w:t>
            </w:r>
          </w:p>
          <w:p w14:paraId="46843639">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sz w:val="24"/>
                <w:szCs w:val="24"/>
                <w:highlight w:val="none"/>
              </w:rPr>
              <w:t>拟建220kV线路工程全线位于承德市围场满族蒙古族自治县老窝铺乡、城子镇</w:t>
            </w:r>
            <w:r>
              <w:rPr>
                <w:rFonts w:hint="eastAsia" w:ascii="Times New Roman" w:hAnsi="Times New Roman" w:eastAsia="宋体" w:cs="Times New Roman"/>
                <w:bCs/>
                <w:color w:val="auto"/>
                <w:sz w:val="24"/>
                <w:szCs w:val="24"/>
                <w:highlight w:val="none"/>
                <w:lang w:eastAsia="zh-CN"/>
              </w:rPr>
              <w:t>、御道口镇</w:t>
            </w:r>
            <w:r>
              <w:rPr>
                <w:rFonts w:hint="default" w:ascii="Times New Roman" w:hAnsi="Times New Roman" w:eastAsia="宋体" w:cs="Times New Roman"/>
                <w:bCs/>
                <w:color w:val="auto"/>
                <w:sz w:val="24"/>
                <w:szCs w:val="24"/>
                <w:highlight w:val="none"/>
              </w:rPr>
              <w:t>，线路沿线地势起伏及高差变化较大，多为山区林地，部分为耕地</w:t>
            </w:r>
            <w:r>
              <w:rPr>
                <w:rFonts w:hint="default" w:ascii="Times New Roman" w:hAnsi="Times New Roman" w:eastAsia="宋体" w:cs="Times New Roman"/>
                <w:color w:val="auto"/>
                <w:sz w:val="24"/>
                <w:szCs w:val="24"/>
                <w:highlight w:val="none"/>
              </w:rPr>
              <w:t>。路径沿途现状见图3-1。</w:t>
            </w:r>
          </w:p>
          <w:p w14:paraId="5921114E">
            <w:pPr>
              <w:pStyle w:val="38"/>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drawing>
                <wp:inline distT="0" distB="0" distL="114300" distR="114300">
                  <wp:extent cx="2592070" cy="1457325"/>
                  <wp:effectExtent l="0" t="0" r="17780" b="9525"/>
                  <wp:docPr id="7" name="图片 7" descr="d6c468b2da8d90f5865e47b421e7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6c468b2da8d90f5865e47b421e714a"/>
                          <pic:cNvPicPr>
                            <a:picLocks noChangeAspect="1"/>
                          </pic:cNvPicPr>
                        </pic:nvPicPr>
                        <pic:blipFill>
                          <a:blip r:embed="rId11"/>
                          <a:stretch>
                            <a:fillRect/>
                          </a:stretch>
                        </pic:blipFill>
                        <pic:spPr>
                          <a:xfrm>
                            <a:off x="0" y="0"/>
                            <a:ext cx="2592070" cy="1457325"/>
                          </a:xfrm>
                          <a:prstGeom prst="rect">
                            <a:avLst/>
                          </a:prstGeom>
                        </pic:spPr>
                      </pic:pic>
                    </a:graphicData>
                  </a:graphic>
                </wp:inline>
              </w:drawing>
            </w:r>
            <w:r>
              <w:rPr>
                <w:rFonts w:hint="default" w:ascii="Times New Roman" w:hAnsi="Times New Roman" w:eastAsia="宋体" w:cs="Times New Roman"/>
                <w:color w:val="auto"/>
                <w:highlight w:val="none"/>
                <w:lang w:eastAsia="zh-CN"/>
              </w:rPr>
              <w:drawing>
                <wp:inline distT="0" distB="0" distL="114300" distR="114300">
                  <wp:extent cx="2592070" cy="1457325"/>
                  <wp:effectExtent l="0" t="0" r="17780" b="9525"/>
                  <wp:docPr id="9" name="图片 9" descr="94f8b3c21ebb3d4772fc4069f6552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4f8b3c21ebb3d4772fc4069f6552c4"/>
                          <pic:cNvPicPr>
                            <a:picLocks noChangeAspect="1"/>
                          </pic:cNvPicPr>
                        </pic:nvPicPr>
                        <pic:blipFill>
                          <a:blip r:embed="rId12"/>
                          <a:stretch>
                            <a:fillRect/>
                          </a:stretch>
                        </pic:blipFill>
                        <pic:spPr>
                          <a:xfrm>
                            <a:off x="0" y="0"/>
                            <a:ext cx="2592070" cy="1457325"/>
                          </a:xfrm>
                          <a:prstGeom prst="rect">
                            <a:avLst/>
                          </a:prstGeom>
                        </pic:spPr>
                      </pic:pic>
                    </a:graphicData>
                  </a:graphic>
                </wp:inline>
              </w:drawing>
            </w:r>
          </w:p>
          <w:p w14:paraId="34A67009">
            <w:pPr>
              <w:pStyle w:val="38"/>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drawing>
                <wp:inline distT="0" distB="0" distL="114300" distR="114300">
                  <wp:extent cx="2592070" cy="1457325"/>
                  <wp:effectExtent l="0" t="0" r="17780" b="9525"/>
                  <wp:docPr id="10" name="图片 10" descr="c1bd5bd8f1b04f7e25d15b3171c83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1bd5bd8f1b04f7e25d15b3171c839c"/>
                          <pic:cNvPicPr>
                            <a:picLocks noChangeAspect="1"/>
                          </pic:cNvPicPr>
                        </pic:nvPicPr>
                        <pic:blipFill>
                          <a:blip r:embed="rId13"/>
                          <a:stretch>
                            <a:fillRect/>
                          </a:stretch>
                        </pic:blipFill>
                        <pic:spPr>
                          <a:xfrm>
                            <a:off x="0" y="0"/>
                            <a:ext cx="2592070" cy="1457325"/>
                          </a:xfrm>
                          <a:prstGeom prst="rect">
                            <a:avLst/>
                          </a:prstGeom>
                        </pic:spPr>
                      </pic:pic>
                    </a:graphicData>
                  </a:graphic>
                </wp:inline>
              </w:drawing>
            </w:r>
            <w:r>
              <w:rPr>
                <w:rFonts w:hint="default" w:ascii="Times New Roman" w:hAnsi="Times New Roman" w:eastAsia="宋体" w:cs="Times New Roman"/>
                <w:color w:val="auto"/>
                <w:highlight w:val="none"/>
                <w:lang w:eastAsia="zh-CN"/>
              </w:rPr>
              <w:drawing>
                <wp:inline distT="0" distB="0" distL="114300" distR="114300">
                  <wp:extent cx="2592070" cy="1457325"/>
                  <wp:effectExtent l="0" t="0" r="17780" b="9525"/>
                  <wp:docPr id="11" name="图片 11" descr="e49351d7bc5d6e3d337fd48c4f99b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49351d7bc5d6e3d337fd48c4f99bb5"/>
                          <pic:cNvPicPr>
                            <a:picLocks noChangeAspect="1"/>
                          </pic:cNvPicPr>
                        </pic:nvPicPr>
                        <pic:blipFill>
                          <a:blip r:embed="rId14"/>
                          <a:stretch>
                            <a:fillRect/>
                          </a:stretch>
                        </pic:blipFill>
                        <pic:spPr>
                          <a:xfrm>
                            <a:off x="0" y="0"/>
                            <a:ext cx="2592070" cy="1457325"/>
                          </a:xfrm>
                          <a:prstGeom prst="rect">
                            <a:avLst/>
                          </a:prstGeom>
                        </pic:spPr>
                      </pic:pic>
                    </a:graphicData>
                  </a:graphic>
                </wp:inline>
              </w:drawing>
            </w:r>
            <w:r>
              <w:rPr>
                <w:rFonts w:hint="default" w:ascii="Times New Roman" w:hAnsi="Times New Roman" w:eastAsia="宋体" w:cs="Times New Roman"/>
                <w:color w:val="auto"/>
                <w:highlight w:val="none"/>
                <w:lang w:eastAsia="zh-CN"/>
              </w:rPr>
              <w:drawing>
                <wp:inline distT="0" distB="0" distL="114300" distR="114300">
                  <wp:extent cx="2592070" cy="1457325"/>
                  <wp:effectExtent l="0" t="0" r="17780" b="9525"/>
                  <wp:docPr id="12" name="图片 12" descr="c41cc6bc80ec78ceb117c71f92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41cc6bc80ec78ceb117c71f9232798"/>
                          <pic:cNvPicPr>
                            <a:picLocks noChangeAspect="1"/>
                          </pic:cNvPicPr>
                        </pic:nvPicPr>
                        <pic:blipFill>
                          <a:blip r:embed="rId15"/>
                          <a:stretch>
                            <a:fillRect/>
                          </a:stretch>
                        </pic:blipFill>
                        <pic:spPr>
                          <a:xfrm>
                            <a:off x="0" y="0"/>
                            <a:ext cx="2592070" cy="1457325"/>
                          </a:xfrm>
                          <a:prstGeom prst="rect">
                            <a:avLst/>
                          </a:prstGeom>
                        </pic:spPr>
                      </pic:pic>
                    </a:graphicData>
                  </a:graphic>
                </wp:inline>
              </w:drawing>
            </w:r>
            <w:r>
              <w:rPr>
                <w:rFonts w:hint="default" w:ascii="Times New Roman" w:hAnsi="Times New Roman" w:eastAsia="宋体" w:cs="Times New Roman"/>
                <w:color w:val="auto"/>
                <w:highlight w:val="none"/>
                <w:lang w:eastAsia="zh-CN"/>
              </w:rPr>
              <w:drawing>
                <wp:inline distT="0" distB="0" distL="114300" distR="114300">
                  <wp:extent cx="2592070" cy="1457325"/>
                  <wp:effectExtent l="0" t="0" r="17780" b="9525"/>
                  <wp:docPr id="13" name="图片 13" descr="cbd55c9592bc40e122f0a120fe3db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bd55c9592bc40e122f0a120fe3db76"/>
                          <pic:cNvPicPr>
                            <a:picLocks noChangeAspect="1"/>
                          </pic:cNvPicPr>
                        </pic:nvPicPr>
                        <pic:blipFill>
                          <a:blip r:embed="rId16"/>
                          <a:stretch>
                            <a:fillRect/>
                          </a:stretch>
                        </pic:blipFill>
                        <pic:spPr>
                          <a:xfrm>
                            <a:off x="0" y="0"/>
                            <a:ext cx="2592070" cy="1457325"/>
                          </a:xfrm>
                          <a:prstGeom prst="rect">
                            <a:avLst/>
                          </a:prstGeom>
                        </pic:spPr>
                      </pic:pic>
                    </a:graphicData>
                  </a:graphic>
                </wp:inline>
              </w:drawing>
            </w:r>
          </w:p>
          <w:p w14:paraId="64A1CD0D">
            <w:pPr>
              <w:spacing w:line="360" w:lineRule="auto"/>
              <w:ind w:firstLine="482" w:firstLineChars="20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图3-1  拟建线路沿线现状图</w:t>
            </w:r>
          </w:p>
          <w:p w14:paraId="2E446542">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（2）土地利用类型</w:t>
            </w:r>
          </w:p>
          <w:p w14:paraId="10ED6048">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根据现场勘查，拟建项目区域土地利用类型主要为林地、灌草地和农用地，土地利用现状图见附图</w:t>
            </w:r>
            <w:r>
              <w:rPr>
                <w:rFonts w:hint="eastAsia" w:ascii="Times New Roman" w:hAnsi="Times New Roman" w:eastAsia="宋体"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rPr>
              <w:t>。</w:t>
            </w:r>
          </w:p>
          <w:p w14:paraId="7D9372AF">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（3）生物资源</w:t>
            </w:r>
          </w:p>
          <w:p w14:paraId="1CA39D2F">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河北滦河上游国家级自然保护区内有高等植物资源丰富，有高等植物1096种，隶属于142科501属。其中苔藓植物39科89属192种，蕨类植物12科17属27种，裸子植物3科7属12种，被子植物88科388属865种。保护区内分布有国家二级保护野生植物4种，分别为黄檗、甘草、软枣猕猴桃、野大豆。河北省重点保护区植物56种，包括华北蓝盆花、苍术、秦艽、油松、黄精、蒙椴等。</w:t>
            </w:r>
          </w:p>
          <w:p w14:paraId="4BD1E66C">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河北滦河上游国家级自然保护区现有野生脊椎动物343种，隶属于32目85科216属。其中，哺乳纲6目16科38属46种，鸟纲20目56科144属252种，爬行纲1目5科8属15种，两栖纲1目3科4属5种，硬骨鱼纲4目5科22属25种。国家一级保护野生动物11种；国家二级保护野生动物43种；河北省重点保护动物共83种。</w:t>
            </w:r>
          </w:p>
          <w:p w14:paraId="4E81889D">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（4）敏感性调查</w:t>
            </w:r>
          </w:p>
          <w:p w14:paraId="5A62BE88">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经调查，本项目永久和临时占地范围内保护目标为河北滦河上游国家级自然保护区和生态保护红线等敏感区。</w:t>
            </w:r>
          </w:p>
          <w:p w14:paraId="19345CE6">
            <w:pPr>
              <w:pStyle w:val="116"/>
              <w:spacing w:line="480" w:lineRule="exact"/>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4、环境空气质量现状</w:t>
            </w:r>
          </w:p>
          <w:p w14:paraId="08DC8FD7">
            <w:pPr>
              <w:adjustRightInd w:val="0"/>
              <w:spacing w:line="480" w:lineRule="exact"/>
              <w:ind w:firstLine="496" w:firstLineChars="200"/>
              <w:rPr>
                <w:rFonts w:hint="default" w:ascii="Times New Roman" w:hAnsi="Times New Roman" w:eastAsia="宋体" w:cs="Times New Roman"/>
                <w:color w:val="auto"/>
                <w:spacing w:val="4"/>
                <w:sz w:val="24"/>
                <w:szCs w:val="24"/>
                <w:highlight w:val="none"/>
              </w:rPr>
            </w:pPr>
            <w:r>
              <w:rPr>
                <w:rFonts w:hint="default" w:ascii="Times New Roman" w:hAnsi="Times New Roman" w:eastAsia="宋体" w:cs="Times New Roman"/>
                <w:color w:val="auto"/>
                <w:spacing w:val="4"/>
                <w:sz w:val="24"/>
                <w:szCs w:val="24"/>
                <w:highlight w:val="none"/>
              </w:rPr>
              <w:t>根据《环境影响评价技术导则 大气环境》(HJ2.2-2018)，对项目所在区域环境空气质量进行达标判断，根据《环境影响评价技术导则 大气环境》(HJ2.2-2018)，对项目所在区域环境空气质量进行达标判断，区域环境空气质量现状采用</w:t>
            </w:r>
            <w:r>
              <w:rPr>
                <w:rFonts w:hint="default" w:ascii="Times New Roman" w:hAnsi="Times New Roman" w:eastAsia="宋体" w:cs="Times New Roman"/>
                <w:color w:val="auto"/>
                <w:sz w:val="24"/>
                <w:szCs w:val="24"/>
                <w:highlight w:val="none"/>
              </w:rPr>
              <w:t>《202</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年承德市生态环境状况公报》中</w:t>
            </w:r>
            <w:r>
              <w:rPr>
                <w:rFonts w:hint="default" w:ascii="Times New Roman" w:hAnsi="Times New Roman" w:eastAsia="宋体" w:cs="Times New Roman"/>
                <w:color w:val="auto"/>
                <w:spacing w:val="4"/>
                <w:sz w:val="24"/>
                <w:szCs w:val="24"/>
                <w:highlight w:val="none"/>
              </w:rPr>
              <w:t>的</w:t>
            </w:r>
            <w:r>
              <w:rPr>
                <w:rFonts w:hint="default" w:ascii="Times New Roman" w:hAnsi="Times New Roman" w:eastAsia="宋体" w:cs="Times New Roman"/>
                <w:color w:val="auto"/>
                <w:spacing w:val="4"/>
                <w:sz w:val="24"/>
                <w:szCs w:val="24"/>
                <w:highlight w:val="none"/>
                <w:lang w:eastAsia="zh-CN"/>
              </w:rPr>
              <w:t>围场县</w:t>
            </w:r>
            <w:r>
              <w:rPr>
                <w:rFonts w:hint="default" w:ascii="Times New Roman" w:hAnsi="Times New Roman" w:eastAsia="宋体" w:cs="Times New Roman"/>
                <w:color w:val="auto"/>
                <w:spacing w:val="4"/>
                <w:sz w:val="24"/>
                <w:szCs w:val="24"/>
                <w:highlight w:val="none"/>
              </w:rPr>
              <w:t>监测数据。见表3-4。</w:t>
            </w:r>
          </w:p>
          <w:p w14:paraId="48FF1E1D">
            <w:pPr>
              <w:adjustRightInd w:val="0"/>
              <w:spacing w:line="480" w:lineRule="exact"/>
              <w:jc w:val="center"/>
              <w:rPr>
                <w:rFonts w:hint="default" w:ascii="Times New Roman" w:hAnsi="Times New Roman" w:eastAsia="宋体" w:cs="Times New Roman"/>
                <w:b/>
                <w:color w:val="auto"/>
                <w:spacing w:val="4"/>
                <w:sz w:val="21"/>
                <w:szCs w:val="21"/>
                <w:highlight w:val="none"/>
              </w:rPr>
            </w:pPr>
          </w:p>
          <w:p w14:paraId="6454DBB3">
            <w:pPr>
              <w:adjustRightInd w:val="0"/>
              <w:spacing w:line="480" w:lineRule="exact"/>
              <w:jc w:val="center"/>
              <w:rPr>
                <w:rFonts w:hint="default" w:ascii="Times New Roman" w:hAnsi="Times New Roman" w:eastAsia="宋体" w:cs="Times New Roman"/>
                <w:b/>
                <w:color w:val="auto"/>
                <w:spacing w:val="4"/>
                <w:sz w:val="21"/>
                <w:szCs w:val="21"/>
                <w:highlight w:val="none"/>
              </w:rPr>
            </w:pPr>
          </w:p>
          <w:p w14:paraId="1086EBFF">
            <w:pPr>
              <w:adjustRightInd w:val="0"/>
              <w:spacing w:line="480" w:lineRule="exact"/>
              <w:jc w:val="center"/>
              <w:rPr>
                <w:rFonts w:hint="default" w:ascii="Times New Roman" w:hAnsi="Times New Roman" w:eastAsia="宋体" w:cs="Times New Roman"/>
                <w:b/>
                <w:color w:val="auto"/>
                <w:spacing w:val="4"/>
                <w:sz w:val="21"/>
                <w:szCs w:val="21"/>
                <w:highlight w:val="none"/>
              </w:rPr>
            </w:pPr>
            <w:r>
              <w:rPr>
                <w:rFonts w:hint="default" w:ascii="Times New Roman" w:hAnsi="Times New Roman" w:eastAsia="宋体" w:cs="Times New Roman"/>
                <w:b/>
                <w:color w:val="auto"/>
                <w:spacing w:val="4"/>
                <w:sz w:val="21"/>
                <w:szCs w:val="21"/>
                <w:highlight w:val="none"/>
              </w:rPr>
              <w:t>表3-4  环境空气质量现状评价表</w:t>
            </w:r>
          </w:p>
          <w:tbl>
            <w:tblPr>
              <w:tblStyle w:val="33"/>
              <w:tblW w:w="83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1751"/>
              <w:gridCol w:w="1402"/>
              <w:gridCol w:w="1394"/>
              <w:gridCol w:w="1381"/>
              <w:gridCol w:w="1372"/>
            </w:tblGrid>
            <w:tr w14:paraId="7A72A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05" w:type="dxa"/>
                  <w:vAlign w:val="center"/>
                </w:tcPr>
                <w:p w14:paraId="231854A7">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1751" w:type="dxa"/>
                  <w:vAlign w:val="center"/>
                </w:tcPr>
                <w:p w14:paraId="77745B4A">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年评价指标</w:t>
                  </w:r>
                </w:p>
              </w:tc>
              <w:tc>
                <w:tcPr>
                  <w:tcW w:w="1402" w:type="dxa"/>
                  <w:vAlign w:val="center"/>
                </w:tcPr>
                <w:p w14:paraId="45DF10CE">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年均浓度</w:t>
                  </w:r>
                </w:p>
              </w:tc>
              <w:tc>
                <w:tcPr>
                  <w:tcW w:w="1394" w:type="dxa"/>
                  <w:vAlign w:val="center"/>
                </w:tcPr>
                <w:p w14:paraId="19949078">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标准值</w:t>
                  </w:r>
                </w:p>
              </w:tc>
              <w:tc>
                <w:tcPr>
                  <w:tcW w:w="1381" w:type="dxa"/>
                  <w:vAlign w:val="center"/>
                </w:tcPr>
                <w:p w14:paraId="73771911">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占标率%</w:t>
                  </w:r>
                </w:p>
              </w:tc>
              <w:tc>
                <w:tcPr>
                  <w:tcW w:w="1372" w:type="dxa"/>
                  <w:vAlign w:val="center"/>
                </w:tcPr>
                <w:p w14:paraId="3B099A56">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达标情况</w:t>
                  </w:r>
                </w:p>
              </w:tc>
            </w:tr>
            <w:tr w14:paraId="61EF6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05" w:type="dxa"/>
                  <w:vAlign w:val="center"/>
                </w:tcPr>
                <w:p w14:paraId="1B0FDD2F">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2.5</w:t>
                  </w:r>
                </w:p>
              </w:tc>
              <w:tc>
                <w:tcPr>
                  <w:tcW w:w="1751" w:type="dxa"/>
                  <w:vAlign w:val="center"/>
                </w:tcPr>
                <w:p w14:paraId="4AA52153">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1402" w:type="dxa"/>
                  <w:vAlign w:val="center"/>
                </w:tcPr>
                <w:p w14:paraId="3BFC5168">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18</w:t>
                  </w:r>
                  <w:r>
                    <w:rPr>
                      <w:rFonts w:hint="default" w:ascii="Times New Roman" w:hAnsi="Times New Roman" w:eastAsia="宋体" w:cs="Times New Roman"/>
                      <w:color w:val="auto"/>
                      <w:sz w:val="21"/>
                      <w:szCs w:val="21"/>
                      <w:highlight w:val="none"/>
                    </w:rPr>
                    <w:t>μg/m</w:t>
                  </w:r>
                  <w:r>
                    <w:rPr>
                      <w:rFonts w:hint="default" w:ascii="Times New Roman" w:hAnsi="Times New Roman" w:eastAsia="宋体" w:cs="Times New Roman"/>
                      <w:color w:val="auto"/>
                      <w:sz w:val="21"/>
                      <w:szCs w:val="21"/>
                      <w:highlight w:val="none"/>
                      <w:vertAlign w:val="superscript"/>
                    </w:rPr>
                    <w:t>3</w:t>
                  </w:r>
                </w:p>
              </w:tc>
              <w:tc>
                <w:tcPr>
                  <w:tcW w:w="1394" w:type="dxa"/>
                  <w:vAlign w:val="center"/>
                </w:tcPr>
                <w:p w14:paraId="59CBDDF8">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35μg/m</w:t>
                  </w:r>
                  <w:r>
                    <w:rPr>
                      <w:rFonts w:hint="default" w:ascii="Times New Roman" w:hAnsi="Times New Roman" w:eastAsia="宋体" w:cs="Times New Roman"/>
                      <w:color w:val="auto"/>
                      <w:sz w:val="21"/>
                      <w:szCs w:val="21"/>
                      <w:highlight w:val="none"/>
                      <w:vertAlign w:val="superscript"/>
                    </w:rPr>
                    <w:t>3</w:t>
                  </w:r>
                </w:p>
              </w:tc>
              <w:tc>
                <w:tcPr>
                  <w:tcW w:w="1381" w:type="dxa"/>
                  <w:vAlign w:val="center"/>
                </w:tcPr>
                <w:p w14:paraId="7D0F4F1A">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1</w:t>
                  </w:r>
                </w:p>
              </w:tc>
              <w:tc>
                <w:tcPr>
                  <w:tcW w:w="1372" w:type="dxa"/>
                  <w:vAlign w:val="center"/>
                </w:tcPr>
                <w:p w14:paraId="4F5A9ABF">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67BFA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05" w:type="dxa"/>
                  <w:vAlign w:val="center"/>
                </w:tcPr>
                <w:p w14:paraId="38396A05">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10</w:t>
                  </w:r>
                </w:p>
              </w:tc>
              <w:tc>
                <w:tcPr>
                  <w:tcW w:w="1751" w:type="dxa"/>
                  <w:vAlign w:val="center"/>
                </w:tcPr>
                <w:p w14:paraId="0DA5166A">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1402" w:type="dxa"/>
                  <w:vAlign w:val="center"/>
                </w:tcPr>
                <w:p w14:paraId="115996C2">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2μg/m</w:t>
                  </w:r>
                  <w:r>
                    <w:rPr>
                      <w:rFonts w:hint="default" w:ascii="Times New Roman" w:hAnsi="Times New Roman" w:eastAsia="宋体" w:cs="Times New Roman"/>
                      <w:color w:val="auto"/>
                      <w:sz w:val="21"/>
                      <w:szCs w:val="21"/>
                      <w:highlight w:val="none"/>
                      <w:vertAlign w:val="superscript"/>
                    </w:rPr>
                    <w:t>3</w:t>
                  </w:r>
                </w:p>
              </w:tc>
              <w:tc>
                <w:tcPr>
                  <w:tcW w:w="1394" w:type="dxa"/>
                  <w:vAlign w:val="center"/>
                </w:tcPr>
                <w:p w14:paraId="34F9576F">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70μg/m</w:t>
                  </w:r>
                  <w:r>
                    <w:rPr>
                      <w:rFonts w:hint="default" w:ascii="Times New Roman" w:hAnsi="Times New Roman" w:eastAsia="宋体" w:cs="Times New Roman"/>
                      <w:color w:val="auto"/>
                      <w:sz w:val="21"/>
                      <w:szCs w:val="21"/>
                      <w:highlight w:val="none"/>
                      <w:vertAlign w:val="superscript"/>
                    </w:rPr>
                    <w:t>3</w:t>
                  </w:r>
                </w:p>
              </w:tc>
              <w:tc>
                <w:tcPr>
                  <w:tcW w:w="1381" w:type="dxa"/>
                  <w:vAlign w:val="center"/>
                </w:tcPr>
                <w:p w14:paraId="5C9C17B0">
                  <w:pPr>
                    <w:autoSpaceDE/>
                    <w:autoSpaceDN/>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w:t>
                  </w:r>
                </w:p>
              </w:tc>
              <w:tc>
                <w:tcPr>
                  <w:tcW w:w="1372" w:type="dxa"/>
                  <w:vAlign w:val="center"/>
                </w:tcPr>
                <w:p w14:paraId="6B459706">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47672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05" w:type="dxa"/>
                  <w:vAlign w:val="center"/>
                </w:tcPr>
                <w:p w14:paraId="3E06B0D7">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1751" w:type="dxa"/>
                  <w:vAlign w:val="center"/>
                </w:tcPr>
                <w:p w14:paraId="21BB0192">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1402" w:type="dxa"/>
                  <w:vAlign w:val="center"/>
                </w:tcPr>
                <w:p w14:paraId="1E38133C">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9μg/m</w:t>
                  </w:r>
                  <w:r>
                    <w:rPr>
                      <w:rFonts w:hint="default" w:ascii="Times New Roman" w:hAnsi="Times New Roman" w:eastAsia="宋体" w:cs="Times New Roman"/>
                      <w:color w:val="auto"/>
                      <w:sz w:val="21"/>
                      <w:szCs w:val="21"/>
                      <w:highlight w:val="none"/>
                      <w:vertAlign w:val="superscript"/>
                    </w:rPr>
                    <w:t>3</w:t>
                  </w:r>
                </w:p>
              </w:tc>
              <w:tc>
                <w:tcPr>
                  <w:tcW w:w="1394" w:type="dxa"/>
                  <w:vAlign w:val="center"/>
                </w:tcPr>
                <w:p w14:paraId="6846AC6D">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60μg/m</w:t>
                  </w:r>
                  <w:r>
                    <w:rPr>
                      <w:rFonts w:hint="default" w:ascii="Times New Roman" w:hAnsi="Times New Roman" w:eastAsia="宋体" w:cs="Times New Roman"/>
                      <w:color w:val="auto"/>
                      <w:sz w:val="21"/>
                      <w:szCs w:val="21"/>
                      <w:highlight w:val="none"/>
                      <w:vertAlign w:val="superscript"/>
                    </w:rPr>
                    <w:t>3</w:t>
                  </w:r>
                </w:p>
              </w:tc>
              <w:tc>
                <w:tcPr>
                  <w:tcW w:w="1381" w:type="dxa"/>
                  <w:vAlign w:val="center"/>
                </w:tcPr>
                <w:p w14:paraId="7A51C44F">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1372" w:type="dxa"/>
                  <w:vAlign w:val="center"/>
                </w:tcPr>
                <w:p w14:paraId="2DE50E6D">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4D0F5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05" w:type="dxa"/>
                  <w:vAlign w:val="center"/>
                </w:tcPr>
                <w:p w14:paraId="5C02D7D9">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2</w:t>
                  </w:r>
                </w:p>
              </w:tc>
              <w:tc>
                <w:tcPr>
                  <w:tcW w:w="1751" w:type="dxa"/>
                  <w:vAlign w:val="center"/>
                </w:tcPr>
                <w:p w14:paraId="741F776C">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1402" w:type="dxa"/>
                  <w:vAlign w:val="center"/>
                </w:tcPr>
                <w:p w14:paraId="76355108">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17</w:t>
                  </w:r>
                  <w:r>
                    <w:rPr>
                      <w:rFonts w:hint="default" w:ascii="Times New Roman" w:hAnsi="Times New Roman" w:eastAsia="宋体" w:cs="Times New Roman"/>
                      <w:color w:val="auto"/>
                      <w:sz w:val="21"/>
                      <w:szCs w:val="21"/>
                      <w:highlight w:val="none"/>
                    </w:rPr>
                    <w:t>μg/m</w:t>
                  </w:r>
                  <w:r>
                    <w:rPr>
                      <w:rFonts w:hint="default" w:ascii="Times New Roman" w:hAnsi="Times New Roman" w:eastAsia="宋体" w:cs="Times New Roman"/>
                      <w:color w:val="auto"/>
                      <w:sz w:val="21"/>
                      <w:szCs w:val="21"/>
                      <w:highlight w:val="none"/>
                      <w:vertAlign w:val="superscript"/>
                    </w:rPr>
                    <w:t>3</w:t>
                  </w:r>
                </w:p>
              </w:tc>
              <w:tc>
                <w:tcPr>
                  <w:tcW w:w="1394" w:type="dxa"/>
                  <w:vAlign w:val="center"/>
                </w:tcPr>
                <w:p w14:paraId="7672A833">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40μg/m</w:t>
                  </w:r>
                  <w:r>
                    <w:rPr>
                      <w:rFonts w:hint="default" w:ascii="Times New Roman" w:hAnsi="Times New Roman" w:eastAsia="宋体" w:cs="Times New Roman"/>
                      <w:color w:val="auto"/>
                      <w:sz w:val="21"/>
                      <w:szCs w:val="21"/>
                      <w:highlight w:val="none"/>
                      <w:vertAlign w:val="superscript"/>
                    </w:rPr>
                    <w:t>3</w:t>
                  </w:r>
                </w:p>
              </w:tc>
              <w:tc>
                <w:tcPr>
                  <w:tcW w:w="1381" w:type="dxa"/>
                  <w:vAlign w:val="center"/>
                </w:tcPr>
                <w:p w14:paraId="27AB95F4">
                  <w:pPr>
                    <w:autoSpaceDE/>
                    <w:autoSpaceDN/>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42</w:t>
                  </w:r>
                </w:p>
              </w:tc>
              <w:tc>
                <w:tcPr>
                  <w:tcW w:w="1372" w:type="dxa"/>
                  <w:vAlign w:val="center"/>
                </w:tcPr>
                <w:p w14:paraId="7CA47AFE">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10502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05" w:type="dxa"/>
                  <w:vAlign w:val="center"/>
                </w:tcPr>
                <w:p w14:paraId="6141DFA6">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w:t>
                  </w:r>
                </w:p>
              </w:tc>
              <w:tc>
                <w:tcPr>
                  <w:tcW w:w="1751" w:type="dxa"/>
                  <w:vAlign w:val="center"/>
                </w:tcPr>
                <w:p w14:paraId="372DE023">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24小时平均</w:t>
                  </w:r>
                </w:p>
              </w:tc>
              <w:tc>
                <w:tcPr>
                  <w:tcW w:w="1402" w:type="dxa"/>
                  <w:vAlign w:val="center"/>
                </w:tcPr>
                <w:p w14:paraId="75FC69B7">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0.8</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tc>
              <w:tc>
                <w:tcPr>
                  <w:tcW w:w="1394" w:type="dxa"/>
                  <w:vAlign w:val="center"/>
                </w:tcPr>
                <w:p w14:paraId="6F708ADD">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4mg/m</w:t>
                  </w:r>
                  <w:r>
                    <w:rPr>
                      <w:rFonts w:hint="default" w:ascii="Times New Roman" w:hAnsi="Times New Roman" w:eastAsia="宋体" w:cs="Times New Roman"/>
                      <w:color w:val="auto"/>
                      <w:sz w:val="21"/>
                      <w:szCs w:val="21"/>
                      <w:highlight w:val="none"/>
                      <w:vertAlign w:val="superscript"/>
                    </w:rPr>
                    <w:t>3</w:t>
                  </w:r>
                </w:p>
              </w:tc>
              <w:tc>
                <w:tcPr>
                  <w:tcW w:w="1381" w:type="dxa"/>
                  <w:vAlign w:val="center"/>
                </w:tcPr>
                <w:p w14:paraId="4B8C2404">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w:t>
                  </w:r>
                </w:p>
              </w:tc>
              <w:tc>
                <w:tcPr>
                  <w:tcW w:w="1372" w:type="dxa"/>
                  <w:vAlign w:val="center"/>
                </w:tcPr>
                <w:p w14:paraId="5A4E7E4D">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1FAF2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05" w:type="dxa"/>
                  <w:vAlign w:val="center"/>
                </w:tcPr>
                <w:p w14:paraId="6E5282E1">
                  <w:pPr>
                    <w:pStyle w:val="2"/>
                    <w:spacing w:after="0" w:line="240" w:lineRule="auto"/>
                    <w:ind w:firstLine="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O</w:t>
                  </w:r>
                  <w:r>
                    <w:rPr>
                      <w:rFonts w:hint="default" w:ascii="Times New Roman" w:hAnsi="Times New Roman" w:eastAsia="宋体" w:cs="Times New Roman"/>
                      <w:color w:val="auto"/>
                      <w:sz w:val="21"/>
                      <w:szCs w:val="21"/>
                      <w:highlight w:val="none"/>
                      <w:vertAlign w:val="subscript"/>
                      <w:lang w:eastAsia="zh-CN"/>
                    </w:rPr>
                    <w:t>3</w:t>
                  </w:r>
                </w:p>
              </w:tc>
              <w:tc>
                <w:tcPr>
                  <w:tcW w:w="1751" w:type="dxa"/>
                  <w:vAlign w:val="center"/>
                </w:tcPr>
                <w:p w14:paraId="6E73DFBB">
                  <w:pPr>
                    <w:pStyle w:val="2"/>
                    <w:spacing w:after="0" w:line="240" w:lineRule="auto"/>
                    <w:ind w:firstLine="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日最大8小时平均浓度</w:t>
                  </w:r>
                </w:p>
              </w:tc>
              <w:tc>
                <w:tcPr>
                  <w:tcW w:w="1402" w:type="dxa"/>
                  <w:vAlign w:val="center"/>
                </w:tcPr>
                <w:p w14:paraId="6E5AFBA5">
                  <w:pPr>
                    <w:pStyle w:val="2"/>
                    <w:spacing w:after="0" w:line="240" w:lineRule="auto"/>
                    <w:ind w:firstLine="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w:t>
                  </w:r>
                  <w:r>
                    <w:rPr>
                      <w:rFonts w:hint="default" w:ascii="Times New Roman" w:hAnsi="Times New Roman" w:eastAsia="宋体" w:cs="Times New Roman"/>
                      <w:color w:val="auto"/>
                      <w:sz w:val="21"/>
                      <w:szCs w:val="21"/>
                      <w:highlight w:val="none"/>
                      <w:lang w:val="en-US" w:eastAsia="zh-CN"/>
                    </w:rPr>
                    <w:t>31</w:t>
                  </w:r>
                  <w:r>
                    <w:rPr>
                      <w:rFonts w:hint="default" w:ascii="Times New Roman" w:hAnsi="Times New Roman" w:eastAsia="宋体" w:cs="Times New Roman"/>
                      <w:color w:val="auto"/>
                      <w:sz w:val="21"/>
                      <w:szCs w:val="21"/>
                      <w:highlight w:val="none"/>
                    </w:rPr>
                    <w:t>μ</w:t>
                  </w:r>
                  <w:r>
                    <w:rPr>
                      <w:rFonts w:hint="default" w:ascii="Times New Roman" w:hAnsi="Times New Roman" w:eastAsia="宋体" w:cs="Times New Roman"/>
                      <w:color w:val="auto"/>
                      <w:sz w:val="21"/>
                      <w:szCs w:val="21"/>
                      <w:highlight w:val="none"/>
                      <w:lang w:eastAsia="zh-CN"/>
                    </w:rPr>
                    <w:t>g/m</w:t>
                  </w:r>
                  <w:r>
                    <w:rPr>
                      <w:rFonts w:hint="default" w:ascii="Times New Roman" w:hAnsi="Times New Roman" w:eastAsia="宋体" w:cs="Times New Roman"/>
                      <w:color w:val="auto"/>
                      <w:sz w:val="21"/>
                      <w:szCs w:val="21"/>
                      <w:highlight w:val="none"/>
                      <w:vertAlign w:val="superscript"/>
                      <w:lang w:eastAsia="zh-CN"/>
                    </w:rPr>
                    <w:t>3</w:t>
                  </w:r>
                </w:p>
              </w:tc>
              <w:tc>
                <w:tcPr>
                  <w:tcW w:w="1394" w:type="dxa"/>
                  <w:vAlign w:val="center"/>
                </w:tcPr>
                <w:p w14:paraId="3374ECBE">
                  <w:pPr>
                    <w:pStyle w:val="2"/>
                    <w:spacing w:after="0" w:line="240" w:lineRule="auto"/>
                    <w:ind w:firstLine="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160</w:t>
                  </w:r>
                  <w:r>
                    <w:rPr>
                      <w:rFonts w:hint="default" w:ascii="Times New Roman" w:hAnsi="Times New Roman" w:eastAsia="宋体" w:cs="Times New Roman"/>
                      <w:color w:val="auto"/>
                      <w:sz w:val="21"/>
                      <w:szCs w:val="21"/>
                      <w:highlight w:val="none"/>
                    </w:rPr>
                    <w:t>μ</w:t>
                  </w:r>
                  <w:r>
                    <w:rPr>
                      <w:rFonts w:hint="default" w:ascii="Times New Roman" w:hAnsi="Times New Roman" w:eastAsia="宋体" w:cs="Times New Roman"/>
                      <w:color w:val="auto"/>
                      <w:sz w:val="21"/>
                      <w:szCs w:val="21"/>
                      <w:highlight w:val="none"/>
                      <w:lang w:eastAsia="zh-CN"/>
                    </w:rPr>
                    <w:t>g/m</w:t>
                  </w:r>
                  <w:r>
                    <w:rPr>
                      <w:rFonts w:hint="default" w:ascii="Times New Roman" w:hAnsi="Times New Roman" w:eastAsia="宋体" w:cs="Times New Roman"/>
                      <w:color w:val="auto"/>
                      <w:sz w:val="21"/>
                      <w:szCs w:val="21"/>
                      <w:highlight w:val="none"/>
                      <w:vertAlign w:val="superscript"/>
                      <w:lang w:eastAsia="zh-CN"/>
                    </w:rPr>
                    <w:t>3</w:t>
                  </w:r>
                </w:p>
              </w:tc>
              <w:tc>
                <w:tcPr>
                  <w:tcW w:w="1381" w:type="dxa"/>
                  <w:vAlign w:val="center"/>
                </w:tcPr>
                <w:p w14:paraId="27AAFBFB">
                  <w:pPr>
                    <w:pStyle w:val="2"/>
                    <w:spacing w:after="0" w:line="240" w:lineRule="auto"/>
                    <w:ind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82</w:t>
                  </w:r>
                </w:p>
              </w:tc>
              <w:tc>
                <w:tcPr>
                  <w:tcW w:w="1372" w:type="dxa"/>
                  <w:vAlign w:val="center"/>
                </w:tcPr>
                <w:p w14:paraId="6591A68C">
                  <w:pPr>
                    <w:pStyle w:val="2"/>
                    <w:spacing w:after="0" w:line="240" w:lineRule="auto"/>
                    <w:ind w:firstLine="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达标</w:t>
                  </w:r>
                </w:p>
              </w:tc>
            </w:tr>
          </w:tbl>
          <w:p w14:paraId="1D293AD2">
            <w:pPr>
              <w:adjustRightInd w:val="0"/>
              <w:spacing w:line="480" w:lineRule="exact"/>
              <w:ind w:firstLine="496" w:firstLineChars="200"/>
              <w:rPr>
                <w:rFonts w:hint="default" w:ascii="Times New Roman" w:hAnsi="Times New Roman" w:eastAsia="宋体" w:cs="Times New Roman"/>
                <w:color w:val="auto"/>
                <w:spacing w:val="4"/>
                <w:sz w:val="24"/>
                <w:szCs w:val="24"/>
                <w:highlight w:val="none"/>
              </w:rPr>
            </w:pPr>
            <w:r>
              <w:rPr>
                <w:rFonts w:hint="default" w:ascii="Times New Roman" w:hAnsi="Times New Roman" w:eastAsia="宋体" w:cs="Times New Roman"/>
                <w:color w:val="auto"/>
                <w:spacing w:val="4"/>
                <w:sz w:val="24"/>
                <w:szCs w:val="24"/>
                <w:highlight w:val="none"/>
              </w:rPr>
              <w:t>根据上表统计结果，</w:t>
            </w:r>
            <w:r>
              <w:rPr>
                <w:rFonts w:hint="default" w:ascii="Times New Roman" w:hAnsi="Times New Roman" w:eastAsia="宋体" w:cs="Times New Roman"/>
                <w:color w:val="auto"/>
                <w:spacing w:val="4"/>
                <w:sz w:val="24"/>
                <w:szCs w:val="24"/>
                <w:highlight w:val="none"/>
                <w:lang w:eastAsia="zh-CN"/>
              </w:rPr>
              <w:t>围场县</w:t>
            </w:r>
            <w:r>
              <w:rPr>
                <w:rFonts w:hint="default" w:ascii="Times New Roman" w:hAnsi="Times New Roman" w:eastAsia="宋体" w:cs="Times New Roman"/>
                <w:color w:val="auto"/>
                <w:spacing w:val="4"/>
                <w:sz w:val="24"/>
                <w:szCs w:val="24"/>
                <w:highlight w:val="none"/>
              </w:rPr>
              <w:t>环境空气6项基本因子满足《环境空气质量标准》(GB3095-2012）及2018年修改单中的二级标准，属于达标区。</w:t>
            </w:r>
          </w:p>
          <w:p w14:paraId="51C25B23">
            <w:pPr>
              <w:pStyle w:val="116"/>
              <w:spacing w:line="480" w:lineRule="exact"/>
              <w:ind w:firstLine="482"/>
              <w:rPr>
                <w:rFonts w:hint="default" w:ascii="Times New Roman" w:hAnsi="Times New Roman" w:cs="Times New Roman"/>
                <w:b/>
                <w:color w:val="auto"/>
                <w:highlight w:val="none"/>
              </w:rPr>
            </w:pPr>
            <w:r>
              <w:rPr>
                <w:rFonts w:hint="default" w:ascii="Times New Roman" w:hAnsi="Times New Roman" w:cs="Times New Roman"/>
                <w:b/>
                <w:color w:val="auto"/>
                <w:highlight w:val="none"/>
              </w:rPr>
              <w:t>5、水环境质量现状</w:t>
            </w:r>
          </w:p>
          <w:p w14:paraId="282F272E">
            <w:pPr>
              <w:pStyle w:val="3"/>
              <w:spacing w:before="0" w:after="0" w:line="480" w:lineRule="exact"/>
              <w:ind w:firstLine="480" w:firstLineChars="200"/>
              <w:rPr>
                <w:rFonts w:hint="default" w:ascii="Times New Roman" w:hAnsi="Times New Roman" w:eastAsia="宋体" w:cs="Times New Roman"/>
                <w:b w:val="0"/>
                <w:color w:val="auto"/>
                <w:sz w:val="24"/>
                <w:szCs w:val="24"/>
                <w:highlight w:val="none"/>
                <w:lang w:val="en-US"/>
              </w:rPr>
            </w:pPr>
            <w:r>
              <w:rPr>
                <w:rFonts w:hint="default" w:ascii="Times New Roman" w:hAnsi="Times New Roman" w:eastAsia="宋体" w:cs="Times New Roman"/>
                <w:b w:val="0"/>
                <w:color w:val="auto"/>
                <w:sz w:val="24"/>
                <w:szCs w:val="24"/>
                <w:highlight w:val="none"/>
              </w:rPr>
              <w:t>项目</w:t>
            </w:r>
            <w:r>
              <w:rPr>
                <w:rFonts w:hint="default" w:ascii="Times New Roman" w:hAnsi="Times New Roman" w:eastAsia="宋体" w:cs="Times New Roman"/>
                <w:b w:val="0"/>
                <w:color w:val="auto"/>
                <w:sz w:val="24"/>
                <w:szCs w:val="24"/>
                <w:highlight w:val="none"/>
                <w:lang w:eastAsia="zh-CN"/>
              </w:rPr>
              <w:t>所在</w:t>
            </w:r>
            <w:r>
              <w:rPr>
                <w:rFonts w:hint="default" w:ascii="Times New Roman" w:hAnsi="Times New Roman" w:eastAsia="宋体" w:cs="Times New Roman"/>
                <w:b w:val="0"/>
                <w:color w:val="auto"/>
                <w:sz w:val="24"/>
                <w:szCs w:val="24"/>
                <w:highlight w:val="none"/>
              </w:rPr>
              <w:t>区域属于</w:t>
            </w:r>
            <w:r>
              <w:rPr>
                <w:rFonts w:hint="default" w:ascii="Times New Roman" w:hAnsi="Times New Roman" w:eastAsia="宋体" w:cs="Times New Roman"/>
                <w:b w:val="0"/>
                <w:color w:val="auto"/>
                <w:sz w:val="24"/>
                <w:szCs w:val="24"/>
                <w:highlight w:val="none"/>
                <w:lang w:eastAsia="zh-CN"/>
              </w:rPr>
              <w:t>小滦河和蚁蚂图河，小滦河属于</w:t>
            </w:r>
            <w:r>
              <w:rPr>
                <w:rFonts w:hint="default" w:ascii="Times New Roman" w:hAnsi="Times New Roman" w:eastAsia="宋体" w:cs="Times New Roman"/>
                <w:b w:val="0"/>
                <w:color w:val="auto"/>
                <w:sz w:val="24"/>
                <w:szCs w:val="24"/>
                <w:highlight w:val="none"/>
              </w:rPr>
              <w:t>滦河</w:t>
            </w:r>
            <w:r>
              <w:rPr>
                <w:rFonts w:hint="default" w:ascii="Times New Roman" w:hAnsi="Times New Roman" w:eastAsia="宋体" w:cs="Times New Roman"/>
                <w:b w:val="0"/>
                <w:color w:val="auto"/>
                <w:sz w:val="24"/>
                <w:szCs w:val="24"/>
                <w:highlight w:val="none"/>
                <w:lang w:eastAsia="zh-CN"/>
              </w:rPr>
              <w:t>支流，蚁蚂图河属于伊逊河支流</w:t>
            </w:r>
            <w:r>
              <w:rPr>
                <w:rFonts w:hint="default" w:ascii="Times New Roman" w:hAnsi="Times New Roman" w:eastAsia="宋体" w:cs="Times New Roman"/>
                <w:b w:val="0"/>
                <w:color w:val="auto"/>
                <w:sz w:val="24"/>
                <w:szCs w:val="24"/>
                <w:highlight w:val="none"/>
              </w:rPr>
              <w:t>，</w:t>
            </w:r>
            <w:r>
              <w:rPr>
                <w:rFonts w:hint="default" w:ascii="Times New Roman" w:hAnsi="Times New Roman" w:eastAsia="宋体" w:cs="Times New Roman"/>
                <w:b w:val="0"/>
                <w:color w:val="auto"/>
                <w:sz w:val="24"/>
                <w:szCs w:val="24"/>
                <w:highlight w:val="none"/>
                <w:lang w:eastAsia="zh-CN"/>
              </w:rPr>
              <w:t>小滦河和蚁蚂图河无监测断面，小滦河下游最近的监测断面为滦河上的</w:t>
            </w:r>
            <w:r>
              <w:rPr>
                <w:rFonts w:hint="default" w:ascii="Times New Roman" w:hAnsi="Times New Roman" w:eastAsia="宋体" w:cs="Times New Roman"/>
                <w:b w:val="0"/>
                <w:color w:val="auto"/>
                <w:sz w:val="24"/>
                <w:szCs w:val="24"/>
                <w:highlight w:val="none"/>
              </w:rPr>
              <w:t>郭家屯</w:t>
            </w:r>
            <w:r>
              <w:rPr>
                <w:rFonts w:hint="default" w:ascii="Times New Roman" w:hAnsi="Times New Roman" w:eastAsia="宋体" w:cs="Times New Roman"/>
                <w:b w:val="0"/>
                <w:color w:val="auto"/>
                <w:sz w:val="24"/>
                <w:szCs w:val="24"/>
                <w:highlight w:val="none"/>
                <w:lang w:eastAsia="zh-CN"/>
              </w:rPr>
              <w:t>监测断面，蚁蚂图河下游最近的监测断面为伊逊河上的李台监测断面</w:t>
            </w:r>
            <w:r>
              <w:rPr>
                <w:rFonts w:hint="default" w:ascii="Times New Roman" w:hAnsi="Times New Roman" w:eastAsia="宋体" w:cs="Times New Roman"/>
                <w:b w:val="0"/>
                <w:color w:val="auto"/>
                <w:sz w:val="24"/>
                <w:szCs w:val="24"/>
                <w:highlight w:val="none"/>
              </w:rPr>
              <w:t>。根据承德市生态环境局发布的</w:t>
            </w:r>
            <w:r>
              <w:rPr>
                <w:rFonts w:hint="default" w:ascii="Times New Roman" w:hAnsi="Times New Roman" w:eastAsia="宋体" w:cs="Times New Roman"/>
                <w:b w:val="0"/>
                <w:bCs w:val="0"/>
                <w:color w:val="auto"/>
                <w:sz w:val="24"/>
                <w:szCs w:val="24"/>
                <w:highlight w:val="none"/>
              </w:rPr>
              <w:t>《2023年承德市生态环境状况公报》</w:t>
            </w:r>
            <w:r>
              <w:rPr>
                <w:rFonts w:hint="default" w:ascii="Times New Roman" w:hAnsi="Times New Roman" w:eastAsia="宋体" w:cs="Times New Roman"/>
                <w:b w:val="0"/>
                <w:color w:val="auto"/>
                <w:sz w:val="24"/>
                <w:szCs w:val="24"/>
                <w:highlight w:val="none"/>
              </w:rPr>
              <w:t>：2023年，承德市滦河水质总体为优，与2022年持平</w:t>
            </w:r>
            <w:r>
              <w:rPr>
                <w:rFonts w:hint="default" w:ascii="Times New Roman" w:hAnsi="Times New Roman" w:eastAsia="宋体" w:cs="Times New Roman"/>
                <w:b w:val="0"/>
                <w:color w:val="auto"/>
                <w:sz w:val="24"/>
                <w:szCs w:val="24"/>
                <w:highlight w:val="none"/>
                <w:lang w:eastAsia="zh-CN"/>
              </w:rPr>
              <w:t>，滦河</w:t>
            </w:r>
            <w:r>
              <w:rPr>
                <w:rFonts w:hint="default" w:ascii="Times New Roman" w:hAnsi="Times New Roman" w:eastAsia="宋体" w:cs="Times New Roman"/>
                <w:b w:val="0"/>
                <w:color w:val="auto"/>
                <w:sz w:val="24"/>
                <w:szCs w:val="24"/>
                <w:highlight w:val="none"/>
              </w:rPr>
              <w:t>监测断面中郭家屯</w:t>
            </w:r>
            <w:r>
              <w:rPr>
                <w:rFonts w:hint="default" w:ascii="Times New Roman" w:hAnsi="Times New Roman" w:eastAsia="宋体" w:cs="Times New Roman"/>
                <w:b w:val="0"/>
                <w:color w:val="auto"/>
                <w:sz w:val="24"/>
                <w:szCs w:val="24"/>
                <w:highlight w:val="none"/>
                <w:lang w:eastAsia="zh-CN"/>
              </w:rPr>
              <w:t>监测断面</w:t>
            </w:r>
            <w:r>
              <w:rPr>
                <w:rFonts w:hint="default" w:ascii="Times New Roman" w:hAnsi="Times New Roman" w:eastAsia="宋体" w:cs="Times New Roman"/>
                <w:b w:val="0"/>
                <w:color w:val="auto"/>
                <w:sz w:val="24"/>
                <w:szCs w:val="24"/>
                <w:highlight w:val="none"/>
              </w:rPr>
              <w:t>水质为</w:t>
            </w: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 3 \* ROMAN \* MERGEFORMAT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III</w:t>
            </w:r>
            <w:r>
              <w:rPr>
                <w:rFonts w:hint="default" w:ascii="Times New Roman" w:hAnsi="Times New Roman" w:eastAsia="宋体" w:cs="Times New Roman"/>
                <w:b w:val="0"/>
                <w:color w:val="auto"/>
                <w:sz w:val="24"/>
                <w:szCs w:val="24"/>
                <w:highlight w:val="none"/>
              </w:rPr>
              <w:fldChar w:fldCharType="end"/>
            </w:r>
            <w:r>
              <w:rPr>
                <w:rFonts w:hint="default" w:ascii="Times New Roman" w:hAnsi="Times New Roman" w:eastAsia="宋体" w:cs="Times New Roman"/>
                <w:b w:val="0"/>
                <w:color w:val="auto"/>
                <w:sz w:val="24"/>
                <w:szCs w:val="24"/>
                <w:highlight w:val="none"/>
              </w:rPr>
              <w:t>类</w:t>
            </w:r>
            <w:r>
              <w:rPr>
                <w:rFonts w:hint="default" w:ascii="Times New Roman" w:hAnsi="Times New Roman" w:eastAsia="宋体" w:cs="Times New Roman"/>
                <w:b w:val="0"/>
                <w:color w:val="auto"/>
                <w:sz w:val="24"/>
                <w:szCs w:val="24"/>
                <w:highlight w:val="none"/>
                <w:lang w:eastAsia="zh-CN"/>
              </w:rPr>
              <w:t>；</w:t>
            </w:r>
            <w:r>
              <w:rPr>
                <w:rFonts w:hint="default" w:ascii="Times New Roman" w:hAnsi="Times New Roman" w:eastAsia="宋体" w:cs="Times New Roman"/>
                <w:b w:val="0"/>
                <w:color w:val="auto"/>
                <w:sz w:val="24"/>
                <w:szCs w:val="24"/>
                <w:highlight w:val="none"/>
              </w:rPr>
              <w:t>承德市</w:t>
            </w:r>
            <w:r>
              <w:rPr>
                <w:rFonts w:hint="default" w:ascii="Times New Roman" w:hAnsi="Times New Roman" w:eastAsia="宋体" w:cs="Times New Roman"/>
                <w:b w:val="0"/>
                <w:color w:val="auto"/>
                <w:sz w:val="24"/>
                <w:szCs w:val="24"/>
                <w:highlight w:val="none"/>
                <w:lang w:eastAsia="zh-CN"/>
              </w:rPr>
              <w:t>伊逊河</w:t>
            </w:r>
            <w:r>
              <w:rPr>
                <w:rFonts w:hint="default" w:ascii="Times New Roman" w:hAnsi="Times New Roman" w:eastAsia="宋体" w:cs="Times New Roman"/>
                <w:b w:val="0"/>
                <w:color w:val="auto"/>
                <w:sz w:val="24"/>
                <w:szCs w:val="24"/>
                <w:highlight w:val="none"/>
              </w:rPr>
              <w:t>水质总体为优，与2022年持平</w:t>
            </w:r>
            <w:r>
              <w:rPr>
                <w:rFonts w:hint="default" w:ascii="Times New Roman" w:hAnsi="Times New Roman" w:eastAsia="宋体" w:cs="Times New Roman"/>
                <w:b w:val="0"/>
                <w:color w:val="auto"/>
                <w:sz w:val="24"/>
                <w:szCs w:val="24"/>
                <w:highlight w:val="none"/>
                <w:lang w:eastAsia="zh-CN"/>
              </w:rPr>
              <w:t>，伊逊河监测断面上的李台监测断面水质为</w:t>
            </w:r>
            <w:r>
              <w:rPr>
                <w:rFonts w:hint="default" w:ascii="Times New Roman" w:hAnsi="Times New Roman" w:eastAsia="微软雅黑" w:cs="Times New Roman"/>
                <w:b w:val="0"/>
                <w:color w:val="auto"/>
                <w:sz w:val="24"/>
                <w:szCs w:val="24"/>
                <w:highlight w:val="none"/>
                <w:lang w:eastAsia="zh-CN"/>
              </w:rPr>
              <w:t>Ⅱ</w:t>
            </w:r>
            <w:r>
              <w:rPr>
                <w:rFonts w:hint="default" w:ascii="Times New Roman" w:hAnsi="Times New Roman" w:eastAsia="宋体" w:cs="Times New Roman"/>
                <w:b w:val="0"/>
                <w:color w:val="auto"/>
                <w:sz w:val="24"/>
                <w:szCs w:val="24"/>
                <w:highlight w:val="none"/>
                <w:lang w:eastAsia="zh-CN"/>
              </w:rPr>
              <w:t>类</w:t>
            </w:r>
            <w:r>
              <w:rPr>
                <w:rFonts w:hint="default" w:ascii="Times New Roman" w:hAnsi="Times New Roman" w:eastAsia="微软雅黑" w:cs="Times New Roman"/>
                <w:b w:val="0"/>
                <w:color w:val="auto"/>
                <w:sz w:val="24"/>
                <w:szCs w:val="24"/>
                <w:highlight w:val="none"/>
                <w:lang w:eastAsia="zh-CN"/>
              </w:rPr>
              <w:t>。</w:t>
            </w:r>
          </w:p>
          <w:p w14:paraId="33FEE4E8">
            <w:pPr>
              <w:pStyle w:val="2"/>
              <w:adjustRightInd w:val="0"/>
              <w:snapToGrid w:val="0"/>
              <w:spacing w:after="0" w:line="480" w:lineRule="exact"/>
              <w:ind w:firstLine="482" w:firstLineChars="200"/>
              <w:rPr>
                <w:rFonts w:hint="default" w:ascii="Times New Roman" w:hAnsi="Times New Roman" w:eastAsia="宋体" w:cs="Times New Roman"/>
                <w:b/>
                <w:bCs/>
                <w:snapToGrid w:val="0"/>
                <w:color w:val="auto"/>
                <w:sz w:val="24"/>
                <w:szCs w:val="24"/>
                <w:highlight w:val="none"/>
                <w:lang w:eastAsia="zh-CN"/>
              </w:rPr>
            </w:pPr>
            <w:r>
              <w:rPr>
                <w:rFonts w:hint="default" w:ascii="Times New Roman" w:hAnsi="Times New Roman" w:eastAsia="宋体" w:cs="Times New Roman"/>
                <w:b/>
                <w:bCs/>
                <w:snapToGrid w:val="0"/>
                <w:color w:val="auto"/>
                <w:sz w:val="24"/>
                <w:szCs w:val="24"/>
                <w:highlight w:val="none"/>
                <w:lang w:eastAsia="zh-CN"/>
              </w:rPr>
              <w:t>6、工频电磁场环境现状</w:t>
            </w:r>
          </w:p>
          <w:p w14:paraId="54A05FE9">
            <w:pPr>
              <w:pStyle w:val="2"/>
              <w:spacing w:after="0" w:line="480" w:lineRule="exact"/>
              <w:ind w:firstLine="480" w:firstLineChars="200"/>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为了解项目拟建输电线路周边电磁环境质量现状，委托</w:t>
            </w:r>
            <w:r>
              <w:rPr>
                <w:rFonts w:hint="default" w:ascii="Times New Roman" w:hAnsi="Times New Roman" w:eastAsia="宋体" w:cs="Times New Roman"/>
                <w:bCs/>
                <w:color w:val="auto"/>
                <w:sz w:val="24"/>
                <w:szCs w:val="24"/>
                <w:highlight w:val="none"/>
                <w:lang w:eastAsia="zh-CN"/>
              </w:rPr>
              <w:t>承德市东岭环境监测有限公司</w:t>
            </w:r>
            <w:r>
              <w:rPr>
                <w:rFonts w:hint="default" w:ascii="Times New Roman" w:hAnsi="Times New Roman" w:eastAsia="宋体" w:cs="Times New Roman"/>
                <w:color w:val="auto"/>
                <w:sz w:val="24"/>
                <w:szCs w:val="24"/>
                <w:highlight w:val="none"/>
                <w:lang w:eastAsia="zh-CN"/>
              </w:rPr>
              <w:t>对本项目电磁环境现状进行了监测，监测报告编号为：</w:t>
            </w:r>
            <w:r>
              <w:rPr>
                <w:rFonts w:hint="default" w:ascii="Times New Roman" w:hAnsi="Times New Roman" w:eastAsia="宋体" w:cs="Times New Roman"/>
                <w:bCs/>
                <w:color w:val="auto"/>
                <w:sz w:val="24"/>
                <w:szCs w:val="24"/>
                <w:highlight w:val="none"/>
                <w:lang w:eastAsia="zh-CN"/>
              </w:rPr>
              <w:t>DLHJ字（2024）第224号（详见附件）。</w:t>
            </w:r>
          </w:p>
          <w:p w14:paraId="278C605D">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（1）监测仪器</w:t>
            </w:r>
          </w:p>
          <w:p w14:paraId="4F5986C8">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所用仪器均经国家计量部门检验合格，并处于检验证书有效期内，仪器的频率性能覆盖监测对象的频率范围。</w:t>
            </w:r>
          </w:p>
          <w:p w14:paraId="40B4DD70">
            <w:pPr>
              <w:pStyle w:val="2"/>
              <w:spacing w:after="0" w:line="480" w:lineRule="exact"/>
              <w:ind w:firstLine="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表3-5  本项目监测仪器一览表</w:t>
            </w:r>
          </w:p>
          <w:tbl>
            <w:tblPr>
              <w:tblStyle w:val="33"/>
              <w:tblW w:w="87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
              <w:gridCol w:w="1377"/>
              <w:gridCol w:w="1191"/>
              <w:gridCol w:w="1996"/>
              <w:gridCol w:w="2033"/>
              <w:gridCol w:w="1733"/>
            </w:tblGrid>
            <w:tr w14:paraId="12F45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dxa"/>
                  <w:vAlign w:val="center"/>
                </w:tcPr>
                <w:p w14:paraId="759FF7BD">
                  <w:pPr>
                    <w:autoSpaceDE/>
                    <w:autoSpaceDN/>
                    <w:spacing w:line="30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序号</w:t>
                  </w:r>
                </w:p>
              </w:tc>
              <w:tc>
                <w:tcPr>
                  <w:tcW w:w="1377" w:type="dxa"/>
                  <w:vAlign w:val="center"/>
                </w:tcPr>
                <w:p w14:paraId="14EFF6A3">
                  <w:pPr>
                    <w:autoSpaceDE/>
                    <w:autoSpaceDN/>
                    <w:spacing w:line="30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仪器名称、编号</w:t>
                  </w:r>
                </w:p>
              </w:tc>
              <w:tc>
                <w:tcPr>
                  <w:tcW w:w="1191" w:type="dxa"/>
                  <w:vAlign w:val="center"/>
                </w:tcPr>
                <w:p w14:paraId="54D5911F">
                  <w:pPr>
                    <w:autoSpaceDE/>
                    <w:autoSpaceDN/>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仪器</w:t>
                  </w:r>
                </w:p>
                <w:p w14:paraId="202D3E29">
                  <w:pPr>
                    <w:autoSpaceDE/>
                    <w:autoSpaceDN/>
                    <w:spacing w:line="30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型号</w:t>
                  </w:r>
                </w:p>
              </w:tc>
              <w:tc>
                <w:tcPr>
                  <w:tcW w:w="1996" w:type="dxa"/>
                  <w:vAlign w:val="center"/>
                </w:tcPr>
                <w:p w14:paraId="02B673F4">
                  <w:pPr>
                    <w:autoSpaceDE/>
                    <w:autoSpaceDN/>
                    <w:spacing w:line="30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测量范围或量程</w:t>
                  </w:r>
                </w:p>
              </w:tc>
              <w:tc>
                <w:tcPr>
                  <w:tcW w:w="2033" w:type="dxa"/>
                  <w:vAlign w:val="center"/>
                </w:tcPr>
                <w:p w14:paraId="2C8B0EF0">
                  <w:pPr>
                    <w:autoSpaceDE/>
                    <w:autoSpaceDN/>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检定/校准</w:t>
                  </w:r>
                </w:p>
                <w:p w14:paraId="6DC8E8F9">
                  <w:pPr>
                    <w:autoSpaceDE/>
                    <w:autoSpaceDN/>
                    <w:spacing w:line="30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有效期</w:t>
                  </w:r>
                </w:p>
              </w:tc>
              <w:tc>
                <w:tcPr>
                  <w:tcW w:w="1733" w:type="dxa"/>
                  <w:vAlign w:val="center"/>
                </w:tcPr>
                <w:p w14:paraId="4F9E9CDB">
                  <w:pPr>
                    <w:autoSpaceDE/>
                    <w:autoSpaceDN/>
                    <w:spacing w:line="30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检定/校准机构</w:t>
                  </w:r>
                </w:p>
              </w:tc>
            </w:tr>
            <w:tr w14:paraId="58AAB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dxa"/>
                  <w:vAlign w:val="center"/>
                </w:tcPr>
                <w:p w14:paraId="42903850">
                  <w:pPr>
                    <w:autoSpaceDE/>
                    <w:autoSpaceDN/>
                    <w:spacing w:line="300" w:lineRule="exac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sz w:val="21"/>
                      <w:szCs w:val="21"/>
                      <w:highlight w:val="none"/>
                      <w:lang w:bidi="ar"/>
                    </w:rPr>
                    <w:t>1</w:t>
                  </w:r>
                </w:p>
              </w:tc>
              <w:tc>
                <w:tcPr>
                  <w:tcW w:w="1377" w:type="dxa"/>
                  <w:vAlign w:val="center"/>
                </w:tcPr>
                <w:p w14:paraId="31CD3426">
                  <w:pPr>
                    <w:autoSpaceDE/>
                    <w:autoSpaceDN/>
                    <w:spacing w:line="300" w:lineRule="exac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sz w:val="21"/>
                      <w:szCs w:val="21"/>
                      <w:highlight w:val="none"/>
                      <w:lang w:bidi="ar"/>
                    </w:rPr>
                    <w:t>电磁辐射分析仪DLYQ-65</w:t>
                  </w:r>
                </w:p>
              </w:tc>
              <w:tc>
                <w:tcPr>
                  <w:tcW w:w="1191" w:type="dxa"/>
                  <w:vAlign w:val="center"/>
                </w:tcPr>
                <w:p w14:paraId="28565C8A">
                  <w:pPr>
                    <w:autoSpaceDE/>
                    <w:autoSpaceDN/>
                    <w:spacing w:line="300" w:lineRule="exact"/>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LF-01D/</w:t>
                  </w:r>
                </w:p>
                <w:p w14:paraId="1428DF98">
                  <w:pPr>
                    <w:autoSpaceDE/>
                    <w:autoSpaceDN/>
                    <w:spacing w:line="300" w:lineRule="exac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sz w:val="21"/>
                      <w:szCs w:val="21"/>
                      <w:highlight w:val="none"/>
                      <w:lang w:bidi="ar"/>
                    </w:rPr>
                    <w:t>SEM-600</w:t>
                  </w:r>
                </w:p>
              </w:tc>
              <w:tc>
                <w:tcPr>
                  <w:tcW w:w="1996" w:type="dxa"/>
                  <w:vAlign w:val="center"/>
                </w:tcPr>
                <w:p w14:paraId="7F168C4D">
                  <w:pPr>
                    <w:autoSpaceDE/>
                    <w:autoSpaceDN/>
                    <w:spacing w:line="300" w:lineRule="exac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sz w:val="21"/>
                      <w:szCs w:val="21"/>
                      <w:highlight w:val="none"/>
                      <w:lang w:bidi="ar"/>
                    </w:rPr>
                    <w:t>0.01V/m～100kV/m  1nT～10mT</w:t>
                  </w:r>
                </w:p>
              </w:tc>
              <w:tc>
                <w:tcPr>
                  <w:tcW w:w="2033" w:type="dxa"/>
                  <w:vAlign w:val="center"/>
                </w:tcPr>
                <w:p w14:paraId="1F116E1F">
                  <w:pPr>
                    <w:autoSpaceDE/>
                    <w:autoSpaceDN/>
                    <w:spacing w:line="300" w:lineRule="exac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sz w:val="21"/>
                      <w:szCs w:val="21"/>
                      <w:highlight w:val="none"/>
                      <w:lang w:bidi="ar"/>
                    </w:rPr>
                    <w:t>2024年05月10日-2025年05月09日</w:t>
                  </w:r>
                </w:p>
              </w:tc>
              <w:tc>
                <w:tcPr>
                  <w:tcW w:w="1733" w:type="dxa"/>
                  <w:vAlign w:val="center"/>
                </w:tcPr>
                <w:p w14:paraId="7ABA5062">
                  <w:pPr>
                    <w:autoSpaceDE/>
                    <w:autoSpaceDN/>
                    <w:spacing w:line="300" w:lineRule="exac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sz w:val="21"/>
                      <w:szCs w:val="21"/>
                      <w:highlight w:val="none"/>
                      <w:lang w:bidi="ar"/>
                    </w:rPr>
                    <w:t>中国计量科学研究院</w:t>
                  </w:r>
                </w:p>
              </w:tc>
            </w:tr>
            <w:tr w14:paraId="2A568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dxa"/>
                  <w:vAlign w:val="center"/>
                </w:tcPr>
                <w:p w14:paraId="284E01DD">
                  <w:pPr>
                    <w:autoSpaceDE/>
                    <w:autoSpaceDN/>
                    <w:spacing w:line="300" w:lineRule="exac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sz w:val="21"/>
                      <w:szCs w:val="21"/>
                      <w:highlight w:val="none"/>
                      <w:lang w:bidi="ar"/>
                    </w:rPr>
                    <w:t>2</w:t>
                  </w:r>
                </w:p>
              </w:tc>
              <w:tc>
                <w:tcPr>
                  <w:tcW w:w="1377" w:type="dxa"/>
                  <w:vAlign w:val="center"/>
                </w:tcPr>
                <w:p w14:paraId="53AA51C0">
                  <w:pPr>
                    <w:autoSpaceDE/>
                    <w:autoSpaceDN/>
                    <w:spacing w:line="300" w:lineRule="exac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sz w:val="21"/>
                      <w:szCs w:val="21"/>
                      <w:highlight w:val="none"/>
                      <w:lang w:bidi="ar"/>
                    </w:rPr>
                    <w:t>温湿度表DLYQ-37</w:t>
                  </w:r>
                </w:p>
              </w:tc>
              <w:tc>
                <w:tcPr>
                  <w:tcW w:w="1191" w:type="dxa"/>
                  <w:vAlign w:val="center"/>
                </w:tcPr>
                <w:p w14:paraId="480F241E">
                  <w:pPr>
                    <w:autoSpaceDE/>
                    <w:autoSpaceDN/>
                    <w:spacing w:line="300" w:lineRule="exac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sz w:val="21"/>
                      <w:szCs w:val="21"/>
                      <w:highlight w:val="none"/>
                      <w:lang w:bidi="ar"/>
                    </w:rPr>
                    <w:t>WHM5型</w:t>
                  </w:r>
                </w:p>
              </w:tc>
              <w:tc>
                <w:tcPr>
                  <w:tcW w:w="1996" w:type="dxa"/>
                  <w:vAlign w:val="center"/>
                </w:tcPr>
                <w:p w14:paraId="07E965EC">
                  <w:pPr>
                    <w:autoSpaceDE/>
                    <w:autoSpaceDN/>
                    <w:spacing w:line="300" w:lineRule="exac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sz w:val="21"/>
                      <w:szCs w:val="21"/>
                      <w:highlight w:val="none"/>
                      <w:lang w:bidi="ar"/>
                    </w:rPr>
                    <w:t>-20℃～+40℃ （0～100%）RH</w:t>
                  </w:r>
                </w:p>
              </w:tc>
              <w:tc>
                <w:tcPr>
                  <w:tcW w:w="2033" w:type="dxa"/>
                  <w:vAlign w:val="center"/>
                </w:tcPr>
                <w:p w14:paraId="1FF7CC1A">
                  <w:pPr>
                    <w:autoSpaceDE/>
                    <w:autoSpaceDN/>
                    <w:spacing w:line="300" w:lineRule="exac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sz w:val="21"/>
                      <w:szCs w:val="21"/>
                      <w:highlight w:val="none"/>
                      <w:lang w:bidi="ar"/>
                    </w:rPr>
                    <w:t>2024年01月08日-2025年01月07日</w:t>
                  </w:r>
                </w:p>
              </w:tc>
              <w:tc>
                <w:tcPr>
                  <w:tcW w:w="1733" w:type="dxa"/>
                  <w:vAlign w:val="center"/>
                </w:tcPr>
                <w:p w14:paraId="005DD239">
                  <w:pPr>
                    <w:autoSpaceDE/>
                    <w:autoSpaceDN/>
                    <w:spacing w:line="300" w:lineRule="exac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sz w:val="21"/>
                      <w:szCs w:val="21"/>
                      <w:highlight w:val="none"/>
                      <w:lang w:bidi="ar"/>
                    </w:rPr>
                    <w:t>河北省计量监督检测研究院</w:t>
                  </w:r>
                </w:p>
              </w:tc>
            </w:tr>
          </w:tbl>
          <w:p w14:paraId="5399916C">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（2）监测方法</w:t>
            </w:r>
          </w:p>
          <w:p w14:paraId="456CB1E1">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按照《交流输变电工程电磁环境监测方法（试行）》（HJ681-2013）进行。</w:t>
            </w:r>
          </w:p>
          <w:p w14:paraId="75F0CFD0">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（3）监测点位、监测频次及监测因子</w:t>
            </w:r>
          </w:p>
          <w:p w14:paraId="32615EEA">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监测点位：</w:t>
            </w:r>
            <w:r>
              <w:rPr>
                <w:rFonts w:hint="default" w:ascii="Times New Roman" w:hAnsi="Times New Roman" w:eastAsia="宋体" w:cs="Times New Roman"/>
                <w:color w:val="auto"/>
                <w:sz w:val="24"/>
                <w:szCs w:val="24"/>
                <w:highlight w:val="none"/>
              </w:rPr>
              <w:t>华能围场“风光储氢热一体化”项目（光伏200MW）项目220kV送出线路工程项目拟建220kV线路N15~N16塔</w:t>
            </w:r>
            <w:r>
              <w:rPr>
                <w:rFonts w:hint="default" w:ascii="Times New Roman" w:hAnsi="Times New Roman" w:eastAsia="宋体" w:cs="Times New Roman"/>
                <w:color w:val="auto"/>
                <w:sz w:val="24"/>
                <w:szCs w:val="24"/>
                <w:highlight w:val="none"/>
                <w:lang w:eastAsia="zh-CN"/>
              </w:rPr>
              <w:t>（优化塔基位置后</w:t>
            </w:r>
            <w:r>
              <w:rPr>
                <w:rFonts w:hint="default" w:ascii="Times New Roman" w:hAnsi="Times New Roman" w:eastAsia="宋体" w:cs="Times New Roman"/>
                <w:color w:val="auto"/>
                <w:sz w:val="24"/>
                <w:szCs w:val="24"/>
                <w:highlight w:val="none"/>
                <w:lang w:val="en-US" w:eastAsia="zh-CN"/>
              </w:rPr>
              <w:t>N13~N14塔</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之间线下设1个监测点（1#），拟建220kV线路N25-N26塔</w:t>
            </w:r>
            <w:r>
              <w:rPr>
                <w:rFonts w:hint="default" w:ascii="Times New Roman" w:hAnsi="Times New Roman" w:eastAsia="宋体" w:cs="Times New Roman"/>
                <w:color w:val="auto"/>
                <w:sz w:val="24"/>
                <w:szCs w:val="24"/>
                <w:highlight w:val="none"/>
                <w:lang w:eastAsia="zh-CN"/>
              </w:rPr>
              <w:t>（优化塔基位置后</w:t>
            </w:r>
            <w:r>
              <w:rPr>
                <w:rFonts w:hint="default" w:ascii="Times New Roman" w:hAnsi="Times New Roman" w:eastAsia="宋体" w:cs="Times New Roman"/>
                <w:color w:val="auto"/>
                <w:sz w:val="24"/>
                <w:szCs w:val="24"/>
                <w:highlight w:val="none"/>
                <w:lang w:val="en-US" w:eastAsia="zh-CN"/>
              </w:rPr>
              <w:t>N22~N23塔</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之间线下设1个监测点（2#），拟建220kV线路N57~N58塔</w:t>
            </w:r>
            <w:r>
              <w:rPr>
                <w:rFonts w:hint="default" w:ascii="Times New Roman" w:hAnsi="Times New Roman" w:eastAsia="宋体" w:cs="Times New Roman"/>
                <w:color w:val="auto"/>
                <w:sz w:val="24"/>
                <w:szCs w:val="24"/>
                <w:highlight w:val="none"/>
                <w:lang w:eastAsia="zh-CN"/>
              </w:rPr>
              <w:t>（优化塔基位置后</w:t>
            </w:r>
            <w:r>
              <w:rPr>
                <w:rFonts w:hint="default" w:ascii="Times New Roman" w:hAnsi="Times New Roman" w:eastAsia="宋体" w:cs="Times New Roman"/>
                <w:color w:val="auto"/>
                <w:sz w:val="24"/>
                <w:szCs w:val="24"/>
                <w:highlight w:val="none"/>
                <w:lang w:val="en-US" w:eastAsia="zh-CN"/>
              </w:rPr>
              <w:t>N49~N50塔</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之间线下设1个监测点（3#）</w:t>
            </w:r>
            <w:r>
              <w:rPr>
                <w:rFonts w:hint="default" w:ascii="Times New Roman" w:hAnsi="Times New Roman" w:eastAsia="宋体" w:cs="Times New Roman"/>
                <w:color w:val="auto"/>
                <w:sz w:val="24"/>
                <w:szCs w:val="24"/>
                <w:highlight w:val="none"/>
                <w:lang w:eastAsia="zh-CN"/>
              </w:rPr>
              <w:t>，共设置3个监测点位。监测布点示意图见附图3。</w:t>
            </w:r>
          </w:p>
          <w:p w14:paraId="5C8316B1">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监测频次：监测1次。</w:t>
            </w:r>
          </w:p>
          <w:p w14:paraId="2C0A5C6B">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监测因子：工频电场（V/m）、工频磁场（μT）。</w:t>
            </w:r>
          </w:p>
          <w:p w14:paraId="24883FBA">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（4）监测单位、时间</w:t>
            </w:r>
          </w:p>
          <w:p w14:paraId="1A0187A8">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承德市东岭环境监测有限公司</w:t>
            </w:r>
            <w:r>
              <w:rPr>
                <w:rFonts w:hint="default" w:ascii="Times New Roman" w:hAnsi="Times New Roman" w:eastAsia="宋体" w:cs="Times New Roman"/>
                <w:color w:val="auto"/>
                <w:sz w:val="24"/>
                <w:szCs w:val="24"/>
                <w:highlight w:val="none"/>
                <w:lang w:eastAsia="zh-CN"/>
              </w:rPr>
              <w:t>于2024年8月15日进行监测。</w:t>
            </w:r>
          </w:p>
          <w:p w14:paraId="47BDFDA4">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无雨无雪，昼间：环境温度：22-25℃；相对湿度：</w:t>
            </w:r>
            <w:r>
              <w:rPr>
                <w:rFonts w:hint="eastAsia" w:ascii="Times New Roman" w:hAnsi="Times New Roman" w:eastAsia="宋体" w:cs="Times New Roman"/>
                <w:color w:val="auto"/>
                <w:sz w:val="24"/>
                <w:szCs w:val="24"/>
                <w:highlight w:val="none"/>
                <w:lang w:eastAsia="zh-CN"/>
              </w:rPr>
              <w:t>56%-60%</w:t>
            </w:r>
            <w:r>
              <w:rPr>
                <w:rFonts w:hint="default" w:ascii="Times New Roman" w:hAnsi="Times New Roman" w:eastAsia="宋体" w:cs="Times New Roman"/>
                <w:color w:val="auto"/>
                <w:sz w:val="24"/>
                <w:szCs w:val="24"/>
                <w:highlight w:val="none"/>
                <w:lang w:eastAsia="zh-CN"/>
              </w:rPr>
              <w:t>；风速为1.7-1.9m/s。</w:t>
            </w:r>
          </w:p>
          <w:p w14:paraId="5EB84C9A">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（5）监测结果</w:t>
            </w:r>
          </w:p>
          <w:p w14:paraId="5F5F897C">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拟建线路沿线工频电磁强度现状值监测结果见下表。</w:t>
            </w:r>
          </w:p>
          <w:p w14:paraId="6F2A3635">
            <w:pPr>
              <w:pStyle w:val="2"/>
              <w:spacing w:after="0" w:line="240" w:lineRule="atLeast"/>
              <w:ind w:firstLine="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color w:val="auto"/>
                <w:sz w:val="21"/>
                <w:szCs w:val="21"/>
                <w:highlight w:val="none"/>
                <w:lang w:eastAsia="zh-CN"/>
              </w:rPr>
              <w:t>表3-6  本项目电磁环境现状值监测结果</w:t>
            </w:r>
          </w:p>
          <w:tbl>
            <w:tblPr>
              <w:tblStyle w:val="32"/>
              <w:tblW w:w="50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
              <w:gridCol w:w="3688"/>
              <w:gridCol w:w="1563"/>
              <w:gridCol w:w="1448"/>
              <w:gridCol w:w="1424"/>
            </w:tblGrid>
            <w:tr w14:paraId="182DA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Align w:val="center"/>
                </w:tcPr>
                <w:p w14:paraId="416E792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2152" w:type="pct"/>
                  <w:vAlign w:val="center"/>
                </w:tcPr>
                <w:p w14:paraId="4629B3C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监测点位</w:t>
                  </w:r>
                </w:p>
              </w:tc>
              <w:tc>
                <w:tcPr>
                  <w:tcW w:w="912" w:type="pct"/>
                  <w:vAlign w:val="center"/>
                </w:tcPr>
                <w:p w14:paraId="48E32D3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工频电场强度(V/m)</w:t>
                  </w:r>
                </w:p>
              </w:tc>
              <w:tc>
                <w:tcPr>
                  <w:tcW w:w="845" w:type="pct"/>
                  <w:vAlign w:val="center"/>
                </w:tcPr>
                <w:p w14:paraId="4E497E5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工频磁感应强度(μT)</w:t>
                  </w:r>
                </w:p>
              </w:tc>
              <w:tc>
                <w:tcPr>
                  <w:tcW w:w="831" w:type="pct"/>
                  <w:vAlign w:val="center"/>
                </w:tcPr>
                <w:p w14:paraId="74811C7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备注</w:t>
                  </w:r>
                </w:p>
              </w:tc>
            </w:tr>
            <w:tr w14:paraId="732C6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Align w:val="center"/>
                </w:tcPr>
                <w:p w14:paraId="2A35AFA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152" w:type="pct"/>
                  <w:vAlign w:val="center"/>
                </w:tcPr>
                <w:p w14:paraId="689F61F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拟建线路N15--N16（优化塔基位置后N13~N14塔）之间线下（1#）</w:t>
                  </w:r>
                </w:p>
              </w:tc>
              <w:tc>
                <w:tcPr>
                  <w:tcW w:w="912" w:type="pct"/>
                  <w:vAlign w:val="center"/>
                </w:tcPr>
                <w:p w14:paraId="457D4C1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1.23</w:t>
                  </w:r>
                </w:p>
              </w:tc>
              <w:tc>
                <w:tcPr>
                  <w:tcW w:w="845" w:type="pct"/>
                  <w:vAlign w:val="center"/>
                </w:tcPr>
                <w:p w14:paraId="72DC092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0.013</w:t>
                  </w:r>
                </w:p>
              </w:tc>
              <w:tc>
                <w:tcPr>
                  <w:tcW w:w="831" w:type="pct"/>
                  <w:vMerge w:val="restart"/>
                  <w:vAlign w:val="center"/>
                </w:tcPr>
                <w:p w14:paraId="7E5738D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河北滦河上游国家级自然保护区实验区</w:t>
                  </w:r>
                </w:p>
              </w:tc>
            </w:tr>
            <w:tr w14:paraId="50176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Align w:val="center"/>
                </w:tcPr>
                <w:p w14:paraId="08AD08E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2152" w:type="pct"/>
                  <w:vAlign w:val="center"/>
                </w:tcPr>
                <w:p w14:paraId="713AC5D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拟建线路N25-N26（优化塔基位置后N22~N23塔）之间线下（2#）</w:t>
                  </w:r>
                </w:p>
              </w:tc>
              <w:tc>
                <w:tcPr>
                  <w:tcW w:w="912" w:type="pct"/>
                  <w:vAlign w:val="center"/>
                </w:tcPr>
                <w:p w14:paraId="76C530C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1.39</w:t>
                  </w:r>
                </w:p>
              </w:tc>
              <w:tc>
                <w:tcPr>
                  <w:tcW w:w="845" w:type="pct"/>
                  <w:vAlign w:val="center"/>
                </w:tcPr>
                <w:p w14:paraId="05ED5AC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0.019</w:t>
                  </w:r>
                </w:p>
              </w:tc>
              <w:tc>
                <w:tcPr>
                  <w:tcW w:w="831" w:type="pct"/>
                  <w:vMerge w:val="continue"/>
                  <w:vAlign w:val="center"/>
                </w:tcPr>
                <w:p w14:paraId="7DC029F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p>
              </w:tc>
            </w:tr>
            <w:tr w14:paraId="08F2C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Align w:val="center"/>
                </w:tcPr>
                <w:p w14:paraId="2D4BABD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2152" w:type="pct"/>
                  <w:vAlign w:val="center"/>
                </w:tcPr>
                <w:p w14:paraId="4B0B54E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拟建线路N</w:t>
                  </w:r>
                  <w:r>
                    <w:rPr>
                      <w:rFonts w:hint="default" w:ascii="Times New Roman" w:hAnsi="Times New Roman" w:eastAsia="宋体" w:cs="Times New Roman"/>
                      <w:color w:val="auto"/>
                      <w:sz w:val="21"/>
                      <w:szCs w:val="21"/>
                      <w:highlight w:val="none"/>
                      <w:lang w:val="en-US" w:eastAsia="zh-CN"/>
                    </w:rPr>
                    <w:t>49</w:t>
                  </w:r>
                  <w:r>
                    <w:rPr>
                      <w:rFonts w:hint="default" w:ascii="Times New Roman" w:hAnsi="Times New Roman" w:eastAsia="宋体" w:cs="Times New Roman"/>
                      <w:color w:val="auto"/>
                      <w:sz w:val="21"/>
                      <w:szCs w:val="21"/>
                      <w:highlight w:val="none"/>
                    </w:rPr>
                    <w:t>-N5</w:t>
                  </w:r>
                  <w:r>
                    <w:rPr>
                      <w:rFonts w:hint="default" w:ascii="Times New Roman" w:hAnsi="Times New Roman" w:eastAsia="宋体" w:cs="Times New Roman"/>
                      <w:color w:val="auto"/>
                      <w:sz w:val="21"/>
                      <w:szCs w:val="21"/>
                      <w:highlight w:val="none"/>
                      <w:lang w:val="en-US" w:eastAsia="zh-CN"/>
                    </w:rPr>
                    <w:t>0（优化塔基位置后N49~N50塔）</w:t>
                  </w:r>
                  <w:r>
                    <w:rPr>
                      <w:rFonts w:hint="default" w:ascii="Times New Roman" w:hAnsi="Times New Roman" w:eastAsia="宋体" w:cs="Times New Roman"/>
                      <w:color w:val="auto"/>
                      <w:sz w:val="21"/>
                      <w:szCs w:val="21"/>
                      <w:highlight w:val="none"/>
                    </w:rPr>
                    <w:t>之间线下（3#）</w:t>
                  </w:r>
                </w:p>
              </w:tc>
              <w:tc>
                <w:tcPr>
                  <w:tcW w:w="912" w:type="pct"/>
                  <w:vAlign w:val="center"/>
                </w:tcPr>
                <w:p w14:paraId="0CC4216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1.04</w:t>
                  </w:r>
                </w:p>
              </w:tc>
              <w:tc>
                <w:tcPr>
                  <w:tcW w:w="845" w:type="pct"/>
                  <w:vAlign w:val="center"/>
                </w:tcPr>
                <w:p w14:paraId="5B42CC0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0.013</w:t>
                  </w:r>
                </w:p>
              </w:tc>
              <w:tc>
                <w:tcPr>
                  <w:tcW w:w="831" w:type="pct"/>
                  <w:vAlign w:val="center"/>
                </w:tcPr>
                <w:p w14:paraId="2C991CC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bl>
          <w:p w14:paraId="64DD64D3">
            <w:pPr>
              <w:adjustRightInd w:val="0"/>
              <w:spacing w:line="480" w:lineRule="exact"/>
              <w:ind w:firstLine="480" w:firstLineChars="200"/>
              <w:rPr>
                <w:rFonts w:hint="default" w:ascii="Times New Roman" w:hAnsi="Times New Roman" w:eastAsia="宋体" w:cs="Times New Roman"/>
                <w:color w:val="auto"/>
                <w:spacing w:val="4"/>
                <w:sz w:val="24"/>
                <w:szCs w:val="24"/>
                <w:highlight w:val="none"/>
              </w:rPr>
            </w:pPr>
            <w:r>
              <w:rPr>
                <w:rFonts w:hint="default" w:ascii="Times New Roman" w:hAnsi="Times New Roman" w:eastAsia="宋体" w:cs="Times New Roman"/>
                <w:color w:val="auto"/>
                <w:sz w:val="24"/>
                <w:szCs w:val="24"/>
                <w:highlight w:val="none"/>
              </w:rPr>
              <w:t>由上表可知，拟建线路沿线工频电场强度为1.04V/m~1.39V/m，工频磁感应强度为0.013μT~0.019μT，监测结果均符合《电磁环境控制限值》(GB8702-2014)中规定的4kV/m和100μT公众曝露控制限值要求。</w:t>
            </w:r>
          </w:p>
          <w:p w14:paraId="1C71EA3E">
            <w:pPr>
              <w:spacing w:line="480" w:lineRule="exact"/>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7、声环境质量现状</w:t>
            </w:r>
          </w:p>
          <w:p w14:paraId="5933FC1A">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为了解项目拟建输电线路周边声环境质量现状，委托</w:t>
            </w:r>
            <w:r>
              <w:rPr>
                <w:rFonts w:hint="default" w:ascii="Times New Roman" w:hAnsi="Times New Roman" w:eastAsia="宋体" w:cs="Times New Roman"/>
                <w:bCs/>
                <w:color w:val="auto"/>
                <w:sz w:val="24"/>
                <w:szCs w:val="24"/>
                <w:highlight w:val="none"/>
                <w:lang w:eastAsia="zh-CN"/>
              </w:rPr>
              <w:t>承德市东岭环境监测有限公司</w:t>
            </w:r>
            <w:r>
              <w:rPr>
                <w:rFonts w:hint="default" w:ascii="Times New Roman" w:hAnsi="Times New Roman" w:eastAsia="宋体" w:cs="Times New Roman"/>
                <w:color w:val="auto"/>
                <w:sz w:val="24"/>
                <w:szCs w:val="24"/>
                <w:highlight w:val="none"/>
                <w:lang w:eastAsia="zh-CN"/>
              </w:rPr>
              <w:t>对本项目声环境现状进行了监测，监测报告编号为：</w:t>
            </w:r>
            <w:r>
              <w:rPr>
                <w:rFonts w:hint="default" w:ascii="Times New Roman" w:hAnsi="Times New Roman" w:eastAsia="宋体" w:cs="Times New Roman"/>
                <w:bCs/>
                <w:color w:val="auto"/>
                <w:sz w:val="24"/>
                <w:szCs w:val="24"/>
                <w:highlight w:val="none"/>
                <w:lang w:eastAsia="zh-CN"/>
              </w:rPr>
              <w:t>DLHJ字（2024）第224号</w:t>
            </w:r>
            <w:r>
              <w:rPr>
                <w:rFonts w:hint="default" w:ascii="Times New Roman" w:hAnsi="Times New Roman" w:eastAsia="宋体" w:cs="Times New Roman"/>
                <w:color w:val="auto"/>
                <w:spacing w:val="4"/>
                <w:sz w:val="24"/>
                <w:szCs w:val="24"/>
                <w:highlight w:val="none"/>
                <w:lang w:eastAsia="zh-CN"/>
              </w:rPr>
              <w:t>（详见附件）</w:t>
            </w:r>
            <w:r>
              <w:rPr>
                <w:rFonts w:hint="default" w:ascii="Times New Roman" w:hAnsi="Times New Roman" w:eastAsia="宋体" w:cs="Times New Roman"/>
                <w:bCs/>
                <w:color w:val="auto"/>
                <w:sz w:val="24"/>
                <w:szCs w:val="24"/>
                <w:highlight w:val="none"/>
                <w:lang w:eastAsia="zh-CN"/>
              </w:rPr>
              <w:t>。</w:t>
            </w:r>
          </w:p>
          <w:p w14:paraId="3A5B5866">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（1）监测仪器</w:t>
            </w:r>
          </w:p>
          <w:p w14:paraId="5D5B0A8F">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所用仪器均经国家计量部门检验合格，并处于检验证书有效期内，仪器的频率性能覆盖监测对象的频率范围。</w:t>
            </w:r>
          </w:p>
          <w:p w14:paraId="08B0F10F">
            <w:pPr>
              <w:pStyle w:val="2"/>
              <w:spacing w:after="0" w:line="480" w:lineRule="exact"/>
              <w:ind w:firstLine="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 xml:space="preserve">表3-7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eastAsia="zh-CN"/>
              </w:rPr>
              <w:t>本项目监测仪器一览表</w:t>
            </w:r>
          </w:p>
          <w:tbl>
            <w:tblPr>
              <w:tblStyle w:val="33"/>
              <w:tblW w:w="169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
              <w:gridCol w:w="1330"/>
              <w:gridCol w:w="988"/>
              <w:gridCol w:w="2375"/>
              <w:gridCol w:w="1865"/>
              <w:gridCol w:w="1490"/>
              <w:gridCol w:w="1409"/>
              <w:gridCol w:w="1409"/>
              <w:gridCol w:w="1410"/>
              <w:gridCol w:w="1410"/>
              <w:gridCol w:w="1410"/>
              <w:gridCol w:w="1410"/>
            </w:tblGrid>
            <w:tr w14:paraId="2C6F4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dxa"/>
                  <w:vAlign w:val="center"/>
                </w:tcPr>
                <w:p w14:paraId="071C8F84">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330" w:type="dxa"/>
                  <w:vAlign w:val="center"/>
                </w:tcPr>
                <w:p w14:paraId="6DBA5DDE">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仪器名称、编号</w:t>
                  </w:r>
                </w:p>
              </w:tc>
              <w:tc>
                <w:tcPr>
                  <w:tcW w:w="988" w:type="dxa"/>
                  <w:vAlign w:val="center"/>
                </w:tcPr>
                <w:p w14:paraId="21B00037">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仪器</w:t>
                  </w:r>
                </w:p>
                <w:p w14:paraId="78050D7A">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型号</w:t>
                  </w:r>
                </w:p>
              </w:tc>
              <w:tc>
                <w:tcPr>
                  <w:tcW w:w="2375" w:type="dxa"/>
                  <w:vAlign w:val="center"/>
                </w:tcPr>
                <w:p w14:paraId="74E2F6CE">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测量范围或量程</w:t>
                  </w:r>
                </w:p>
              </w:tc>
              <w:tc>
                <w:tcPr>
                  <w:tcW w:w="1865" w:type="dxa"/>
                  <w:vAlign w:val="center"/>
                </w:tcPr>
                <w:p w14:paraId="422335D8">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检定/校准</w:t>
                  </w:r>
                </w:p>
                <w:p w14:paraId="5BD586CB">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有效期</w:t>
                  </w:r>
                </w:p>
              </w:tc>
              <w:tc>
                <w:tcPr>
                  <w:tcW w:w="1490" w:type="dxa"/>
                  <w:vAlign w:val="center"/>
                </w:tcPr>
                <w:p w14:paraId="29A10618">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检定/校准机构</w:t>
                  </w:r>
                </w:p>
              </w:tc>
              <w:tc>
                <w:tcPr>
                  <w:tcW w:w="1409" w:type="dxa"/>
                </w:tcPr>
                <w:p w14:paraId="21739339">
                  <w:pPr>
                    <w:pStyle w:val="3"/>
                    <w:spacing w:before="0" w:after="0" w:line="240" w:lineRule="auto"/>
                    <w:jc w:val="both"/>
                    <w:outlineLvl w:val="3"/>
                    <w:rPr>
                      <w:rFonts w:hint="default" w:ascii="Times New Roman" w:hAnsi="Times New Roman" w:eastAsia="宋体" w:cs="Times New Roman"/>
                      <w:color w:val="auto"/>
                      <w:sz w:val="21"/>
                      <w:szCs w:val="21"/>
                      <w:highlight w:val="none"/>
                    </w:rPr>
                  </w:pPr>
                </w:p>
              </w:tc>
              <w:tc>
                <w:tcPr>
                  <w:tcW w:w="1409" w:type="dxa"/>
                </w:tcPr>
                <w:p w14:paraId="69E3B6A4">
                  <w:pPr>
                    <w:pStyle w:val="3"/>
                    <w:spacing w:before="0" w:after="0" w:line="240" w:lineRule="auto"/>
                    <w:jc w:val="both"/>
                    <w:outlineLvl w:val="3"/>
                    <w:rPr>
                      <w:rFonts w:hint="default" w:ascii="Times New Roman" w:hAnsi="Times New Roman" w:eastAsia="宋体" w:cs="Times New Roman"/>
                      <w:color w:val="auto"/>
                      <w:sz w:val="21"/>
                      <w:szCs w:val="21"/>
                      <w:highlight w:val="none"/>
                    </w:rPr>
                  </w:pPr>
                </w:p>
              </w:tc>
              <w:tc>
                <w:tcPr>
                  <w:tcW w:w="1410" w:type="dxa"/>
                </w:tcPr>
                <w:p w14:paraId="5FE28F9D">
                  <w:pPr>
                    <w:pStyle w:val="3"/>
                    <w:spacing w:before="0" w:after="0" w:line="240" w:lineRule="auto"/>
                    <w:jc w:val="both"/>
                    <w:outlineLvl w:val="3"/>
                    <w:rPr>
                      <w:rFonts w:hint="default" w:ascii="Times New Roman" w:hAnsi="Times New Roman" w:eastAsia="宋体" w:cs="Times New Roman"/>
                      <w:color w:val="auto"/>
                      <w:sz w:val="21"/>
                      <w:szCs w:val="21"/>
                      <w:highlight w:val="none"/>
                    </w:rPr>
                  </w:pPr>
                </w:p>
              </w:tc>
              <w:tc>
                <w:tcPr>
                  <w:tcW w:w="1410" w:type="dxa"/>
                </w:tcPr>
                <w:p w14:paraId="11AC524E">
                  <w:pPr>
                    <w:pStyle w:val="3"/>
                    <w:spacing w:before="0" w:after="0" w:line="240" w:lineRule="auto"/>
                    <w:jc w:val="both"/>
                    <w:outlineLvl w:val="3"/>
                    <w:rPr>
                      <w:rFonts w:hint="default" w:ascii="Times New Roman" w:hAnsi="Times New Roman" w:eastAsia="宋体" w:cs="Times New Roman"/>
                      <w:color w:val="auto"/>
                      <w:sz w:val="21"/>
                      <w:szCs w:val="21"/>
                      <w:highlight w:val="none"/>
                    </w:rPr>
                  </w:pPr>
                </w:p>
              </w:tc>
              <w:tc>
                <w:tcPr>
                  <w:tcW w:w="1410" w:type="dxa"/>
                </w:tcPr>
                <w:p w14:paraId="1ADE2CC4">
                  <w:pPr>
                    <w:pStyle w:val="3"/>
                    <w:spacing w:before="0" w:after="0" w:line="240" w:lineRule="auto"/>
                    <w:jc w:val="both"/>
                    <w:outlineLvl w:val="3"/>
                    <w:rPr>
                      <w:rFonts w:hint="default" w:ascii="Times New Roman" w:hAnsi="Times New Roman" w:eastAsia="宋体" w:cs="Times New Roman"/>
                      <w:color w:val="auto"/>
                      <w:sz w:val="21"/>
                      <w:szCs w:val="21"/>
                      <w:highlight w:val="none"/>
                    </w:rPr>
                  </w:pPr>
                </w:p>
              </w:tc>
              <w:tc>
                <w:tcPr>
                  <w:tcW w:w="1410" w:type="dxa"/>
                </w:tcPr>
                <w:p w14:paraId="5868180B">
                  <w:pPr>
                    <w:pStyle w:val="3"/>
                    <w:spacing w:before="0" w:after="0" w:line="240" w:lineRule="auto"/>
                    <w:jc w:val="both"/>
                    <w:outlineLvl w:val="3"/>
                    <w:rPr>
                      <w:rFonts w:hint="default" w:ascii="Times New Roman" w:hAnsi="Times New Roman" w:eastAsia="宋体" w:cs="Times New Roman"/>
                      <w:color w:val="auto"/>
                      <w:sz w:val="21"/>
                      <w:szCs w:val="21"/>
                      <w:highlight w:val="none"/>
                    </w:rPr>
                  </w:pPr>
                </w:p>
              </w:tc>
            </w:tr>
            <w:tr w14:paraId="0B606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dxa"/>
                  <w:vAlign w:val="center"/>
                </w:tcPr>
                <w:p w14:paraId="44923DD3">
                  <w:pPr>
                    <w:autoSpaceDE/>
                    <w:autoSpaceDN/>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w:t>
                  </w:r>
                </w:p>
              </w:tc>
              <w:tc>
                <w:tcPr>
                  <w:tcW w:w="1330" w:type="dxa"/>
                  <w:vAlign w:val="center"/>
                </w:tcPr>
                <w:p w14:paraId="395A9E58">
                  <w:pPr>
                    <w:autoSpaceDE/>
                    <w:autoSpaceDN/>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多功能声级计DLYQ-46</w:t>
                  </w:r>
                </w:p>
              </w:tc>
              <w:tc>
                <w:tcPr>
                  <w:tcW w:w="988" w:type="dxa"/>
                  <w:vAlign w:val="center"/>
                </w:tcPr>
                <w:p w14:paraId="647975E0">
                  <w:pPr>
                    <w:autoSpaceDE/>
                    <w:autoSpaceDN/>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AWA5688</w:t>
                  </w:r>
                </w:p>
              </w:tc>
              <w:tc>
                <w:tcPr>
                  <w:tcW w:w="2375" w:type="dxa"/>
                </w:tcPr>
                <w:p w14:paraId="22ABFF66">
                  <w:pPr>
                    <w:autoSpaceDE/>
                    <w:autoSpaceDN/>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测量范围:28dB(A)～133dB(A)</w:t>
                  </w:r>
                </w:p>
                <w:p w14:paraId="3B71AA8C">
                  <w:pPr>
                    <w:autoSpaceDE/>
                    <w:autoSpaceDN/>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频率范围:20Hz～12.5kHz</w:t>
                  </w:r>
                </w:p>
              </w:tc>
              <w:tc>
                <w:tcPr>
                  <w:tcW w:w="1865" w:type="dxa"/>
                  <w:vAlign w:val="center"/>
                </w:tcPr>
                <w:p w14:paraId="12A88312">
                  <w:pPr>
                    <w:autoSpaceDE/>
                    <w:autoSpaceDN/>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2024年05月30日-2025年05月29日</w:t>
                  </w:r>
                </w:p>
              </w:tc>
              <w:tc>
                <w:tcPr>
                  <w:tcW w:w="1490" w:type="dxa"/>
                  <w:vAlign w:val="center"/>
                </w:tcPr>
                <w:p w14:paraId="65B90495">
                  <w:pPr>
                    <w:autoSpaceDE/>
                    <w:autoSpaceDN/>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河北省计量监督检测研究院</w:t>
                  </w:r>
                </w:p>
              </w:tc>
              <w:tc>
                <w:tcPr>
                  <w:tcW w:w="1409" w:type="dxa"/>
                </w:tcPr>
                <w:p w14:paraId="05F1A711">
                  <w:pPr>
                    <w:pStyle w:val="3"/>
                    <w:spacing w:before="0" w:after="0" w:line="240" w:lineRule="auto"/>
                    <w:jc w:val="both"/>
                    <w:outlineLvl w:val="3"/>
                    <w:rPr>
                      <w:rFonts w:hint="default" w:ascii="Times New Roman" w:hAnsi="Times New Roman" w:eastAsia="宋体" w:cs="Times New Roman"/>
                      <w:color w:val="auto"/>
                      <w:sz w:val="21"/>
                      <w:szCs w:val="21"/>
                      <w:highlight w:val="none"/>
                    </w:rPr>
                  </w:pPr>
                </w:p>
              </w:tc>
              <w:tc>
                <w:tcPr>
                  <w:tcW w:w="1409" w:type="dxa"/>
                </w:tcPr>
                <w:p w14:paraId="22A2EFF9">
                  <w:pPr>
                    <w:pStyle w:val="3"/>
                    <w:spacing w:before="0" w:after="0" w:line="240" w:lineRule="auto"/>
                    <w:jc w:val="both"/>
                    <w:outlineLvl w:val="3"/>
                    <w:rPr>
                      <w:rFonts w:hint="default" w:ascii="Times New Roman" w:hAnsi="Times New Roman" w:eastAsia="宋体" w:cs="Times New Roman"/>
                      <w:color w:val="auto"/>
                      <w:sz w:val="21"/>
                      <w:szCs w:val="21"/>
                      <w:highlight w:val="none"/>
                    </w:rPr>
                  </w:pPr>
                </w:p>
              </w:tc>
              <w:tc>
                <w:tcPr>
                  <w:tcW w:w="1410" w:type="dxa"/>
                </w:tcPr>
                <w:p w14:paraId="5FDCF128">
                  <w:pPr>
                    <w:pStyle w:val="3"/>
                    <w:spacing w:before="0" w:after="0" w:line="240" w:lineRule="auto"/>
                    <w:jc w:val="both"/>
                    <w:outlineLvl w:val="3"/>
                    <w:rPr>
                      <w:rFonts w:hint="default" w:ascii="Times New Roman" w:hAnsi="Times New Roman" w:eastAsia="宋体" w:cs="Times New Roman"/>
                      <w:color w:val="auto"/>
                      <w:sz w:val="21"/>
                      <w:szCs w:val="21"/>
                      <w:highlight w:val="none"/>
                    </w:rPr>
                  </w:pPr>
                </w:p>
              </w:tc>
              <w:tc>
                <w:tcPr>
                  <w:tcW w:w="1410" w:type="dxa"/>
                </w:tcPr>
                <w:p w14:paraId="3A1C733C">
                  <w:pPr>
                    <w:pStyle w:val="3"/>
                    <w:spacing w:before="0" w:after="0" w:line="240" w:lineRule="auto"/>
                    <w:jc w:val="both"/>
                    <w:outlineLvl w:val="3"/>
                    <w:rPr>
                      <w:rFonts w:hint="default" w:ascii="Times New Roman" w:hAnsi="Times New Roman" w:eastAsia="宋体" w:cs="Times New Roman"/>
                      <w:color w:val="auto"/>
                      <w:sz w:val="21"/>
                      <w:szCs w:val="21"/>
                      <w:highlight w:val="none"/>
                    </w:rPr>
                  </w:pPr>
                </w:p>
              </w:tc>
              <w:tc>
                <w:tcPr>
                  <w:tcW w:w="1410" w:type="dxa"/>
                </w:tcPr>
                <w:p w14:paraId="707D8741">
                  <w:pPr>
                    <w:pStyle w:val="3"/>
                    <w:spacing w:before="0" w:after="0" w:line="240" w:lineRule="auto"/>
                    <w:jc w:val="both"/>
                    <w:outlineLvl w:val="3"/>
                    <w:rPr>
                      <w:rFonts w:hint="default" w:ascii="Times New Roman" w:hAnsi="Times New Roman" w:eastAsia="宋体" w:cs="Times New Roman"/>
                      <w:color w:val="auto"/>
                      <w:sz w:val="21"/>
                      <w:szCs w:val="21"/>
                      <w:highlight w:val="none"/>
                    </w:rPr>
                  </w:pPr>
                </w:p>
              </w:tc>
              <w:tc>
                <w:tcPr>
                  <w:tcW w:w="1410" w:type="dxa"/>
                </w:tcPr>
                <w:p w14:paraId="1ABACD3D">
                  <w:pPr>
                    <w:pStyle w:val="3"/>
                    <w:spacing w:before="0" w:after="0" w:line="240" w:lineRule="auto"/>
                    <w:jc w:val="both"/>
                    <w:outlineLvl w:val="3"/>
                    <w:rPr>
                      <w:rFonts w:hint="default" w:ascii="Times New Roman" w:hAnsi="Times New Roman" w:eastAsia="宋体" w:cs="Times New Roman"/>
                      <w:color w:val="auto"/>
                      <w:sz w:val="21"/>
                      <w:szCs w:val="21"/>
                      <w:highlight w:val="none"/>
                    </w:rPr>
                  </w:pPr>
                </w:p>
              </w:tc>
            </w:tr>
            <w:tr w14:paraId="31CCB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dxa"/>
                  <w:vAlign w:val="center"/>
                </w:tcPr>
                <w:p w14:paraId="0BEDAD44">
                  <w:pPr>
                    <w:autoSpaceDE/>
                    <w:autoSpaceDN/>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2</w:t>
                  </w:r>
                </w:p>
              </w:tc>
              <w:tc>
                <w:tcPr>
                  <w:tcW w:w="1330" w:type="dxa"/>
                  <w:vAlign w:val="center"/>
                </w:tcPr>
                <w:p w14:paraId="381CBF6D">
                  <w:pPr>
                    <w:autoSpaceDE/>
                    <w:autoSpaceDN/>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声校准器DLYQ-50</w:t>
                  </w:r>
                </w:p>
              </w:tc>
              <w:tc>
                <w:tcPr>
                  <w:tcW w:w="988" w:type="dxa"/>
                  <w:vAlign w:val="center"/>
                </w:tcPr>
                <w:p w14:paraId="41E89B81">
                  <w:pPr>
                    <w:autoSpaceDE/>
                    <w:autoSpaceDN/>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 xml:space="preserve">HS6020 </w:t>
                  </w:r>
                </w:p>
              </w:tc>
              <w:tc>
                <w:tcPr>
                  <w:tcW w:w="2375" w:type="dxa"/>
                  <w:vAlign w:val="center"/>
                </w:tcPr>
                <w:p w14:paraId="13A274B7">
                  <w:pPr>
                    <w:autoSpaceDE/>
                    <w:autoSpaceDN/>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声压级：94dB</w:t>
                  </w:r>
                </w:p>
              </w:tc>
              <w:tc>
                <w:tcPr>
                  <w:tcW w:w="1865" w:type="dxa"/>
                  <w:vAlign w:val="center"/>
                </w:tcPr>
                <w:p w14:paraId="5A644395">
                  <w:pPr>
                    <w:autoSpaceDE/>
                    <w:autoSpaceDN/>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2024年05月30日-2025年05月29日</w:t>
                  </w:r>
                </w:p>
              </w:tc>
              <w:tc>
                <w:tcPr>
                  <w:tcW w:w="1490" w:type="dxa"/>
                  <w:vAlign w:val="center"/>
                </w:tcPr>
                <w:p w14:paraId="53818052">
                  <w:pPr>
                    <w:autoSpaceDE/>
                    <w:autoSpaceDN/>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河北省计量监督检测研究院</w:t>
                  </w:r>
                </w:p>
              </w:tc>
              <w:tc>
                <w:tcPr>
                  <w:tcW w:w="1409" w:type="dxa"/>
                </w:tcPr>
                <w:p w14:paraId="2A24B7C9">
                  <w:pPr>
                    <w:pStyle w:val="3"/>
                    <w:spacing w:before="0" w:after="0" w:line="240" w:lineRule="auto"/>
                    <w:jc w:val="both"/>
                    <w:outlineLvl w:val="3"/>
                    <w:rPr>
                      <w:rFonts w:hint="default" w:ascii="Times New Roman" w:hAnsi="Times New Roman" w:eastAsia="宋体" w:cs="Times New Roman"/>
                      <w:color w:val="auto"/>
                      <w:sz w:val="21"/>
                      <w:szCs w:val="21"/>
                      <w:highlight w:val="none"/>
                    </w:rPr>
                  </w:pPr>
                </w:p>
              </w:tc>
              <w:tc>
                <w:tcPr>
                  <w:tcW w:w="1409" w:type="dxa"/>
                </w:tcPr>
                <w:p w14:paraId="5DAB665F">
                  <w:pPr>
                    <w:pStyle w:val="3"/>
                    <w:spacing w:before="0" w:after="0" w:line="240" w:lineRule="auto"/>
                    <w:jc w:val="both"/>
                    <w:outlineLvl w:val="3"/>
                    <w:rPr>
                      <w:rFonts w:hint="default" w:ascii="Times New Roman" w:hAnsi="Times New Roman" w:eastAsia="宋体" w:cs="Times New Roman"/>
                      <w:color w:val="auto"/>
                      <w:sz w:val="21"/>
                      <w:szCs w:val="21"/>
                      <w:highlight w:val="none"/>
                    </w:rPr>
                  </w:pPr>
                </w:p>
              </w:tc>
              <w:tc>
                <w:tcPr>
                  <w:tcW w:w="1410" w:type="dxa"/>
                </w:tcPr>
                <w:p w14:paraId="138327E0">
                  <w:pPr>
                    <w:pStyle w:val="3"/>
                    <w:spacing w:before="0" w:after="0" w:line="240" w:lineRule="auto"/>
                    <w:jc w:val="both"/>
                    <w:outlineLvl w:val="3"/>
                    <w:rPr>
                      <w:rFonts w:hint="default" w:ascii="Times New Roman" w:hAnsi="Times New Roman" w:eastAsia="宋体" w:cs="Times New Roman"/>
                      <w:color w:val="auto"/>
                      <w:sz w:val="21"/>
                      <w:szCs w:val="21"/>
                      <w:highlight w:val="none"/>
                    </w:rPr>
                  </w:pPr>
                </w:p>
              </w:tc>
              <w:tc>
                <w:tcPr>
                  <w:tcW w:w="1410" w:type="dxa"/>
                </w:tcPr>
                <w:p w14:paraId="299D7C4A">
                  <w:pPr>
                    <w:pStyle w:val="3"/>
                    <w:spacing w:before="0" w:after="0" w:line="240" w:lineRule="auto"/>
                    <w:jc w:val="both"/>
                    <w:outlineLvl w:val="3"/>
                    <w:rPr>
                      <w:rFonts w:hint="default" w:ascii="Times New Roman" w:hAnsi="Times New Roman" w:eastAsia="宋体" w:cs="Times New Roman"/>
                      <w:color w:val="auto"/>
                      <w:sz w:val="21"/>
                      <w:szCs w:val="21"/>
                      <w:highlight w:val="none"/>
                    </w:rPr>
                  </w:pPr>
                </w:p>
              </w:tc>
              <w:tc>
                <w:tcPr>
                  <w:tcW w:w="1410" w:type="dxa"/>
                </w:tcPr>
                <w:p w14:paraId="19B5FA67">
                  <w:pPr>
                    <w:pStyle w:val="3"/>
                    <w:spacing w:before="0" w:after="0" w:line="240" w:lineRule="auto"/>
                    <w:jc w:val="both"/>
                    <w:outlineLvl w:val="3"/>
                    <w:rPr>
                      <w:rFonts w:hint="default" w:ascii="Times New Roman" w:hAnsi="Times New Roman" w:eastAsia="宋体" w:cs="Times New Roman"/>
                      <w:color w:val="auto"/>
                      <w:sz w:val="21"/>
                      <w:szCs w:val="21"/>
                      <w:highlight w:val="none"/>
                    </w:rPr>
                  </w:pPr>
                </w:p>
              </w:tc>
              <w:tc>
                <w:tcPr>
                  <w:tcW w:w="1410" w:type="dxa"/>
                </w:tcPr>
                <w:p w14:paraId="7553FAE3">
                  <w:pPr>
                    <w:pStyle w:val="3"/>
                    <w:spacing w:before="0" w:after="0" w:line="240" w:lineRule="auto"/>
                    <w:jc w:val="both"/>
                    <w:outlineLvl w:val="3"/>
                    <w:rPr>
                      <w:rFonts w:hint="default" w:ascii="Times New Roman" w:hAnsi="Times New Roman" w:eastAsia="宋体" w:cs="Times New Roman"/>
                      <w:color w:val="auto"/>
                      <w:sz w:val="21"/>
                      <w:szCs w:val="21"/>
                      <w:highlight w:val="none"/>
                    </w:rPr>
                  </w:pPr>
                </w:p>
              </w:tc>
            </w:tr>
            <w:tr w14:paraId="54A95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dxa"/>
                  <w:vAlign w:val="center"/>
                </w:tcPr>
                <w:p w14:paraId="1668FD15">
                  <w:pPr>
                    <w:autoSpaceDE/>
                    <w:autoSpaceDN/>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3</w:t>
                  </w:r>
                </w:p>
              </w:tc>
              <w:tc>
                <w:tcPr>
                  <w:tcW w:w="1330" w:type="dxa"/>
                  <w:vAlign w:val="center"/>
                </w:tcPr>
                <w:p w14:paraId="54C1BC09">
                  <w:pPr>
                    <w:autoSpaceDE/>
                    <w:autoSpaceDN/>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风速计DLYQ-14</w:t>
                  </w:r>
                </w:p>
              </w:tc>
              <w:tc>
                <w:tcPr>
                  <w:tcW w:w="988" w:type="dxa"/>
                  <w:vAlign w:val="center"/>
                </w:tcPr>
                <w:p w14:paraId="275781F5">
                  <w:pPr>
                    <w:autoSpaceDE/>
                    <w:autoSpaceDN/>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ZRQF-F30J</w:t>
                  </w:r>
                </w:p>
              </w:tc>
              <w:tc>
                <w:tcPr>
                  <w:tcW w:w="2375" w:type="dxa"/>
                  <w:vAlign w:val="center"/>
                </w:tcPr>
                <w:p w14:paraId="632161ED">
                  <w:pPr>
                    <w:autoSpaceDE/>
                    <w:autoSpaceDN/>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0.05～30.0m/s</w:t>
                  </w:r>
                </w:p>
              </w:tc>
              <w:tc>
                <w:tcPr>
                  <w:tcW w:w="1865" w:type="dxa"/>
                  <w:vAlign w:val="center"/>
                </w:tcPr>
                <w:p w14:paraId="12B6BDB5">
                  <w:pPr>
                    <w:autoSpaceDE/>
                    <w:autoSpaceDN/>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2024年01月10日-2025年01月09日</w:t>
                  </w:r>
                </w:p>
              </w:tc>
              <w:tc>
                <w:tcPr>
                  <w:tcW w:w="1490" w:type="dxa"/>
                  <w:vAlign w:val="center"/>
                </w:tcPr>
                <w:p w14:paraId="07987EDB">
                  <w:pPr>
                    <w:autoSpaceDE/>
                    <w:autoSpaceDN/>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河北省计量监督检测研究院</w:t>
                  </w:r>
                </w:p>
              </w:tc>
              <w:tc>
                <w:tcPr>
                  <w:tcW w:w="1409" w:type="dxa"/>
                </w:tcPr>
                <w:p w14:paraId="00475095">
                  <w:pPr>
                    <w:pStyle w:val="3"/>
                    <w:spacing w:before="0" w:after="0" w:line="240" w:lineRule="auto"/>
                    <w:jc w:val="both"/>
                    <w:outlineLvl w:val="3"/>
                    <w:rPr>
                      <w:rFonts w:hint="default" w:ascii="Times New Roman" w:hAnsi="Times New Roman" w:eastAsia="宋体" w:cs="Times New Roman"/>
                      <w:color w:val="auto"/>
                      <w:sz w:val="21"/>
                      <w:szCs w:val="21"/>
                      <w:highlight w:val="none"/>
                    </w:rPr>
                  </w:pPr>
                </w:p>
              </w:tc>
              <w:tc>
                <w:tcPr>
                  <w:tcW w:w="1409" w:type="dxa"/>
                </w:tcPr>
                <w:p w14:paraId="4AEB205F">
                  <w:pPr>
                    <w:pStyle w:val="3"/>
                    <w:spacing w:before="0" w:after="0" w:line="240" w:lineRule="auto"/>
                    <w:jc w:val="both"/>
                    <w:outlineLvl w:val="3"/>
                    <w:rPr>
                      <w:rFonts w:hint="default" w:ascii="Times New Roman" w:hAnsi="Times New Roman" w:eastAsia="宋体" w:cs="Times New Roman"/>
                      <w:color w:val="auto"/>
                      <w:sz w:val="21"/>
                      <w:szCs w:val="21"/>
                      <w:highlight w:val="none"/>
                    </w:rPr>
                  </w:pPr>
                </w:p>
              </w:tc>
              <w:tc>
                <w:tcPr>
                  <w:tcW w:w="1410" w:type="dxa"/>
                </w:tcPr>
                <w:p w14:paraId="3945B7DA">
                  <w:pPr>
                    <w:pStyle w:val="3"/>
                    <w:spacing w:before="0" w:after="0" w:line="240" w:lineRule="auto"/>
                    <w:jc w:val="both"/>
                    <w:outlineLvl w:val="3"/>
                    <w:rPr>
                      <w:rFonts w:hint="default" w:ascii="Times New Roman" w:hAnsi="Times New Roman" w:eastAsia="宋体" w:cs="Times New Roman"/>
                      <w:color w:val="auto"/>
                      <w:sz w:val="21"/>
                      <w:szCs w:val="21"/>
                      <w:highlight w:val="none"/>
                    </w:rPr>
                  </w:pPr>
                </w:p>
              </w:tc>
              <w:tc>
                <w:tcPr>
                  <w:tcW w:w="1410" w:type="dxa"/>
                </w:tcPr>
                <w:p w14:paraId="42AAF82B">
                  <w:pPr>
                    <w:pStyle w:val="3"/>
                    <w:spacing w:before="0" w:after="0" w:line="240" w:lineRule="auto"/>
                    <w:jc w:val="both"/>
                    <w:outlineLvl w:val="3"/>
                    <w:rPr>
                      <w:rFonts w:hint="default" w:ascii="Times New Roman" w:hAnsi="Times New Roman" w:eastAsia="宋体" w:cs="Times New Roman"/>
                      <w:color w:val="auto"/>
                      <w:sz w:val="21"/>
                      <w:szCs w:val="21"/>
                      <w:highlight w:val="none"/>
                    </w:rPr>
                  </w:pPr>
                </w:p>
              </w:tc>
              <w:tc>
                <w:tcPr>
                  <w:tcW w:w="1410" w:type="dxa"/>
                </w:tcPr>
                <w:p w14:paraId="33FF5886">
                  <w:pPr>
                    <w:pStyle w:val="3"/>
                    <w:spacing w:before="0" w:after="0" w:line="240" w:lineRule="auto"/>
                    <w:jc w:val="both"/>
                    <w:outlineLvl w:val="3"/>
                    <w:rPr>
                      <w:rFonts w:hint="default" w:ascii="Times New Roman" w:hAnsi="Times New Roman" w:eastAsia="宋体" w:cs="Times New Roman"/>
                      <w:color w:val="auto"/>
                      <w:sz w:val="21"/>
                      <w:szCs w:val="21"/>
                      <w:highlight w:val="none"/>
                    </w:rPr>
                  </w:pPr>
                </w:p>
              </w:tc>
              <w:tc>
                <w:tcPr>
                  <w:tcW w:w="1410" w:type="dxa"/>
                </w:tcPr>
                <w:p w14:paraId="65F3CA6B">
                  <w:pPr>
                    <w:pStyle w:val="3"/>
                    <w:spacing w:before="0" w:after="0" w:line="240" w:lineRule="auto"/>
                    <w:jc w:val="both"/>
                    <w:outlineLvl w:val="3"/>
                    <w:rPr>
                      <w:rFonts w:hint="default" w:ascii="Times New Roman" w:hAnsi="Times New Roman" w:eastAsia="宋体" w:cs="Times New Roman"/>
                      <w:color w:val="auto"/>
                      <w:sz w:val="21"/>
                      <w:szCs w:val="21"/>
                      <w:highlight w:val="none"/>
                    </w:rPr>
                  </w:pPr>
                </w:p>
              </w:tc>
            </w:tr>
          </w:tbl>
          <w:p w14:paraId="009A9F4E">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（2）监测方法</w:t>
            </w:r>
          </w:p>
          <w:p w14:paraId="46DE2829">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按照《声环境质量标准》（GB3096-2008）规定进行。</w:t>
            </w:r>
          </w:p>
          <w:p w14:paraId="53B788E8">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（3）监测点位、监测频次及监测因子</w:t>
            </w:r>
          </w:p>
          <w:p w14:paraId="430C13AF">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监测点位：</w:t>
            </w:r>
            <w:r>
              <w:rPr>
                <w:rFonts w:hint="default" w:ascii="Times New Roman" w:hAnsi="Times New Roman" w:eastAsia="宋体" w:cs="Times New Roman"/>
                <w:color w:val="auto"/>
                <w:sz w:val="24"/>
                <w:szCs w:val="24"/>
                <w:highlight w:val="none"/>
              </w:rPr>
              <w:t>华能围场“风光储氢热一体化”项目（光伏200MW）项目220kV送出线路工程项目拟建220kV线路N15~N16塔</w:t>
            </w:r>
            <w:r>
              <w:rPr>
                <w:rFonts w:hint="default" w:ascii="Times New Roman" w:hAnsi="Times New Roman" w:eastAsia="宋体" w:cs="Times New Roman"/>
                <w:color w:val="auto"/>
                <w:sz w:val="24"/>
                <w:szCs w:val="24"/>
                <w:highlight w:val="none"/>
                <w:lang w:eastAsia="zh-CN"/>
              </w:rPr>
              <w:t>（优化塔基位置后</w:t>
            </w:r>
            <w:r>
              <w:rPr>
                <w:rFonts w:hint="default" w:ascii="Times New Roman" w:hAnsi="Times New Roman" w:eastAsia="宋体" w:cs="Times New Roman"/>
                <w:color w:val="auto"/>
                <w:sz w:val="24"/>
                <w:szCs w:val="24"/>
                <w:highlight w:val="none"/>
                <w:lang w:val="en-US" w:eastAsia="zh-CN"/>
              </w:rPr>
              <w:t>N13~N14塔</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之间线下设1个监测点（1#），拟建220kV线路N25-N26塔</w:t>
            </w:r>
            <w:r>
              <w:rPr>
                <w:rFonts w:hint="default" w:ascii="Times New Roman" w:hAnsi="Times New Roman" w:eastAsia="宋体" w:cs="Times New Roman"/>
                <w:color w:val="auto"/>
                <w:sz w:val="24"/>
                <w:szCs w:val="24"/>
                <w:highlight w:val="none"/>
                <w:lang w:eastAsia="zh-CN"/>
              </w:rPr>
              <w:t>（优化塔基位置后</w:t>
            </w:r>
            <w:r>
              <w:rPr>
                <w:rFonts w:hint="default" w:ascii="Times New Roman" w:hAnsi="Times New Roman" w:eastAsia="宋体" w:cs="Times New Roman"/>
                <w:color w:val="auto"/>
                <w:sz w:val="24"/>
                <w:szCs w:val="24"/>
                <w:highlight w:val="none"/>
                <w:lang w:val="en-US" w:eastAsia="zh-CN"/>
              </w:rPr>
              <w:t>N22~N23塔</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之间线下设1个监测点（2#），拟建220kV线路N57~N58塔</w:t>
            </w:r>
            <w:r>
              <w:rPr>
                <w:rFonts w:hint="default" w:ascii="Times New Roman" w:hAnsi="Times New Roman" w:eastAsia="宋体" w:cs="Times New Roman"/>
                <w:color w:val="auto"/>
                <w:sz w:val="24"/>
                <w:szCs w:val="24"/>
                <w:highlight w:val="none"/>
                <w:lang w:eastAsia="zh-CN"/>
              </w:rPr>
              <w:t>（优化塔基位置后</w:t>
            </w:r>
            <w:r>
              <w:rPr>
                <w:rFonts w:hint="default" w:ascii="Times New Roman" w:hAnsi="Times New Roman" w:eastAsia="宋体" w:cs="Times New Roman"/>
                <w:color w:val="auto"/>
                <w:sz w:val="24"/>
                <w:szCs w:val="24"/>
                <w:highlight w:val="none"/>
                <w:lang w:val="en-US" w:eastAsia="zh-CN"/>
              </w:rPr>
              <w:t>N49~N50塔</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之间线下设1个监测点（3#）</w:t>
            </w:r>
            <w:r>
              <w:rPr>
                <w:rFonts w:hint="default" w:ascii="Times New Roman" w:hAnsi="Times New Roman" w:eastAsia="宋体" w:cs="Times New Roman"/>
                <w:color w:val="auto"/>
                <w:sz w:val="24"/>
                <w:szCs w:val="24"/>
                <w:highlight w:val="none"/>
                <w:lang w:eastAsia="zh-CN"/>
              </w:rPr>
              <w:t>，共设置3个监测点位。监测布点示意图见附图3。</w:t>
            </w:r>
          </w:p>
          <w:p w14:paraId="415BED87">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监测频次：昼夜各监测1次。</w:t>
            </w:r>
          </w:p>
          <w:p w14:paraId="7EB41C6C">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监测因子：昼间、夜间等效</w:t>
            </w:r>
            <w:r>
              <w:rPr>
                <w:rFonts w:hint="default" w:ascii="Times New Roman" w:hAnsi="Times New Roman" w:eastAsia="宋体" w:cs="Times New Roman"/>
                <w:bCs/>
                <w:color w:val="auto"/>
                <w:sz w:val="24"/>
                <w:szCs w:val="24"/>
                <w:highlight w:val="none"/>
                <w:lang w:eastAsia="zh-CN"/>
              </w:rPr>
              <w:t>连续A声级，Leq</w:t>
            </w:r>
          </w:p>
          <w:p w14:paraId="5EB346E8">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（4）监测单位、时间和工况</w:t>
            </w:r>
          </w:p>
          <w:p w14:paraId="1EB40CDF">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承德市东岭环境监测有限公司</w:t>
            </w:r>
            <w:r>
              <w:rPr>
                <w:rFonts w:hint="default" w:ascii="Times New Roman" w:hAnsi="Times New Roman" w:eastAsia="宋体" w:cs="Times New Roman"/>
                <w:color w:val="auto"/>
                <w:sz w:val="24"/>
                <w:szCs w:val="24"/>
                <w:highlight w:val="none"/>
                <w:lang w:eastAsia="zh-CN"/>
              </w:rPr>
              <w:t>于2024年8月15日~16日进行监测。</w:t>
            </w:r>
          </w:p>
          <w:p w14:paraId="7C5E91A3">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无雨无雪，昼间：环境温度：22-25℃；相对湿度：</w:t>
            </w:r>
            <w:r>
              <w:rPr>
                <w:rFonts w:hint="eastAsia" w:ascii="Times New Roman" w:hAnsi="Times New Roman" w:eastAsia="宋体" w:cs="Times New Roman"/>
                <w:color w:val="auto"/>
                <w:sz w:val="24"/>
                <w:szCs w:val="24"/>
                <w:highlight w:val="none"/>
                <w:lang w:eastAsia="zh-CN"/>
              </w:rPr>
              <w:t>56%-60%</w:t>
            </w:r>
            <w:r>
              <w:rPr>
                <w:rFonts w:hint="default" w:ascii="Times New Roman" w:hAnsi="Times New Roman" w:eastAsia="宋体" w:cs="Times New Roman"/>
                <w:color w:val="auto"/>
                <w:sz w:val="24"/>
                <w:szCs w:val="24"/>
                <w:highlight w:val="none"/>
                <w:lang w:eastAsia="zh-CN"/>
              </w:rPr>
              <w:t>；风速为1.7-1.9m/s；</w:t>
            </w:r>
          </w:p>
          <w:p w14:paraId="5306171F">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无雨无雪，夜间：环境温度：19-20℃；相对湿度：</w:t>
            </w:r>
            <w:r>
              <w:rPr>
                <w:rFonts w:hint="eastAsia" w:ascii="Times New Roman" w:hAnsi="Times New Roman" w:eastAsia="宋体" w:cs="Times New Roman"/>
                <w:color w:val="auto"/>
                <w:sz w:val="24"/>
                <w:szCs w:val="24"/>
                <w:highlight w:val="none"/>
                <w:lang w:eastAsia="zh-CN"/>
              </w:rPr>
              <w:t>55%-58%</w:t>
            </w:r>
            <w:r>
              <w:rPr>
                <w:rFonts w:hint="default" w:ascii="Times New Roman" w:hAnsi="Times New Roman" w:eastAsia="宋体" w:cs="Times New Roman"/>
                <w:color w:val="auto"/>
                <w:sz w:val="24"/>
                <w:szCs w:val="24"/>
                <w:highlight w:val="none"/>
                <w:lang w:eastAsia="zh-CN"/>
              </w:rPr>
              <w:t>；风速为2.1-2.3m/s。</w:t>
            </w:r>
          </w:p>
          <w:p w14:paraId="2BB1D24F">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（5）监测结果</w:t>
            </w:r>
          </w:p>
          <w:p w14:paraId="5FDDF691">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拟建线路沿线声环境现状值监测结果见下表。</w:t>
            </w:r>
          </w:p>
          <w:p w14:paraId="6148F8A8">
            <w:pPr>
              <w:pStyle w:val="3"/>
              <w:spacing w:before="0"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表3-8　本项目噪声现状值监测结果</w:t>
            </w:r>
          </w:p>
          <w:tbl>
            <w:tblPr>
              <w:tblStyle w:val="32"/>
              <w:tblW w:w="83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3610"/>
              <w:gridCol w:w="1531"/>
              <w:gridCol w:w="1301"/>
              <w:gridCol w:w="1513"/>
            </w:tblGrid>
            <w:tr w14:paraId="0C378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vAlign w:val="center"/>
                </w:tcPr>
                <w:p w14:paraId="4778390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3610" w:type="dxa"/>
                  <w:vAlign w:val="center"/>
                </w:tcPr>
                <w:p w14:paraId="6A30558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监测点位</w:t>
                  </w:r>
                </w:p>
              </w:tc>
              <w:tc>
                <w:tcPr>
                  <w:tcW w:w="1531" w:type="dxa"/>
                  <w:vAlign w:val="center"/>
                </w:tcPr>
                <w:p w14:paraId="5B4EC8C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昼间（dB(A)）</w:t>
                  </w:r>
                </w:p>
              </w:tc>
              <w:tc>
                <w:tcPr>
                  <w:tcW w:w="1301" w:type="dxa"/>
                  <w:vAlign w:val="center"/>
                </w:tcPr>
                <w:p w14:paraId="787A64B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夜间（dB(A)）</w:t>
                  </w:r>
                </w:p>
              </w:tc>
              <w:tc>
                <w:tcPr>
                  <w:tcW w:w="1513" w:type="dxa"/>
                  <w:vAlign w:val="center"/>
                </w:tcPr>
                <w:p w14:paraId="0A76D78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备注</w:t>
                  </w:r>
                </w:p>
              </w:tc>
            </w:tr>
            <w:tr w14:paraId="27510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vAlign w:val="center"/>
                </w:tcPr>
                <w:p w14:paraId="48C831E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3610" w:type="dxa"/>
                  <w:vAlign w:val="center"/>
                </w:tcPr>
                <w:p w14:paraId="433044DD">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拟建线路N15--N16（优化塔基位置后N13~N14塔）之间线下（1#）</w:t>
                  </w:r>
                </w:p>
              </w:tc>
              <w:tc>
                <w:tcPr>
                  <w:tcW w:w="1531" w:type="dxa"/>
                  <w:vAlign w:val="center"/>
                </w:tcPr>
                <w:p w14:paraId="2DCE9E1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w:t>
                  </w:r>
                </w:p>
              </w:tc>
              <w:tc>
                <w:tcPr>
                  <w:tcW w:w="1301" w:type="dxa"/>
                  <w:vAlign w:val="center"/>
                </w:tcPr>
                <w:p w14:paraId="6A94917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w:t>
                  </w:r>
                </w:p>
              </w:tc>
              <w:tc>
                <w:tcPr>
                  <w:tcW w:w="1513" w:type="dxa"/>
                  <w:vMerge w:val="restart"/>
                  <w:vAlign w:val="center"/>
                </w:tcPr>
                <w:p w14:paraId="609DF87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河北滦河上游国家级自然保护区实验区</w:t>
                  </w:r>
                </w:p>
              </w:tc>
            </w:tr>
            <w:tr w14:paraId="2E0D0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vAlign w:val="center"/>
                </w:tcPr>
                <w:p w14:paraId="69D262D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3610" w:type="dxa"/>
                  <w:vAlign w:val="center"/>
                </w:tcPr>
                <w:p w14:paraId="4725EF2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拟建线路N25-N26（优化塔基位置后N22~N23塔）之间线下（2#）</w:t>
                  </w:r>
                </w:p>
              </w:tc>
              <w:tc>
                <w:tcPr>
                  <w:tcW w:w="1531" w:type="dxa"/>
                  <w:vAlign w:val="center"/>
                </w:tcPr>
                <w:p w14:paraId="15537A7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w:t>
                  </w:r>
                </w:p>
              </w:tc>
              <w:tc>
                <w:tcPr>
                  <w:tcW w:w="1301" w:type="dxa"/>
                  <w:vAlign w:val="center"/>
                </w:tcPr>
                <w:p w14:paraId="3E8EDB6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w:t>
                  </w:r>
                </w:p>
              </w:tc>
              <w:tc>
                <w:tcPr>
                  <w:tcW w:w="1513" w:type="dxa"/>
                  <w:vMerge w:val="continue"/>
                  <w:vAlign w:val="center"/>
                </w:tcPr>
                <w:p w14:paraId="0984285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p>
              </w:tc>
            </w:tr>
            <w:tr w14:paraId="74F53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vAlign w:val="center"/>
                </w:tcPr>
                <w:p w14:paraId="44483FD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3610" w:type="dxa"/>
                  <w:vAlign w:val="center"/>
                </w:tcPr>
                <w:p w14:paraId="22C4EDA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拟建线路N</w:t>
                  </w:r>
                  <w:r>
                    <w:rPr>
                      <w:rFonts w:hint="default" w:ascii="Times New Roman" w:hAnsi="Times New Roman" w:eastAsia="宋体" w:cs="Times New Roman"/>
                      <w:color w:val="auto"/>
                      <w:sz w:val="21"/>
                      <w:szCs w:val="21"/>
                      <w:highlight w:val="none"/>
                      <w:lang w:val="en-US" w:eastAsia="zh-CN"/>
                    </w:rPr>
                    <w:t>49</w:t>
                  </w:r>
                  <w:r>
                    <w:rPr>
                      <w:rFonts w:hint="default" w:ascii="Times New Roman" w:hAnsi="Times New Roman" w:eastAsia="宋体" w:cs="Times New Roman"/>
                      <w:color w:val="auto"/>
                      <w:sz w:val="21"/>
                      <w:szCs w:val="21"/>
                      <w:highlight w:val="none"/>
                    </w:rPr>
                    <w:t>-N5</w:t>
                  </w:r>
                  <w:r>
                    <w:rPr>
                      <w:rFonts w:hint="default" w:ascii="Times New Roman" w:hAnsi="Times New Roman" w:eastAsia="宋体" w:cs="Times New Roman"/>
                      <w:color w:val="auto"/>
                      <w:sz w:val="21"/>
                      <w:szCs w:val="21"/>
                      <w:highlight w:val="none"/>
                      <w:lang w:val="en-US" w:eastAsia="zh-CN"/>
                    </w:rPr>
                    <w:t>0（优化塔基位置后N49~N50塔）</w:t>
                  </w:r>
                  <w:r>
                    <w:rPr>
                      <w:rFonts w:hint="default" w:ascii="Times New Roman" w:hAnsi="Times New Roman" w:eastAsia="宋体" w:cs="Times New Roman"/>
                      <w:color w:val="auto"/>
                      <w:sz w:val="21"/>
                      <w:szCs w:val="21"/>
                      <w:highlight w:val="none"/>
                    </w:rPr>
                    <w:t>之间线下（3#）</w:t>
                  </w:r>
                </w:p>
              </w:tc>
              <w:tc>
                <w:tcPr>
                  <w:tcW w:w="1531" w:type="dxa"/>
                  <w:vAlign w:val="center"/>
                </w:tcPr>
                <w:p w14:paraId="77DDC00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41</w:t>
                  </w:r>
                </w:p>
              </w:tc>
              <w:tc>
                <w:tcPr>
                  <w:tcW w:w="1301" w:type="dxa"/>
                  <w:vAlign w:val="center"/>
                </w:tcPr>
                <w:p w14:paraId="111D051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w:t>
                  </w:r>
                </w:p>
              </w:tc>
              <w:tc>
                <w:tcPr>
                  <w:tcW w:w="1513" w:type="dxa"/>
                  <w:vAlign w:val="center"/>
                </w:tcPr>
                <w:p w14:paraId="21592BE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bl>
          <w:p w14:paraId="7F9175B3">
            <w:pPr>
              <w:adjustRightInd w:val="0"/>
              <w:spacing w:line="480" w:lineRule="exact"/>
              <w:ind w:firstLine="480" w:firstLineChars="200"/>
              <w:rPr>
                <w:rFonts w:hint="default" w:ascii="Times New Roman" w:hAnsi="Times New Roman" w:eastAsia="宋体" w:cs="Times New Roman"/>
                <w:color w:val="auto"/>
                <w:spacing w:val="4"/>
                <w:sz w:val="24"/>
                <w:szCs w:val="24"/>
                <w:highlight w:val="none"/>
              </w:rPr>
            </w:pPr>
            <w:r>
              <w:rPr>
                <w:rFonts w:hint="default" w:ascii="Times New Roman" w:hAnsi="Times New Roman" w:eastAsia="宋体" w:cs="Times New Roman"/>
                <w:color w:val="auto"/>
                <w:sz w:val="24"/>
                <w:szCs w:val="24"/>
                <w:highlight w:val="none"/>
              </w:rPr>
              <w:t>由上表可知，拟建线路沿线昼间现状值为（39~41）</w:t>
            </w:r>
            <w:r>
              <w:rPr>
                <w:rFonts w:hint="default" w:ascii="Times New Roman" w:hAnsi="Times New Roman" w:eastAsia="宋体" w:cs="Times New Roman"/>
                <w:bCs/>
                <w:color w:val="auto"/>
                <w:sz w:val="24"/>
                <w:szCs w:val="24"/>
                <w:highlight w:val="none"/>
              </w:rPr>
              <w:t>dB(A)，夜间现状值为（37~38）dB(A)，</w:t>
            </w:r>
            <w:r>
              <w:rPr>
                <w:rFonts w:hint="default" w:ascii="Times New Roman" w:hAnsi="Times New Roman" w:eastAsia="宋体" w:cs="Times New Roman"/>
                <w:color w:val="auto"/>
                <w:sz w:val="24"/>
                <w:szCs w:val="24"/>
                <w:highlight w:val="none"/>
              </w:rPr>
              <w:t>满足《声环境质量标准》(GB3096-2008)1类声环境功能区标准。</w:t>
            </w:r>
          </w:p>
        </w:tc>
      </w:tr>
      <w:tr w14:paraId="05AF5A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4" w:hRule="atLeast"/>
        </w:trPr>
        <w:tc>
          <w:tcPr>
            <w:tcW w:w="608" w:type="dxa"/>
            <w:tcBorders>
              <w:bottom w:val="single" w:color="000000" w:sz="4" w:space="0"/>
              <w:right w:val="single" w:color="000000" w:sz="4" w:space="0"/>
            </w:tcBorders>
            <w:vAlign w:val="center"/>
          </w:tcPr>
          <w:p w14:paraId="373C06CA">
            <w:pPr>
              <w:pStyle w:val="41"/>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与项目有关的原有环境污染和生态破坏问题</w:t>
            </w:r>
          </w:p>
        </w:tc>
        <w:tc>
          <w:tcPr>
            <w:tcW w:w="8522" w:type="dxa"/>
            <w:tcBorders>
              <w:left w:val="single" w:color="000000" w:sz="4" w:space="0"/>
              <w:bottom w:val="single" w:color="000000" w:sz="4" w:space="0"/>
            </w:tcBorders>
            <w:vAlign w:val="center"/>
          </w:tcPr>
          <w:p w14:paraId="14DD37B8">
            <w:pPr>
              <w:pStyle w:val="2"/>
              <w:adjustRightInd w:val="0"/>
              <w:snapToGrid w:val="0"/>
              <w:spacing w:after="0" w:line="480" w:lineRule="exact"/>
              <w:ind w:firstLine="0"/>
              <w:jc w:val="center"/>
              <w:rPr>
                <w:rFonts w:hint="default" w:ascii="Times New Roman" w:hAnsi="Times New Roman" w:eastAsia="宋体" w:cs="Times New Roman"/>
                <w:bCs/>
                <w:snapToGrid w:val="0"/>
                <w:color w:val="auto"/>
                <w:sz w:val="24"/>
                <w:szCs w:val="24"/>
                <w:highlight w:val="none"/>
                <w:lang w:eastAsia="zh-CN"/>
              </w:rPr>
            </w:pPr>
            <w:r>
              <w:rPr>
                <w:rFonts w:hint="default" w:ascii="Times New Roman" w:hAnsi="Times New Roman" w:eastAsia="宋体" w:cs="Times New Roman"/>
                <w:bCs/>
                <w:snapToGrid w:val="0"/>
                <w:color w:val="auto"/>
                <w:sz w:val="24"/>
                <w:szCs w:val="24"/>
                <w:highlight w:val="none"/>
                <w:lang w:eastAsia="zh-CN"/>
              </w:rPr>
              <w:t>本项目为新建项目，不涉及与项目有关的环境污染和生态破坏问题。</w:t>
            </w:r>
          </w:p>
        </w:tc>
      </w:tr>
      <w:tr w14:paraId="3D162D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4" w:hRule="atLeast"/>
        </w:trPr>
        <w:tc>
          <w:tcPr>
            <w:tcW w:w="608" w:type="dxa"/>
            <w:tcBorders>
              <w:top w:val="single" w:color="000000" w:sz="4" w:space="0"/>
              <w:bottom w:val="single" w:color="000000" w:sz="4" w:space="0"/>
              <w:right w:val="single" w:color="000000" w:sz="4" w:space="0"/>
            </w:tcBorders>
            <w:vAlign w:val="center"/>
          </w:tcPr>
          <w:p w14:paraId="332F8D02">
            <w:pPr>
              <w:pStyle w:val="41"/>
              <w:spacing w:line="480" w:lineRule="exact"/>
              <w:ind w:right="79"/>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生态环境保护目标</w:t>
            </w:r>
          </w:p>
        </w:tc>
        <w:tc>
          <w:tcPr>
            <w:tcW w:w="8522" w:type="dxa"/>
            <w:tcBorders>
              <w:top w:val="single" w:color="000000" w:sz="4" w:space="0"/>
              <w:left w:val="single" w:color="000000" w:sz="4" w:space="0"/>
              <w:bottom w:val="single" w:color="000000" w:sz="4" w:space="0"/>
            </w:tcBorders>
          </w:tcPr>
          <w:p w14:paraId="42415B85">
            <w:pPr>
              <w:adjustRightInd w:val="0"/>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1、电磁环境敏感目标</w:t>
            </w:r>
          </w:p>
          <w:p w14:paraId="6060D654">
            <w:pPr>
              <w:adjustRightInd w:val="0"/>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电磁环境影响评价与监测需重点关注的对象。包括住宅、学校、医院、办公楼、工厂等有公众居住、工作或学习的建筑物。</w:t>
            </w:r>
          </w:p>
          <w:p w14:paraId="7E0B4C9F">
            <w:pPr>
              <w:adjustRightInd w:val="0"/>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本项目无电磁环境保护目标，最近的村庄为拟建线路边导线西侧80m的蚂蚁沟门村。</w:t>
            </w:r>
          </w:p>
          <w:p w14:paraId="1287767C">
            <w:pPr>
              <w:adjustRightInd w:val="0"/>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2、声环境保护目标</w:t>
            </w:r>
          </w:p>
          <w:p w14:paraId="71D93D4C">
            <w:pPr>
              <w:adjustRightInd w:val="0"/>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依据法律法规、标准政策等确定的需要保持安静的建筑物及建筑物集中区。</w:t>
            </w:r>
          </w:p>
          <w:p w14:paraId="36118D0A">
            <w:pPr>
              <w:adjustRightInd w:val="0"/>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本项目无声环境保护目标，最近的村庄为拟建线路边导线西侧80m的蚂蚁沟门村。</w:t>
            </w:r>
          </w:p>
          <w:p w14:paraId="5A5C78FF">
            <w:pPr>
              <w:adjustRightInd w:val="0"/>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生态保护目标：受影响的重要物种、生态敏感区以及其他需要保护的物种、种群、生物群落及生态空间等。生态敏感区包括法定生态保护区域、重要生境以及其他具有重要生态功能、对保护生物多样性具有重要意义的区域。其中，法定生态保护区域包括：依据法律法规、政策等规范性文件划定或确认的国家公园、自然保护区、自然公园等自然保护地、世界自然遗产、生态保护红线等区域；重要生境包括：重要物种的天然集中分布区、栖息地，重要水生生物的产卵场、索饵场、越冬场和洄游通道，迁徙鸟类的重要繁殖地、停歇地、越冬地以及野生动物迁徙通道等。</w:t>
            </w:r>
          </w:p>
          <w:p w14:paraId="289AA99A">
            <w:pPr>
              <w:adjustRightInd w:val="0"/>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项目评价范围内生态环境保护目标为河北滦河上游国家级自然保护区和生态保护红线。</w:t>
            </w:r>
          </w:p>
          <w:p w14:paraId="5069400D">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表3-9　主要环境保护目标一览表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821"/>
              <w:gridCol w:w="877"/>
              <w:gridCol w:w="1379"/>
              <w:gridCol w:w="861"/>
              <w:gridCol w:w="883"/>
              <w:gridCol w:w="402"/>
              <w:gridCol w:w="1264"/>
              <w:gridCol w:w="840"/>
              <w:gridCol w:w="407"/>
            </w:tblGrid>
            <w:tr w14:paraId="18D51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vMerge w:val="restart"/>
                  <w:vAlign w:val="center"/>
                </w:tcPr>
                <w:p w14:paraId="70CB1B0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环境要素</w:t>
                  </w:r>
                </w:p>
              </w:tc>
              <w:tc>
                <w:tcPr>
                  <w:tcW w:w="483" w:type="pct"/>
                  <w:vMerge w:val="restart"/>
                  <w:vAlign w:val="center"/>
                </w:tcPr>
                <w:p w14:paraId="3AD8890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评价范围</w:t>
                  </w:r>
                </w:p>
              </w:tc>
              <w:tc>
                <w:tcPr>
                  <w:tcW w:w="3829" w:type="pct"/>
                  <w:gridSpan w:val="7"/>
                  <w:vAlign w:val="center"/>
                </w:tcPr>
                <w:p w14:paraId="4F4EB53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保护目标</w:t>
                  </w:r>
                </w:p>
              </w:tc>
              <w:tc>
                <w:tcPr>
                  <w:tcW w:w="239" w:type="pct"/>
                  <w:vMerge w:val="restart"/>
                  <w:vAlign w:val="center"/>
                </w:tcPr>
                <w:p w14:paraId="4330516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保护</w:t>
                  </w:r>
                </w:p>
                <w:p w14:paraId="2FB0485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级别</w:t>
                  </w:r>
                </w:p>
              </w:tc>
            </w:tr>
            <w:tr w14:paraId="2E57E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47" w:type="pct"/>
                  <w:vMerge w:val="continue"/>
                  <w:vAlign w:val="center"/>
                </w:tcPr>
                <w:p w14:paraId="41F1F77D">
                  <w:pPr>
                    <w:jc w:val="center"/>
                    <w:rPr>
                      <w:rFonts w:hint="default" w:ascii="Times New Roman" w:hAnsi="Times New Roman" w:eastAsia="宋体" w:cs="Times New Roman"/>
                      <w:color w:val="auto"/>
                      <w:sz w:val="21"/>
                      <w:szCs w:val="21"/>
                      <w:highlight w:val="none"/>
                    </w:rPr>
                  </w:pPr>
                </w:p>
              </w:tc>
              <w:tc>
                <w:tcPr>
                  <w:tcW w:w="483" w:type="pct"/>
                  <w:vMerge w:val="continue"/>
                  <w:vAlign w:val="center"/>
                </w:tcPr>
                <w:p w14:paraId="7AB04648">
                  <w:pPr>
                    <w:jc w:val="center"/>
                    <w:rPr>
                      <w:rFonts w:hint="default" w:ascii="Times New Roman" w:hAnsi="Times New Roman" w:eastAsia="宋体" w:cs="Times New Roman"/>
                      <w:color w:val="auto"/>
                      <w:sz w:val="21"/>
                      <w:szCs w:val="21"/>
                      <w:highlight w:val="none"/>
                    </w:rPr>
                  </w:pPr>
                </w:p>
              </w:tc>
              <w:tc>
                <w:tcPr>
                  <w:tcW w:w="515" w:type="pct"/>
                  <w:vAlign w:val="center"/>
                </w:tcPr>
                <w:p w14:paraId="57852A1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名称</w:t>
                  </w:r>
                </w:p>
              </w:tc>
              <w:tc>
                <w:tcPr>
                  <w:tcW w:w="811" w:type="pct"/>
                  <w:vAlign w:val="center"/>
                </w:tcPr>
                <w:p w14:paraId="2AADCBB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保护对象</w:t>
                  </w:r>
                </w:p>
              </w:tc>
              <w:tc>
                <w:tcPr>
                  <w:tcW w:w="506" w:type="pct"/>
                  <w:vAlign w:val="center"/>
                </w:tcPr>
                <w:p w14:paraId="686E01C0">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塔基数量（基）</w:t>
                  </w:r>
                </w:p>
              </w:tc>
              <w:tc>
                <w:tcPr>
                  <w:tcW w:w="520" w:type="pct"/>
                  <w:vAlign w:val="center"/>
                </w:tcPr>
                <w:p w14:paraId="4F55BF5B">
                  <w:pPr>
                    <w:widowControl/>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塔基编号</w:t>
                  </w:r>
                </w:p>
              </w:tc>
              <w:tc>
                <w:tcPr>
                  <w:tcW w:w="236" w:type="pct"/>
                  <w:vAlign w:val="center"/>
                </w:tcPr>
                <w:p w14:paraId="7EAA0380">
                  <w:pPr>
                    <w:widowControl/>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穿越方式</w:t>
                  </w:r>
                </w:p>
              </w:tc>
              <w:tc>
                <w:tcPr>
                  <w:tcW w:w="744" w:type="pct"/>
                  <w:vAlign w:val="center"/>
                </w:tcPr>
                <w:p w14:paraId="1C3B4FCE">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穿越长度（m）</w:t>
                  </w:r>
                </w:p>
              </w:tc>
              <w:tc>
                <w:tcPr>
                  <w:tcW w:w="494" w:type="pct"/>
                  <w:vAlign w:val="center"/>
                </w:tcPr>
                <w:p w14:paraId="5F4618C3">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占地面积（m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tc>
              <w:tc>
                <w:tcPr>
                  <w:tcW w:w="239" w:type="pct"/>
                  <w:vMerge w:val="continue"/>
                  <w:vAlign w:val="center"/>
                </w:tcPr>
                <w:p w14:paraId="1F30CDE7">
                  <w:pPr>
                    <w:jc w:val="center"/>
                    <w:rPr>
                      <w:rFonts w:hint="default" w:ascii="Times New Roman" w:hAnsi="Times New Roman" w:eastAsia="宋体" w:cs="Times New Roman"/>
                      <w:color w:val="auto"/>
                      <w:sz w:val="21"/>
                      <w:szCs w:val="21"/>
                      <w:highlight w:val="none"/>
                    </w:rPr>
                  </w:pPr>
                </w:p>
              </w:tc>
            </w:tr>
            <w:tr w14:paraId="420E4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vMerge w:val="restart"/>
                  <w:vAlign w:val="center"/>
                </w:tcPr>
                <w:p w14:paraId="7C6BEEC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生态红线</w:t>
                  </w:r>
                </w:p>
              </w:tc>
              <w:tc>
                <w:tcPr>
                  <w:tcW w:w="483" w:type="pct"/>
                  <w:vMerge w:val="restart"/>
                  <w:vAlign w:val="center"/>
                </w:tcPr>
                <w:p w14:paraId="53B499B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架空线路向两端外延1km、线路中心线向两侧外延1km带状区</w:t>
                  </w:r>
                </w:p>
              </w:tc>
              <w:tc>
                <w:tcPr>
                  <w:tcW w:w="515" w:type="pct"/>
                  <w:vAlign w:val="center"/>
                </w:tcPr>
                <w:p w14:paraId="5279F5B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河北滦河上游国家级自然保护区</w:t>
                  </w:r>
                </w:p>
              </w:tc>
              <w:tc>
                <w:tcPr>
                  <w:tcW w:w="811" w:type="pct"/>
                  <w:vAlign w:val="center"/>
                </w:tcPr>
                <w:p w14:paraId="2BD37CF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（1）多样、完整的森林生态系统</w:t>
                  </w:r>
                </w:p>
                <w:p w14:paraId="6B6CE3C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（2）珍稀野生动植物</w:t>
                  </w:r>
                </w:p>
              </w:tc>
              <w:tc>
                <w:tcPr>
                  <w:tcW w:w="506" w:type="pct"/>
                  <w:vAlign w:val="center"/>
                </w:tcPr>
                <w:p w14:paraId="4B6ADB93">
                  <w:pPr>
                    <w:widowControl/>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w:t>
                  </w:r>
                </w:p>
              </w:tc>
              <w:tc>
                <w:tcPr>
                  <w:tcW w:w="520" w:type="pct"/>
                  <w:vAlign w:val="center"/>
                </w:tcPr>
                <w:p w14:paraId="207C5454">
                  <w:pPr>
                    <w:widowControl/>
                    <w:autoSpaceDE/>
                    <w:autoSpaceDN/>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N4~N26</w:t>
                  </w:r>
                </w:p>
              </w:tc>
              <w:tc>
                <w:tcPr>
                  <w:tcW w:w="236" w:type="pct"/>
                  <w:vAlign w:val="center"/>
                </w:tcPr>
                <w:p w14:paraId="59DE2187">
                  <w:pPr>
                    <w:widowControl/>
                    <w:autoSpaceDE/>
                    <w:autoSpaceDN/>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架空穿越</w:t>
                  </w:r>
                </w:p>
              </w:tc>
              <w:tc>
                <w:tcPr>
                  <w:tcW w:w="744" w:type="pct"/>
                  <w:vAlign w:val="center"/>
                </w:tcPr>
                <w:p w14:paraId="3F39EDFE">
                  <w:pPr>
                    <w:widowControl/>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sz w:val="21"/>
                      <w:szCs w:val="21"/>
                      <w:highlight w:val="none"/>
                    </w:rPr>
                    <w:t>9094.58</w:t>
                  </w:r>
                </w:p>
              </w:tc>
              <w:tc>
                <w:tcPr>
                  <w:tcW w:w="494" w:type="pct"/>
                  <w:vAlign w:val="center"/>
                </w:tcPr>
                <w:p w14:paraId="5D767C87">
                  <w:pPr>
                    <w:widowControl/>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2438</w:t>
                  </w:r>
                </w:p>
              </w:tc>
              <w:tc>
                <w:tcPr>
                  <w:tcW w:w="239" w:type="pct"/>
                  <w:vMerge w:val="restart"/>
                  <w:vAlign w:val="center"/>
                </w:tcPr>
                <w:p w14:paraId="259436F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区域生态环境功能不降低</w:t>
                  </w:r>
                </w:p>
              </w:tc>
            </w:tr>
            <w:tr w14:paraId="32773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vMerge w:val="continue"/>
                  <w:vAlign w:val="center"/>
                </w:tcPr>
                <w:p w14:paraId="392B3E11">
                  <w:pPr>
                    <w:jc w:val="center"/>
                    <w:rPr>
                      <w:rFonts w:hint="default" w:ascii="Times New Roman" w:hAnsi="Times New Roman" w:eastAsia="宋体" w:cs="Times New Roman"/>
                      <w:color w:val="auto"/>
                      <w:sz w:val="21"/>
                      <w:szCs w:val="21"/>
                      <w:highlight w:val="none"/>
                    </w:rPr>
                  </w:pPr>
                </w:p>
              </w:tc>
              <w:tc>
                <w:tcPr>
                  <w:tcW w:w="483" w:type="pct"/>
                  <w:vMerge w:val="continue"/>
                  <w:vAlign w:val="center"/>
                </w:tcPr>
                <w:p w14:paraId="4AF8DBD4">
                  <w:pPr>
                    <w:jc w:val="center"/>
                    <w:rPr>
                      <w:rFonts w:hint="default" w:ascii="Times New Roman" w:hAnsi="Times New Roman" w:eastAsia="宋体" w:cs="Times New Roman"/>
                      <w:bCs/>
                      <w:color w:val="auto"/>
                      <w:sz w:val="21"/>
                      <w:szCs w:val="21"/>
                      <w:highlight w:val="none"/>
                    </w:rPr>
                  </w:pPr>
                </w:p>
              </w:tc>
              <w:tc>
                <w:tcPr>
                  <w:tcW w:w="515" w:type="pct"/>
                  <w:vAlign w:val="center"/>
                </w:tcPr>
                <w:p w14:paraId="4816430F">
                  <w:pPr>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color w:val="auto"/>
                      <w:sz w:val="21"/>
                      <w:szCs w:val="21"/>
                      <w:highlight w:val="none"/>
                    </w:rPr>
                    <w:t>燕山水源涵养-生物多样性维护生态保护红线、坝上高原防风固沙生态保护红线</w:t>
                  </w:r>
                </w:p>
              </w:tc>
              <w:tc>
                <w:tcPr>
                  <w:tcW w:w="811" w:type="pct"/>
                  <w:vAlign w:val="center"/>
                </w:tcPr>
                <w:p w14:paraId="191777A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水源涵养-生物多样性维护、防风固沙</w:t>
                  </w:r>
                </w:p>
              </w:tc>
              <w:tc>
                <w:tcPr>
                  <w:tcW w:w="506" w:type="pct"/>
                  <w:vAlign w:val="center"/>
                </w:tcPr>
                <w:p w14:paraId="34554BE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w:t>
                  </w:r>
                </w:p>
              </w:tc>
              <w:tc>
                <w:tcPr>
                  <w:tcW w:w="520" w:type="pct"/>
                  <w:vAlign w:val="center"/>
                </w:tcPr>
                <w:p w14:paraId="161E6BFA">
                  <w:pPr>
                    <w:widowControl/>
                    <w:autoSpaceDE/>
                    <w:autoSpaceDN/>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N10~N39、N41、N47~N49、N52~N53</w:t>
                  </w:r>
                </w:p>
              </w:tc>
              <w:tc>
                <w:tcPr>
                  <w:tcW w:w="236" w:type="pct"/>
                  <w:vAlign w:val="center"/>
                </w:tcPr>
                <w:p w14:paraId="29FD3AE0">
                  <w:pPr>
                    <w:widowControl/>
                    <w:autoSpaceDE/>
                    <w:autoSpaceDN/>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架空穿越</w:t>
                  </w:r>
                </w:p>
              </w:tc>
              <w:tc>
                <w:tcPr>
                  <w:tcW w:w="744" w:type="pct"/>
                  <w:vAlign w:val="center"/>
                </w:tcPr>
                <w:p w14:paraId="0AC329A1">
                  <w:pPr>
                    <w:widowControl/>
                    <w:autoSpaceDE/>
                    <w:autoSpaceDN/>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12967</w:t>
                  </w:r>
                </w:p>
              </w:tc>
              <w:tc>
                <w:tcPr>
                  <w:tcW w:w="494" w:type="pct"/>
                  <w:vAlign w:val="center"/>
                </w:tcPr>
                <w:p w14:paraId="474CE243">
                  <w:pPr>
                    <w:widowControl/>
                    <w:autoSpaceDE/>
                    <w:autoSpaceDN/>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7875</w:t>
                  </w:r>
                </w:p>
              </w:tc>
              <w:tc>
                <w:tcPr>
                  <w:tcW w:w="239" w:type="pct"/>
                  <w:vMerge w:val="continue"/>
                  <w:vAlign w:val="center"/>
                </w:tcPr>
                <w:p w14:paraId="6B90F0EA">
                  <w:pPr>
                    <w:jc w:val="center"/>
                    <w:rPr>
                      <w:rFonts w:hint="default" w:ascii="Times New Roman" w:hAnsi="Times New Roman" w:eastAsia="宋体" w:cs="Times New Roman"/>
                      <w:snapToGrid w:val="0"/>
                      <w:color w:val="auto"/>
                      <w:sz w:val="21"/>
                      <w:szCs w:val="21"/>
                      <w:highlight w:val="none"/>
                    </w:rPr>
                  </w:pPr>
                </w:p>
              </w:tc>
            </w:tr>
            <w:tr w14:paraId="4318F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vMerge w:val="restart"/>
                  <w:vAlign w:val="center"/>
                </w:tcPr>
                <w:p w14:paraId="21F6DE6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保护目标位置关系</w:t>
                  </w:r>
                </w:p>
              </w:tc>
              <w:tc>
                <w:tcPr>
                  <w:tcW w:w="483" w:type="pct"/>
                  <w:vAlign w:val="center"/>
                </w:tcPr>
                <w:p w14:paraId="16BF8E7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本项目与河北滦河上游国家级自然保护区位置关系</w:t>
                  </w:r>
                </w:p>
              </w:tc>
              <w:tc>
                <w:tcPr>
                  <w:tcW w:w="4069" w:type="pct"/>
                  <w:gridSpan w:val="8"/>
                  <w:vAlign w:val="center"/>
                </w:tcPr>
                <w:p w14:paraId="7DD1C081">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drawing>
                      <wp:inline distT="0" distB="0" distL="114300" distR="114300">
                        <wp:extent cx="4540885" cy="2843530"/>
                        <wp:effectExtent l="0" t="0" r="12065" b="139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4540885" cy="2843530"/>
                                </a:xfrm>
                                <a:prstGeom prst="rect">
                                  <a:avLst/>
                                </a:prstGeom>
                                <a:noFill/>
                                <a:ln>
                                  <a:noFill/>
                                </a:ln>
                              </pic:spPr>
                            </pic:pic>
                          </a:graphicData>
                        </a:graphic>
                      </wp:inline>
                    </w:drawing>
                  </w:r>
                </w:p>
              </w:tc>
            </w:tr>
            <w:tr w14:paraId="2F56F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vMerge w:val="continue"/>
                  <w:vAlign w:val="center"/>
                </w:tcPr>
                <w:p w14:paraId="1EAF36C5">
                  <w:pPr>
                    <w:jc w:val="center"/>
                    <w:rPr>
                      <w:rFonts w:hint="default" w:ascii="Times New Roman" w:hAnsi="Times New Roman" w:eastAsia="宋体" w:cs="Times New Roman"/>
                      <w:color w:val="auto"/>
                      <w:sz w:val="21"/>
                      <w:szCs w:val="21"/>
                      <w:highlight w:val="none"/>
                    </w:rPr>
                  </w:pPr>
                </w:p>
              </w:tc>
              <w:tc>
                <w:tcPr>
                  <w:tcW w:w="483" w:type="pct"/>
                  <w:vAlign w:val="center"/>
                </w:tcPr>
                <w:p w14:paraId="42D4ECB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本项目与生态保护红线位置关系</w:t>
                  </w:r>
                </w:p>
              </w:tc>
              <w:tc>
                <w:tcPr>
                  <w:tcW w:w="4069" w:type="pct"/>
                  <w:gridSpan w:val="8"/>
                  <w:vAlign w:val="center"/>
                </w:tcPr>
                <w:p w14:paraId="4A10C9B2">
                  <w:pPr>
                    <w:jc w:val="center"/>
                    <w:rPr>
                      <w:rFonts w:hint="default" w:ascii="Times New Roman" w:hAnsi="Times New Roman" w:cs="Times New Roman"/>
                      <w:color w:val="auto"/>
                      <w:sz w:val="21"/>
                      <w:szCs w:val="21"/>
                      <w:highlight w:val="none"/>
                    </w:rPr>
                  </w:pPr>
                  <w:r>
                    <w:rPr>
                      <w:color w:val="auto"/>
                      <w:highlight w:val="none"/>
                    </w:rPr>
                    <w:drawing>
                      <wp:inline distT="0" distB="0" distL="114300" distR="114300">
                        <wp:extent cx="4439920" cy="2416175"/>
                        <wp:effectExtent l="0" t="0" r="1778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4439920" cy="2416175"/>
                                </a:xfrm>
                                <a:prstGeom prst="rect">
                                  <a:avLst/>
                                </a:prstGeom>
                                <a:noFill/>
                                <a:ln>
                                  <a:noFill/>
                                </a:ln>
                              </pic:spPr>
                            </pic:pic>
                          </a:graphicData>
                        </a:graphic>
                      </wp:inline>
                    </w:drawing>
                  </w:r>
                </w:p>
              </w:tc>
            </w:tr>
          </w:tbl>
          <w:p w14:paraId="678D9190">
            <w:pPr>
              <w:pStyle w:val="41"/>
              <w:ind w:right="4387"/>
              <w:rPr>
                <w:rFonts w:hint="default" w:ascii="Times New Roman" w:hAnsi="Times New Roman" w:eastAsia="宋体" w:cs="Times New Roman"/>
                <w:color w:val="auto"/>
                <w:sz w:val="24"/>
                <w:szCs w:val="24"/>
                <w:highlight w:val="none"/>
              </w:rPr>
            </w:pPr>
          </w:p>
        </w:tc>
      </w:tr>
      <w:tr w14:paraId="7AA74B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4" w:hRule="atLeast"/>
        </w:trPr>
        <w:tc>
          <w:tcPr>
            <w:tcW w:w="608" w:type="dxa"/>
            <w:tcBorders>
              <w:top w:val="single" w:color="000000" w:sz="4" w:space="0"/>
              <w:bottom w:val="single" w:color="000000" w:sz="4" w:space="0"/>
              <w:right w:val="single" w:color="000000" w:sz="4" w:space="0"/>
            </w:tcBorders>
            <w:vAlign w:val="center"/>
          </w:tcPr>
          <w:p w14:paraId="16CB79EF">
            <w:pPr>
              <w:pStyle w:val="41"/>
              <w:spacing w:line="480" w:lineRule="exact"/>
              <w:ind w:right="79"/>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评价标准</w:t>
            </w:r>
          </w:p>
        </w:tc>
        <w:tc>
          <w:tcPr>
            <w:tcW w:w="8522" w:type="dxa"/>
            <w:tcBorders>
              <w:top w:val="single" w:color="000000" w:sz="4" w:space="0"/>
              <w:left w:val="single" w:color="000000" w:sz="4" w:space="0"/>
              <w:bottom w:val="single" w:color="000000" w:sz="4" w:space="0"/>
            </w:tcBorders>
          </w:tcPr>
          <w:p w14:paraId="1711855E">
            <w:pPr>
              <w:spacing w:line="480" w:lineRule="exact"/>
              <w:ind w:firstLine="482" w:firstLineChars="20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1、环境质量标准</w:t>
            </w:r>
          </w:p>
          <w:p w14:paraId="16361BD3">
            <w:pPr>
              <w:autoSpaceDE/>
              <w:autoSpaceDN/>
              <w:adjustRightInd w:val="0"/>
              <w:snapToGrid w:val="0"/>
              <w:spacing w:line="420" w:lineRule="exact"/>
              <w:ind w:firstLine="480" w:firstLineChars="200"/>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（1）环境空气质量标准</w:t>
            </w:r>
          </w:p>
          <w:p w14:paraId="34D63BBB">
            <w:pPr>
              <w:autoSpaceDE/>
              <w:autoSpaceDN/>
              <w:adjustRightInd w:val="0"/>
              <w:snapToGrid w:val="0"/>
              <w:spacing w:line="440" w:lineRule="exact"/>
              <w:ind w:firstLine="480" w:firstLineChars="200"/>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区域大气环境执行《环境空气质量标准》（GB3095-2012）二级标准及其修改单。</w:t>
            </w:r>
          </w:p>
          <w:p w14:paraId="19BE32C1">
            <w:pPr>
              <w:autoSpaceDE/>
              <w:autoSpaceDN/>
              <w:adjustRightInd w:val="0"/>
              <w:snapToGrid w:val="0"/>
              <w:spacing w:line="440" w:lineRule="exact"/>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表3-10  环境空气质量标准</w:t>
            </w:r>
          </w:p>
          <w:tbl>
            <w:tblPr>
              <w:tblStyle w:val="32"/>
              <w:tblW w:w="86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03"/>
              <w:gridCol w:w="1559"/>
              <w:gridCol w:w="1984"/>
              <w:gridCol w:w="1985"/>
              <w:gridCol w:w="1876"/>
            </w:tblGrid>
            <w:tr w14:paraId="33F6D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203" w:type="dxa"/>
                  <w:tcBorders>
                    <w:top w:val="single" w:color="auto" w:sz="4" w:space="0"/>
                    <w:left w:val="single" w:color="auto" w:sz="4" w:space="0"/>
                    <w:bottom w:val="single" w:color="auto" w:sz="4" w:space="0"/>
                    <w:right w:val="single" w:color="auto" w:sz="4" w:space="0"/>
                  </w:tcBorders>
                  <w:vAlign w:val="center"/>
                </w:tcPr>
                <w:p w14:paraId="30ADC3F8">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项目</w:t>
                  </w:r>
                </w:p>
              </w:tc>
              <w:tc>
                <w:tcPr>
                  <w:tcW w:w="1559" w:type="dxa"/>
                  <w:tcBorders>
                    <w:top w:val="single" w:color="auto" w:sz="4" w:space="0"/>
                    <w:left w:val="single" w:color="auto" w:sz="4" w:space="0"/>
                    <w:bottom w:val="single" w:color="auto" w:sz="4" w:space="0"/>
                    <w:right w:val="single" w:color="auto" w:sz="4" w:space="0"/>
                  </w:tcBorders>
                  <w:vAlign w:val="center"/>
                </w:tcPr>
                <w:p w14:paraId="1543E13B">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污染物名称</w:t>
                  </w:r>
                </w:p>
              </w:tc>
              <w:tc>
                <w:tcPr>
                  <w:tcW w:w="1984" w:type="dxa"/>
                  <w:tcBorders>
                    <w:top w:val="single" w:color="auto" w:sz="4" w:space="0"/>
                    <w:left w:val="single" w:color="auto" w:sz="4" w:space="0"/>
                    <w:bottom w:val="single" w:color="auto" w:sz="4" w:space="0"/>
                    <w:right w:val="single" w:color="auto" w:sz="4" w:space="0"/>
                  </w:tcBorders>
                  <w:vAlign w:val="center"/>
                </w:tcPr>
                <w:p w14:paraId="682449A1">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取值时间</w:t>
                  </w:r>
                </w:p>
              </w:tc>
              <w:tc>
                <w:tcPr>
                  <w:tcW w:w="1985" w:type="dxa"/>
                  <w:tcBorders>
                    <w:top w:val="single" w:color="auto" w:sz="4" w:space="0"/>
                    <w:left w:val="single" w:color="auto" w:sz="4" w:space="0"/>
                    <w:bottom w:val="single" w:color="auto" w:sz="4" w:space="0"/>
                    <w:right w:val="single" w:color="auto" w:sz="4" w:space="0"/>
                  </w:tcBorders>
                  <w:vAlign w:val="center"/>
                </w:tcPr>
                <w:p w14:paraId="5329A457">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浓度限值</w:t>
                  </w:r>
                </w:p>
              </w:tc>
              <w:tc>
                <w:tcPr>
                  <w:tcW w:w="1876" w:type="dxa"/>
                  <w:tcBorders>
                    <w:top w:val="single" w:color="auto" w:sz="4" w:space="0"/>
                    <w:left w:val="single" w:color="auto" w:sz="4" w:space="0"/>
                    <w:bottom w:val="single" w:color="auto" w:sz="4" w:space="0"/>
                    <w:right w:val="single" w:color="auto" w:sz="4" w:space="0"/>
                  </w:tcBorders>
                  <w:vAlign w:val="center"/>
                </w:tcPr>
                <w:p w14:paraId="7F928B4C">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标准来源</w:t>
                  </w:r>
                </w:p>
              </w:tc>
            </w:tr>
            <w:tr w14:paraId="63E8B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203" w:type="dxa"/>
                  <w:vMerge w:val="restart"/>
                  <w:tcBorders>
                    <w:top w:val="nil"/>
                    <w:left w:val="single" w:color="auto" w:sz="4" w:space="0"/>
                    <w:bottom w:val="single" w:color="auto" w:sz="4" w:space="0"/>
                    <w:right w:val="single" w:color="auto" w:sz="4" w:space="0"/>
                  </w:tcBorders>
                  <w:vAlign w:val="center"/>
                </w:tcPr>
                <w:p w14:paraId="20F51C7C">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大气环境</w:t>
                  </w:r>
                </w:p>
              </w:tc>
              <w:tc>
                <w:tcPr>
                  <w:tcW w:w="1559" w:type="dxa"/>
                  <w:tcBorders>
                    <w:top w:val="single" w:color="auto" w:sz="4" w:space="0"/>
                    <w:left w:val="single" w:color="auto" w:sz="4" w:space="0"/>
                    <w:bottom w:val="single" w:color="auto" w:sz="4" w:space="0"/>
                    <w:right w:val="single" w:color="auto" w:sz="4" w:space="0"/>
                  </w:tcBorders>
                  <w:vAlign w:val="center"/>
                </w:tcPr>
                <w:p w14:paraId="7652866D">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SO</w:t>
                  </w:r>
                  <w:r>
                    <w:rPr>
                      <w:rFonts w:hint="default" w:ascii="Times New Roman" w:hAnsi="Times New Roman" w:eastAsia="宋体" w:cs="Times New Roman"/>
                      <w:color w:val="auto"/>
                      <w:kern w:val="2"/>
                      <w:sz w:val="21"/>
                      <w:szCs w:val="21"/>
                      <w:highlight w:val="none"/>
                      <w:vertAlign w:val="subscript"/>
                    </w:rPr>
                    <w:t>2</w:t>
                  </w:r>
                </w:p>
              </w:tc>
              <w:tc>
                <w:tcPr>
                  <w:tcW w:w="1984" w:type="dxa"/>
                  <w:tcBorders>
                    <w:top w:val="single" w:color="auto" w:sz="4" w:space="0"/>
                    <w:left w:val="single" w:color="auto" w:sz="4" w:space="0"/>
                    <w:bottom w:val="single" w:color="auto" w:sz="4" w:space="0"/>
                    <w:right w:val="single" w:color="auto" w:sz="4" w:space="0"/>
                  </w:tcBorders>
                  <w:vAlign w:val="center"/>
                </w:tcPr>
                <w:p w14:paraId="56FC0B71">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年平均</w:t>
                  </w:r>
                </w:p>
                <w:p w14:paraId="1E4FD408">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24小时平均</w:t>
                  </w:r>
                </w:p>
                <w:p w14:paraId="7785F28C">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1小时平均</w:t>
                  </w:r>
                </w:p>
              </w:tc>
              <w:tc>
                <w:tcPr>
                  <w:tcW w:w="1985" w:type="dxa"/>
                  <w:tcBorders>
                    <w:top w:val="single" w:color="auto" w:sz="4" w:space="0"/>
                    <w:left w:val="single" w:color="auto" w:sz="4" w:space="0"/>
                    <w:bottom w:val="single" w:color="auto" w:sz="4" w:space="0"/>
                    <w:right w:val="single" w:color="auto" w:sz="4" w:space="0"/>
                  </w:tcBorders>
                  <w:vAlign w:val="center"/>
                </w:tcPr>
                <w:p w14:paraId="68B6D52D">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60μg/m</w:t>
                  </w:r>
                  <w:r>
                    <w:rPr>
                      <w:rFonts w:hint="default" w:ascii="Times New Roman" w:hAnsi="Times New Roman" w:eastAsia="宋体" w:cs="Times New Roman"/>
                      <w:color w:val="auto"/>
                      <w:kern w:val="2"/>
                      <w:sz w:val="21"/>
                      <w:szCs w:val="21"/>
                      <w:highlight w:val="none"/>
                      <w:vertAlign w:val="superscript"/>
                    </w:rPr>
                    <w:t>3</w:t>
                  </w:r>
                </w:p>
                <w:p w14:paraId="491D03FA">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150μg/m</w:t>
                  </w:r>
                  <w:r>
                    <w:rPr>
                      <w:rFonts w:hint="default" w:ascii="Times New Roman" w:hAnsi="Times New Roman" w:eastAsia="宋体" w:cs="Times New Roman"/>
                      <w:color w:val="auto"/>
                      <w:kern w:val="2"/>
                      <w:sz w:val="21"/>
                      <w:szCs w:val="21"/>
                      <w:highlight w:val="none"/>
                      <w:vertAlign w:val="superscript"/>
                    </w:rPr>
                    <w:t>3</w:t>
                  </w:r>
                </w:p>
                <w:p w14:paraId="792E657C">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500μg/m</w:t>
                  </w:r>
                  <w:r>
                    <w:rPr>
                      <w:rFonts w:hint="default" w:ascii="Times New Roman" w:hAnsi="Times New Roman" w:eastAsia="宋体" w:cs="Times New Roman"/>
                      <w:color w:val="auto"/>
                      <w:kern w:val="2"/>
                      <w:sz w:val="21"/>
                      <w:szCs w:val="21"/>
                      <w:highlight w:val="none"/>
                      <w:vertAlign w:val="superscript"/>
                    </w:rPr>
                    <w:t>3</w:t>
                  </w:r>
                </w:p>
              </w:tc>
              <w:tc>
                <w:tcPr>
                  <w:tcW w:w="1876" w:type="dxa"/>
                  <w:vMerge w:val="restart"/>
                  <w:tcBorders>
                    <w:top w:val="nil"/>
                    <w:left w:val="single" w:color="auto" w:sz="4" w:space="0"/>
                    <w:bottom w:val="single" w:color="auto" w:sz="4" w:space="0"/>
                    <w:right w:val="single" w:color="auto" w:sz="4" w:space="0"/>
                  </w:tcBorders>
                  <w:vAlign w:val="center"/>
                </w:tcPr>
                <w:p w14:paraId="03F833D2">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《环境空气质量标准》（GB3095-2012）二级标准及其修改单</w:t>
                  </w:r>
                </w:p>
              </w:tc>
            </w:tr>
            <w:tr w14:paraId="090ED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203" w:type="dxa"/>
                  <w:vMerge w:val="continue"/>
                  <w:tcBorders>
                    <w:top w:val="nil"/>
                    <w:left w:val="single" w:color="auto" w:sz="4" w:space="0"/>
                    <w:bottom w:val="single" w:color="auto" w:sz="4" w:space="0"/>
                    <w:right w:val="single" w:color="auto" w:sz="4" w:space="0"/>
                  </w:tcBorders>
                  <w:vAlign w:val="center"/>
                </w:tcPr>
                <w:p w14:paraId="71BA13E3">
                  <w:pPr>
                    <w:widowControl/>
                    <w:autoSpaceDE/>
                    <w:autoSpaceDN/>
                    <w:rPr>
                      <w:rFonts w:hint="default" w:ascii="Times New Roman" w:hAnsi="Times New Roman" w:eastAsia="宋体" w:cs="Times New Roman"/>
                      <w:color w:val="auto"/>
                      <w:kern w:val="2"/>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0A99F2DD">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NO</w:t>
                  </w:r>
                  <w:r>
                    <w:rPr>
                      <w:rFonts w:hint="default" w:ascii="Times New Roman" w:hAnsi="Times New Roman" w:eastAsia="宋体" w:cs="Times New Roman"/>
                      <w:color w:val="auto"/>
                      <w:kern w:val="2"/>
                      <w:sz w:val="21"/>
                      <w:szCs w:val="21"/>
                      <w:highlight w:val="none"/>
                      <w:vertAlign w:val="subscript"/>
                    </w:rPr>
                    <w:t>2</w:t>
                  </w:r>
                </w:p>
              </w:tc>
              <w:tc>
                <w:tcPr>
                  <w:tcW w:w="1984" w:type="dxa"/>
                  <w:tcBorders>
                    <w:top w:val="single" w:color="auto" w:sz="4" w:space="0"/>
                    <w:left w:val="single" w:color="auto" w:sz="4" w:space="0"/>
                    <w:bottom w:val="single" w:color="auto" w:sz="4" w:space="0"/>
                    <w:right w:val="single" w:color="auto" w:sz="4" w:space="0"/>
                  </w:tcBorders>
                  <w:vAlign w:val="center"/>
                </w:tcPr>
                <w:p w14:paraId="4F06C474">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年平均</w:t>
                  </w:r>
                </w:p>
                <w:p w14:paraId="51AB6A82">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24小时平均</w:t>
                  </w:r>
                </w:p>
                <w:p w14:paraId="3821EB4C">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1小时平均</w:t>
                  </w:r>
                </w:p>
              </w:tc>
              <w:tc>
                <w:tcPr>
                  <w:tcW w:w="1985" w:type="dxa"/>
                  <w:tcBorders>
                    <w:top w:val="single" w:color="auto" w:sz="4" w:space="0"/>
                    <w:left w:val="single" w:color="auto" w:sz="4" w:space="0"/>
                    <w:bottom w:val="single" w:color="auto" w:sz="4" w:space="0"/>
                    <w:right w:val="single" w:color="auto" w:sz="4" w:space="0"/>
                  </w:tcBorders>
                  <w:vAlign w:val="center"/>
                </w:tcPr>
                <w:p w14:paraId="084C95EF">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40μg/m</w:t>
                  </w:r>
                  <w:r>
                    <w:rPr>
                      <w:rFonts w:hint="default" w:ascii="Times New Roman" w:hAnsi="Times New Roman" w:eastAsia="宋体" w:cs="Times New Roman"/>
                      <w:color w:val="auto"/>
                      <w:kern w:val="2"/>
                      <w:sz w:val="21"/>
                      <w:szCs w:val="21"/>
                      <w:highlight w:val="none"/>
                      <w:vertAlign w:val="superscript"/>
                    </w:rPr>
                    <w:t>3</w:t>
                  </w:r>
                </w:p>
                <w:p w14:paraId="7D20A4B2">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80μg/m</w:t>
                  </w:r>
                  <w:r>
                    <w:rPr>
                      <w:rFonts w:hint="default" w:ascii="Times New Roman" w:hAnsi="Times New Roman" w:eastAsia="宋体" w:cs="Times New Roman"/>
                      <w:color w:val="auto"/>
                      <w:kern w:val="2"/>
                      <w:sz w:val="21"/>
                      <w:szCs w:val="21"/>
                      <w:highlight w:val="none"/>
                      <w:vertAlign w:val="superscript"/>
                    </w:rPr>
                    <w:t>3</w:t>
                  </w:r>
                </w:p>
                <w:p w14:paraId="685B4DAD">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200μg/m</w:t>
                  </w:r>
                  <w:r>
                    <w:rPr>
                      <w:rFonts w:hint="default" w:ascii="Times New Roman" w:hAnsi="Times New Roman" w:eastAsia="宋体" w:cs="Times New Roman"/>
                      <w:color w:val="auto"/>
                      <w:kern w:val="2"/>
                      <w:sz w:val="21"/>
                      <w:szCs w:val="21"/>
                      <w:highlight w:val="none"/>
                      <w:vertAlign w:val="superscript"/>
                    </w:rPr>
                    <w:t>3</w:t>
                  </w:r>
                </w:p>
              </w:tc>
              <w:tc>
                <w:tcPr>
                  <w:tcW w:w="1876" w:type="dxa"/>
                  <w:vMerge w:val="continue"/>
                  <w:tcBorders>
                    <w:top w:val="nil"/>
                    <w:left w:val="single" w:color="auto" w:sz="4" w:space="0"/>
                    <w:bottom w:val="single" w:color="auto" w:sz="4" w:space="0"/>
                    <w:right w:val="single" w:color="auto" w:sz="4" w:space="0"/>
                  </w:tcBorders>
                  <w:vAlign w:val="center"/>
                </w:tcPr>
                <w:p w14:paraId="11BFE05C">
                  <w:pPr>
                    <w:widowControl/>
                    <w:autoSpaceDE/>
                    <w:autoSpaceDN/>
                    <w:rPr>
                      <w:rFonts w:hint="default" w:ascii="Times New Roman" w:hAnsi="Times New Roman" w:eastAsia="宋体" w:cs="Times New Roman"/>
                      <w:color w:val="auto"/>
                      <w:kern w:val="2"/>
                      <w:sz w:val="21"/>
                      <w:szCs w:val="21"/>
                      <w:highlight w:val="none"/>
                    </w:rPr>
                  </w:pPr>
                </w:p>
              </w:tc>
            </w:tr>
            <w:tr w14:paraId="7577A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203" w:type="dxa"/>
                  <w:vMerge w:val="continue"/>
                  <w:tcBorders>
                    <w:top w:val="nil"/>
                    <w:left w:val="single" w:color="auto" w:sz="4" w:space="0"/>
                    <w:bottom w:val="single" w:color="auto" w:sz="4" w:space="0"/>
                    <w:right w:val="single" w:color="auto" w:sz="4" w:space="0"/>
                  </w:tcBorders>
                  <w:vAlign w:val="center"/>
                </w:tcPr>
                <w:p w14:paraId="1A235665">
                  <w:pPr>
                    <w:widowControl/>
                    <w:autoSpaceDE/>
                    <w:autoSpaceDN/>
                    <w:rPr>
                      <w:rFonts w:hint="default" w:ascii="Times New Roman" w:hAnsi="Times New Roman" w:eastAsia="宋体" w:cs="Times New Roman"/>
                      <w:color w:val="auto"/>
                      <w:kern w:val="2"/>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58B61271">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PM</w:t>
                  </w:r>
                  <w:r>
                    <w:rPr>
                      <w:rFonts w:hint="default" w:ascii="Times New Roman" w:hAnsi="Times New Roman" w:eastAsia="宋体" w:cs="Times New Roman"/>
                      <w:color w:val="auto"/>
                      <w:kern w:val="2"/>
                      <w:sz w:val="21"/>
                      <w:szCs w:val="21"/>
                      <w:highlight w:val="none"/>
                      <w:vertAlign w:val="subscript"/>
                    </w:rPr>
                    <w:t>10</w:t>
                  </w:r>
                </w:p>
              </w:tc>
              <w:tc>
                <w:tcPr>
                  <w:tcW w:w="1984" w:type="dxa"/>
                  <w:tcBorders>
                    <w:top w:val="single" w:color="auto" w:sz="4" w:space="0"/>
                    <w:left w:val="single" w:color="auto" w:sz="4" w:space="0"/>
                    <w:bottom w:val="single" w:color="auto" w:sz="4" w:space="0"/>
                    <w:right w:val="single" w:color="auto" w:sz="4" w:space="0"/>
                  </w:tcBorders>
                  <w:vAlign w:val="center"/>
                </w:tcPr>
                <w:p w14:paraId="5BEE6A44">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年平均</w:t>
                  </w:r>
                </w:p>
                <w:p w14:paraId="646F9E26">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24小时平均</w:t>
                  </w:r>
                </w:p>
              </w:tc>
              <w:tc>
                <w:tcPr>
                  <w:tcW w:w="1985" w:type="dxa"/>
                  <w:tcBorders>
                    <w:top w:val="single" w:color="auto" w:sz="4" w:space="0"/>
                    <w:left w:val="single" w:color="auto" w:sz="4" w:space="0"/>
                    <w:bottom w:val="single" w:color="auto" w:sz="4" w:space="0"/>
                    <w:right w:val="single" w:color="auto" w:sz="4" w:space="0"/>
                  </w:tcBorders>
                  <w:vAlign w:val="center"/>
                </w:tcPr>
                <w:p w14:paraId="291303C7">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70μg/m</w:t>
                  </w:r>
                  <w:r>
                    <w:rPr>
                      <w:rFonts w:hint="default" w:ascii="Times New Roman" w:hAnsi="Times New Roman" w:eastAsia="宋体" w:cs="Times New Roman"/>
                      <w:color w:val="auto"/>
                      <w:kern w:val="2"/>
                      <w:sz w:val="21"/>
                      <w:szCs w:val="21"/>
                      <w:highlight w:val="none"/>
                      <w:vertAlign w:val="superscript"/>
                    </w:rPr>
                    <w:t>3</w:t>
                  </w:r>
                </w:p>
                <w:p w14:paraId="5984B951">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150μg/m</w:t>
                  </w:r>
                  <w:r>
                    <w:rPr>
                      <w:rFonts w:hint="default" w:ascii="Times New Roman" w:hAnsi="Times New Roman" w:eastAsia="宋体" w:cs="Times New Roman"/>
                      <w:color w:val="auto"/>
                      <w:kern w:val="2"/>
                      <w:sz w:val="21"/>
                      <w:szCs w:val="21"/>
                      <w:highlight w:val="none"/>
                      <w:vertAlign w:val="superscript"/>
                    </w:rPr>
                    <w:t>3</w:t>
                  </w:r>
                </w:p>
              </w:tc>
              <w:tc>
                <w:tcPr>
                  <w:tcW w:w="1876" w:type="dxa"/>
                  <w:vMerge w:val="continue"/>
                  <w:tcBorders>
                    <w:top w:val="nil"/>
                    <w:left w:val="single" w:color="auto" w:sz="4" w:space="0"/>
                    <w:bottom w:val="single" w:color="auto" w:sz="4" w:space="0"/>
                    <w:right w:val="single" w:color="auto" w:sz="4" w:space="0"/>
                  </w:tcBorders>
                  <w:vAlign w:val="center"/>
                </w:tcPr>
                <w:p w14:paraId="53C631F7">
                  <w:pPr>
                    <w:widowControl/>
                    <w:autoSpaceDE/>
                    <w:autoSpaceDN/>
                    <w:rPr>
                      <w:rFonts w:hint="default" w:ascii="Times New Roman" w:hAnsi="Times New Roman" w:eastAsia="宋体" w:cs="Times New Roman"/>
                      <w:color w:val="auto"/>
                      <w:kern w:val="2"/>
                      <w:sz w:val="21"/>
                      <w:szCs w:val="21"/>
                      <w:highlight w:val="none"/>
                    </w:rPr>
                  </w:pPr>
                </w:p>
              </w:tc>
            </w:tr>
            <w:tr w14:paraId="329B1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203" w:type="dxa"/>
                  <w:vMerge w:val="continue"/>
                  <w:tcBorders>
                    <w:top w:val="nil"/>
                    <w:left w:val="single" w:color="auto" w:sz="4" w:space="0"/>
                    <w:bottom w:val="single" w:color="auto" w:sz="4" w:space="0"/>
                    <w:right w:val="single" w:color="auto" w:sz="4" w:space="0"/>
                  </w:tcBorders>
                  <w:vAlign w:val="center"/>
                </w:tcPr>
                <w:p w14:paraId="0B3090B5">
                  <w:pPr>
                    <w:widowControl/>
                    <w:autoSpaceDE/>
                    <w:autoSpaceDN/>
                    <w:rPr>
                      <w:rFonts w:hint="default" w:ascii="Times New Roman" w:hAnsi="Times New Roman" w:eastAsia="宋体" w:cs="Times New Roman"/>
                      <w:color w:val="auto"/>
                      <w:kern w:val="2"/>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612C1631">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PM</w:t>
                  </w:r>
                  <w:r>
                    <w:rPr>
                      <w:rFonts w:hint="default" w:ascii="Times New Roman" w:hAnsi="Times New Roman" w:eastAsia="宋体" w:cs="Times New Roman"/>
                      <w:color w:val="auto"/>
                      <w:kern w:val="2"/>
                      <w:sz w:val="21"/>
                      <w:szCs w:val="21"/>
                      <w:highlight w:val="none"/>
                      <w:vertAlign w:val="subscript"/>
                    </w:rPr>
                    <w:t>2.5</w:t>
                  </w:r>
                </w:p>
              </w:tc>
              <w:tc>
                <w:tcPr>
                  <w:tcW w:w="1984" w:type="dxa"/>
                  <w:tcBorders>
                    <w:top w:val="single" w:color="auto" w:sz="4" w:space="0"/>
                    <w:left w:val="single" w:color="auto" w:sz="4" w:space="0"/>
                    <w:bottom w:val="single" w:color="auto" w:sz="4" w:space="0"/>
                    <w:right w:val="single" w:color="auto" w:sz="4" w:space="0"/>
                  </w:tcBorders>
                  <w:vAlign w:val="center"/>
                </w:tcPr>
                <w:p w14:paraId="735C369B">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年平均</w:t>
                  </w:r>
                </w:p>
                <w:p w14:paraId="33A7CC39">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24小时平均</w:t>
                  </w:r>
                </w:p>
              </w:tc>
              <w:tc>
                <w:tcPr>
                  <w:tcW w:w="1985" w:type="dxa"/>
                  <w:tcBorders>
                    <w:top w:val="single" w:color="auto" w:sz="4" w:space="0"/>
                    <w:left w:val="single" w:color="auto" w:sz="4" w:space="0"/>
                    <w:bottom w:val="single" w:color="auto" w:sz="4" w:space="0"/>
                    <w:right w:val="single" w:color="auto" w:sz="4" w:space="0"/>
                  </w:tcBorders>
                  <w:vAlign w:val="center"/>
                </w:tcPr>
                <w:p w14:paraId="4752808C">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35μg/m</w:t>
                  </w:r>
                  <w:r>
                    <w:rPr>
                      <w:rFonts w:hint="default" w:ascii="Times New Roman" w:hAnsi="Times New Roman" w:eastAsia="宋体" w:cs="Times New Roman"/>
                      <w:color w:val="auto"/>
                      <w:kern w:val="2"/>
                      <w:sz w:val="21"/>
                      <w:szCs w:val="21"/>
                      <w:highlight w:val="none"/>
                      <w:vertAlign w:val="superscript"/>
                    </w:rPr>
                    <w:t>3</w:t>
                  </w:r>
                </w:p>
                <w:p w14:paraId="431A4C88">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75μg/m</w:t>
                  </w:r>
                  <w:r>
                    <w:rPr>
                      <w:rFonts w:hint="default" w:ascii="Times New Roman" w:hAnsi="Times New Roman" w:eastAsia="宋体" w:cs="Times New Roman"/>
                      <w:color w:val="auto"/>
                      <w:kern w:val="2"/>
                      <w:sz w:val="21"/>
                      <w:szCs w:val="21"/>
                      <w:highlight w:val="none"/>
                      <w:vertAlign w:val="superscript"/>
                    </w:rPr>
                    <w:t>3</w:t>
                  </w:r>
                </w:p>
              </w:tc>
              <w:tc>
                <w:tcPr>
                  <w:tcW w:w="1876" w:type="dxa"/>
                  <w:vMerge w:val="continue"/>
                  <w:tcBorders>
                    <w:top w:val="nil"/>
                    <w:left w:val="single" w:color="auto" w:sz="4" w:space="0"/>
                    <w:bottom w:val="single" w:color="auto" w:sz="4" w:space="0"/>
                    <w:right w:val="single" w:color="auto" w:sz="4" w:space="0"/>
                  </w:tcBorders>
                  <w:vAlign w:val="center"/>
                </w:tcPr>
                <w:p w14:paraId="62F6D6CB">
                  <w:pPr>
                    <w:widowControl/>
                    <w:autoSpaceDE/>
                    <w:autoSpaceDN/>
                    <w:rPr>
                      <w:rFonts w:hint="default" w:ascii="Times New Roman" w:hAnsi="Times New Roman" w:eastAsia="宋体" w:cs="Times New Roman"/>
                      <w:color w:val="auto"/>
                      <w:kern w:val="2"/>
                      <w:sz w:val="21"/>
                      <w:szCs w:val="21"/>
                      <w:highlight w:val="none"/>
                    </w:rPr>
                  </w:pPr>
                </w:p>
              </w:tc>
            </w:tr>
            <w:tr w14:paraId="6F410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203" w:type="dxa"/>
                  <w:vMerge w:val="continue"/>
                  <w:tcBorders>
                    <w:top w:val="nil"/>
                    <w:left w:val="single" w:color="auto" w:sz="4" w:space="0"/>
                    <w:bottom w:val="single" w:color="auto" w:sz="4" w:space="0"/>
                    <w:right w:val="single" w:color="auto" w:sz="4" w:space="0"/>
                  </w:tcBorders>
                  <w:vAlign w:val="center"/>
                </w:tcPr>
                <w:p w14:paraId="03E79500">
                  <w:pPr>
                    <w:widowControl/>
                    <w:autoSpaceDE/>
                    <w:autoSpaceDN/>
                    <w:rPr>
                      <w:rFonts w:hint="default" w:ascii="Times New Roman" w:hAnsi="Times New Roman" w:eastAsia="宋体" w:cs="Times New Roman"/>
                      <w:color w:val="auto"/>
                      <w:kern w:val="2"/>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664BC69D">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CO</w:t>
                  </w:r>
                </w:p>
              </w:tc>
              <w:tc>
                <w:tcPr>
                  <w:tcW w:w="1984" w:type="dxa"/>
                  <w:tcBorders>
                    <w:top w:val="single" w:color="auto" w:sz="4" w:space="0"/>
                    <w:left w:val="single" w:color="auto" w:sz="4" w:space="0"/>
                    <w:bottom w:val="single" w:color="auto" w:sz="4" w:space="0"/>
                    <w:right w:val="single" w:color="auto" w:sz="4" w:space="0"/>
                  </w:tcBorders>
                  <w:vAlign w:val="center"/>
                </w:tcPr>
                <w:p w14:paraId="040F55EC">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24小时平均</w:t>
                  </w:r>
                </w:p>
                <w:p w14:paraId="5B5FECE4">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1小时平均</w:t>
                  </w:r>
                </w:p>
              </w:tc>
              <w:tc>
                <w:tcPr>
                  <w:tcW w:w="1985" w:type="dxa"/>
                  <w:tcBorders>
                    <w:top w:val="single" w:color="auto" w:sz="4" w:space="0"/>
                    <w:left w:val="single" w:color="auto" w:sz="4" w:space="0"/>
                    <w:bottom w:val="single" w:color="auto" w:sz="4" w:space="0"/>
                    <w:right w:val="single" w:color="auto" w:sz="4" w:space="0"/>
                  </w:tcBorders>
                  <w:vAlign w:val="center"/>
                </w:tcPr>
                <w:p w14:paraId="0A0FBC7A">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4mg/m</w:t>
                  </w:r>
                  <w:r>
                    <w:rPr>
                      <w:rFonts w:hint="default" w:ascii="Times New Roman" w:hAnsi="Times New Roman" w:eastAsia="宋体" w:cs="Times New Roman"/>
                      <w:color w:val="auto"/>
                      <w:kern w:val="2"/>
                      <w:sz w:val="21"/>
                      <w:szCs w:val="21"/>
                      <w:highlight w:val="none"/>
                      <w:vertAlign w:val="superscript"/>
                    </w:rPr>
                    <w:t>3</w:t>
                  </w:r>
                </w:p>
                <w:p w14:paraId="18BE390A">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10mg/m</w:t>
                  </w:r>
                  <w:r>
                    <w:rPr>
                      <w:rFonts w:hint="default" w:ascii="Times New Roman" w:hAnsi="Times New Roman" w:eastAsia="宋体" w:cs="Times New Roman"/>
                      <w:color w:val="auto"/>
                      <w:kern w:val="2"/>
                      <w:sz w:val="21"/>
                      <w:szCs w:val="21"/>
                      <w:highlight w:val="none"/>
                      <w:vertAlign w:val="superscript"/>
                    </w:rPr>
                    <w:t>3</w:t>
                  </w:r>
                </w:p>
              </w:tc>
              <w:tc>
                <w:tcPr>
                  <w:tcW w:w="1876" w:type="dxa"/>
                  <w:vMerge w:val="continue"/>
                  <w:tcBorders>
                    <w:top w:val="nil"/>
                    <w:left w:val="single" w:color="auto" w:sz="4" w:space="0"/>
                    <w:bottom w:val="single" w:color="auto" w:sz="4" w:space="0"/>
                    <w:right w:val="single" w:color="auto" w:sz="4" w:space="0"/>
                  </w:tcBorders>
                  <w:vAlign w:val="center"/>
                </w:tcPr>
                <w:p w14:paraId="549EE842">
                  <w:pPr>
                    <w:widowControl/>
                    <w:autoSpaceDE/>
                    <w:autoSpaceDN/>
                    <w:rPr>
                      <w:rFonts w:hint="default" w:ascii="Times New Roman" w:hAnsi="Times New Roman" w:eastAsia="宋体" w:cs="Times New Roman"/>
                      <w:color w:val="auto"/>
                      <w:kern w:val="2"/>
                      <w:sz w:val="21"/>
                      <w:szCs w:val="21"/>
                      <w:highlight w:val="none"/>
                    </w:rPr>
                  </w:pPr>
                </w:p>
              </w:tc>
            </w:tr>
            <w:tr w14:paraId="66898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203" w:type="dxa"/>
                  <w:vMerge w:val="continue"/>
                  <w:tcBorders>
                    <w:top w:val="nil"/>
                    <w:left w:val="single" w:color="auto" w:sz="4" w:space="0"/>
                    <w:bottom w:val="single" w:color="auto" w:sz="4" w:space="0"/>
                    <w:right w:val="single" w:color="auto" w:sz="4" w:space="0"/>
                  </w:tcBorders>
                  <w:vAlign w:val="center"/>
                </w:tcPr>
                <w:p w14:paraId="2D664AA4">
                  <w:pPr>
                    <w:widowControl/>
                    <w:autoSpaceDE/>
                    <w:autoSpaceDN/>
                    <w:rPr>
                      <w:rFonts w:hint="default" w:ascii="Times New Roman" w:hAnsi="Times New Roman" w:eastAsia="宋体" w:cs="Times New Roman"/>
                      <w:color w:val="auto"/>
                      <w:kern w:val="2"/>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484A44A1">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O</w:t>
                  </w:r>
                  <w:r>
                    <w:rPr>
                      <w:rFonts w:hint="default" w:ascii="Times New Roman" w:hAnsi="Times New Roman" w:eastAsia="宋体" w:cs="Times New Roman"/>
                      <w:color w:val="auto"/>
                      <w:kern w:val="2"/>
                      <w:sz w:val="21"/>
                      <w:szCs w:val="21"/>
                      <w:highlight w:val="none"/>
                      <w:vertAlign w:val="subscript"/>
                    </w:rPr>
                    <w:t>3</w:t>
                  </w:r>
                </w:p>
              </w:tc>
              <w:tc>
                <w:tcPr>
                  <w:tcW w:w="1984" w:type="dxa"/>
                  <w:tcBorders>
                    <w:top w:val="single" w:color="auto" w:sz="4" w:space="0"/>
                    <w:left w:val="single" w:color="auto" w:sz="4" w:space="0"/>
                    <w:bottom w:val="single" w:color="auto" w:sz="4" w:space="0"/>
                    <w:right w:val="single" w:color="auto" w:sz="4" w:space="0"/>
                  </w:tcBorders>
                  <w:vAlign w:val="center"/>
                </w:tcPr>
                <w:p w14:paraId="6437A02A">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日最大8小时平均</w:t>
                  </w:r>
                </w:p>
                <w:p w14:paraId="450856A1">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1小时平均</w:t>
                  </w:r>
                </w:p>
              </w:tc>
              <w:tc>
                <w:tcPr>
                  <w:tcW w:w="1985" w:type="dxa"/>
                  <w:tcBorders>
                    <w:top w:val="single" w:color="auto" w:sz="4" w:space="0"/>
                    <w:left w:val="single" w:color="auto" w:sz="4" w:space="0"/>
                    <w:bottom w:val="single" w:color="auto" w:sz="4" w:space="0"/>
                    <w:right w:val="single" w:color="auto" w:sz="4" w:space="0"/>
                  </w:tcBorders>
                  <w:vAlign w:val="center"/>
                </w:tcPr>
                <w:p w14:paraId="6BF0437D">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160μg/m</w:t>
                  </w:r>
                  <w:r>
                    <w:rPr>
                      <w:rFonts w:hint="default" w:ascii="Times New Roman" w:hAnsi="Times New Roman" w:eastAsia="宋体" w:cs="Times New Roman"/>
                      <w:color w:val="auto"/>
                      <w:kern w:val="2"/>
                      <w:sz w:val="21"/>
                      <w:szCs w:val="21"/>
                      <w:highlight w:val="none"/>
                      <w:vertAlign w:val="superscript"/>
                    </w:rPr>
                    <w:t>3</w:t>
                  </w:r>
                </w:p>
                <w:p w14:paraId="7B5A0CEA">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200μg/m</w:t>
                  </w:r>
                  <w:r>
                    <w:rPr>
                      <w:rFonts w:hint="default" w:ascii="Times New Roman" w:hAnsi="Times New Roman" w:eastAsia="宋体" w:cs="Times New Roman"/>
                      <w:color w:val="auto"/>
                      <w:kern w:val="2"/>
                      <w:sz w:val="21"/>
                      <w:szCs w:val="21"/>
                      <w:highlight w:val="none"/>
                      <w:vertAlign w:val="superscript"/>
                    </w:rPr>
                    <w:t>3</w:t>
                  </w:r>
                </w:p>
              </w:tc>
              <w:tc>
                <w:tcPr>
                  <w:tcW w:w="1876" w:type="dxa"/>
                  <w:vMerge w:val="continue"/>
                  <w:tcBorders>
                    <w:top w:val="nil"/>
                    <w:left w:val="single" w:color="auto" w:sz="4" w:space="0"/>
                    <w:bottom w:val="single" w:color="auto" w:sz="4" w:space="0"/>
                    <w:right w:val="single" w:color="auto" w:sz="4" w:space="0"/>
                  </w:tcBorders>
                  <w:vAlign w:val="center"/>
                </w:tcPr>
                <w:p w14:paraId="48AE6C9C">
                  <w:pPr>
                    <w:widowControl/>
                    <w:autoSpaceDE/>
                    <w:autoSpaceDN/>
                    <w:rPr>
                      <w:rFonts w:hint="default" w:ascii="Times New Roman" w:hAnsi="Times New Roman" w:eastAsia="宋体" w:cs="Times New Roman"/>
                      <w:color w:val="auto"/>
                      <w:kern w:val="2"/>
                      <w:sz w:val="21"/>
                      <w:szCs w:val="21"/>
                      <w:highlight w:val="none"/>
                    </w:rPr>
                  </w:pPr>
                </w:p>
              </w:tc>
            </w:tr>
          </w:tbl>
          <w:p w14:paraId="4482BB05">
            <w:pPr>
              <w:autoSpaceDE/>
              <w:autoSpaceDN/>
              <w:adjustRightInd w:val="0"/>
              <w:snapToGrid w:val="0"/>
              <w:spacing w:line="440" w:lineRule="exact"/>
              <w:ind w:firstLine="480" w:firstLineChars="200"/>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（2）声环境质量标准</w:t>
            </w:r>
          </w:p>
          <w:p w14:paraId="664D75EC">
            <w:pPr>
              <w:autoSpaceDE/>
              <w:autoSpaceDN/>
              <w:adjustRightInd w:val="0"/>
              <w:snapToGrid w:val="0"/>
              <w:spacing w:line="440" w:lineRule="exact"/>
              <w:ind w:firstLine="480" w:firstLineChars="200"/>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项目位于农村区域和自然保护</w:t>
            </w:r>
            <w:r>
              <w:rPr>
                <w:rFonts w:hint="eastAsia" w:ascii="Times New Roman" w:hAnsi="Times New Roman" w:eastAsia="宋体" w:cs="Times New Roman"/>
                <w:color w:val="auto"/>
                <w:kern w:val="2"/>
                <w:sz w:val="24"/>
                <w:szCs w:val="24"/>
                <w:highlight w:val="none"/>
                <w:lang w:val="en-US" w:eastAsia="zh-CN"/>
              </w:rPr>
              <w:t>区</w:t>
            </w:r>
            <w:r>
              <w:rPr>
                <w:rFonts w:hint="default" w:ascii="Times New Roman" w:hAnsi="Times New Roman" w:eastAsia="宋体" w:cs="Times New Roman"/>
                <w:color w:val="auto"/>
                <w:kern w:val="2"/>
                <w:sz w:val="24"/>
                <w:szCs w:val="24"/>
                <w:highlight w:val="none"/>
              </w:rPr>
              <w:t>内，周边无工业园区、生产企业和等级公路，项目沿线声环境执行《声环境质量标准》（GB3096-2008）1类标准。</w:t>
            </w:r>
          </w:p>
          <w:p w14:paraId="732D781D">
            <w:pPr>
              <w:autoSpaceDE/>
              <w:autoSpaceDN/>
              <w:adjustRightInd w:val="0"/>
              <w:snapToGrid w:val="0"/>
              <w:spacing w:line="440" w:lineRule="exact"/>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表3-11  声环境质量标准    单位（dB（A））</w:t>
            </w:r>
          </w:p>
          <w:tbl>
            <w:tblPr>
              <w:tblStyle w:val="32"/>
              <w:tblW w:w="81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9"/>
              <w:gridCol w:w="1283"/>
              <w:gridCol w:w="782"/>
              <w:gridCol w:w="735"/>
              <w:gridCol w:w="4354"/>
            </w:tblGrid>
            <w:tr w14:paraId="4D0CB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atLeast"/>
                <w:jc w:val="center"/>
              </w:trPr>
              <w:tc>
                <w:tcPr>
                  <w:tcW w:w="1009" w:type="dxa"/>
                  <w:tcBorders>
                    <w:top w:val="single" w:color="auto" w:sz="4" w:space="0"/>
                    <w:left w:val="single" w:color="auto" w:sz="4" w:space="0"/>
                    <w:bottom w:val="single" w:color="auto" w:sz="4" w:space="0"/>
                    <w:right w:val="single" w:color="auto" w:sz="4" w:space="0"/>
                  </w:tcBorders>
                  <w:vAlign w:val="center"/>
                </w:tcPr>
                <w:p w14:paraId="3265D431">
                  <w:pPr>
                    <w:autoSpaceDE/>
                    <w:autoSpaceDN/>
                    <w:adjustRightInd w:val="0"/>
                    <w:snapToGrid w:val="0"/>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position w:val="-1"/>
                      <w:sz w:val="21"/>
                      <w:szCs w:val="21"/>
                      <w:highlight w:val="none"/>
                    </w:rPr>
                    <w:t>项目</w:t>
                  </w:r>
                </w:p>
              </w:tc>
              <w:tc>
                <w:tcPr>
                  <w:tcW w:w="1283" w:type="dxa"/>
                  <w:tcBorders>
                    <w:top w:val="single" w:color="auto" w:sz="4" w:space="0"/>
                    <w:left w:val="single" w:color="auto" w:sz="4" w:space="0"/>
                    <w:bottom w:val="single" w:color="auto" w:sz="4" w:space="0"/>
                    <w:right w:val="single" w:color="auto" w:sz="4" w:space="0"/>
                  </w:tcBorders>
                  <w:vAlign w:val="center"/>
                </w:tcPr>
                <w:p w14:paraId="078A25C2">
                  <w:pPr>
                    <w:autoSpaceDE/>
                    <w:autoSpaceDN/>
                    <w:adjustRightInd w:val="0"/>
                    <w:snapToGrid w:val="0"/>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污染物名称</w:t>
                  </w:r>
                </w:p>
              </w:tc>
              <w:tc>
                <w:tcPr>
                  <w:tcW w:w="782" w:type="dxa"/>
                  <w:tcBorders>
                    <w:top w:val="single" w:color="auto" w:sz="4" w:space="0"/>
                    <w:left w:val="single" w:color="auto" w:sz="4" w:space="0"/>
                    <w:bottom w:val="single" w:color="auto" w:sz="4" w:space="0"/>
                    <w:right w:val="single" w:color="auto" w:sz="4" w:space="0"/>
                  </w:tcBorders>
                  <w:vAlign w:val="center"/>
                </w:tcPr>
                <w:p w14:paraId="59D741AA">
                  <w:pPr>
                    <w:autoSpaceDE/>
                    <w:autoSpaceDN/>
                    <w:adjustRightInd w:val="0"/>
                    <w:snapToGrid w:val="0"/>
                    <w:spacing w:line="320" w:lineRule="exact"/>
                    <w:jc w:val="center"/>
                    <w:rPr>
                      <w:rFonts w:hint="default" w:ascii="Times New Roman" w:hAnsi="Times New Roman" w:eastAsia="宋体" w:cs="Times New Roman"/>
                      <w:color w:val="auto"/>
                      <w:kern w:val="2"/>
                      <w:position w:val="-1"/>
                      <w:sz w:val="21"/>
                      <w:szCs w:val="21"/>
                      <w:highlight w:val="none"/>
                    </w:rPr>
                  </w:pPr>
                  <w:r>
                    <w:rPr>
                      <w:rFonts w:hint="default" w:ascii="Times New Roman" w:hAnsi="Times New Roman" w:eastAsia="宋体" w:cs="Times New Roman"/>
                      <w:color w:val="auto"/>
                      <w:kern w:val="2"/>
                      <w:position w:val="-1"/>
                      <w:sz w:val="21"/>
                      <w:szCs w:val="21"/>
                      <w:highlight w:val="none"/>
                    </w:rPr>
                    <w:t>昼间</w:t>
                  </w:r>
                </w:p>
              </w:tc>
              <w:tc>
                <w:tcPr>
                  <w:tcW w:w="735" w:type="dxa"/>
                  <w:tcBorders>
                    <w:top w:val="single" w:color="auto" w:sz="4" w:space="0"/>
                    <w:left w:val="single" w:color="auto" w:sz="4" w:space="0"/>
                    <w:bottom w:val="single" w:color="auto" w:sz="4" w:space="0"/>
                    <w:right w:val="single" w:color="auto" w:sz="4" w:space="0"/>
                  </w:tcBorders>
                  <w:vAlign w:val="center"/>
                </w:tcPr>
                <w:p w14:paraId="31FF0DD2">
                  <w:pPr>
                    <w:autoSpaceDE/>
                    <w:autoSpaceDN/>
                    <w:adjustRightInd w:val="0"/>
                    <w:snapToGrid w:val="0"/>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position w:val="-1"/>
                      <w:sz w:val="21"/>
                      <w:szCs w:val="21"/>
                      <w:highlight w:val="none"/>
                    </w:rPr>
                    <w:t>夜间</w:t>
                  </w:r>
                </w:p>
              </w:tc>
              <w:tc>
                <w:tcPr>
                  <w:tcW w:w="4354" w:type="dxa"/>
                  <w:tcBorders>
                    <w:top w:val="single" w:color="auto" w:sz="4" w:space="0"/>
                    <w:left w:val="single" w:color="auto" w:sz="4" w:space="0"/>
                    <w:bottom w:val="single" w:color="auto" w:sz="4" w:space="0"/>
                    <w:right w:val="single" w:color="auto" w:sz="4" w:space="0"/>
                  </w:tcBorders>
                  <w:vAlign w:val="center"/>
                </w:tcPr>
                <w:p w14:paraId="20C1FCD2">
                  <w:pPr>
                    <w:autoSpaceDE/>
                    <w:autoSpaceDN/>
                    <w:adjustRightInd w:val="0"/>
                    <w:snapToGrid w:val="0"/>
                    <w:spacing w:line="320" w:lineRule="exact"/>
                    <w:jc w:val="center"/>
                    <w:rPr>
                      <w:rFonts w:hint="default" w:ascii="Times New Roman" w:hAnsi="Times New Roman" w:eastAsia="宋体" w:cs="Times New Roman"/>
                      <w:color w:val="auto"/>
                      <w:kern w:val="2"/>
                      <w:position w:val="-1"/>
                      <w:sz w:val="21"/>
                      <w:szCs w:val="21"/>
                      <w:highlight w:val="none"/>
                    </w:rPr>
                  </w:pPr>
                  <w:r>
                    <w:rPr>
                      <w:rFonts w:hint="default" w:ascii="Times New Roman" w:hAnsi="Times New Roman" w:eastAsia="宋体" w:cs="Times New Roman"/>
                      <w:color w:val="auto"/>
                      <w:kern w:val="2"/>
                      <w:position w:val="-1"/>
                      <w:sz w:val="21"/>
                      <w:szCs w:val="21"/>
                      <w:highlight w:val="none"/>
                    </w:rPr>
                    <w:t>标准来源</w:t>
                  </w:r>
                </w:p>
              </w:tc>
            </w:tr>
            <w:tr w14:paraId="47649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1009" w:type="dxa"/>
                  <w:tcBorders>
                    <w:top w:val="single" w:color="auto" w:sz="4" w:space="0"/>
                    <w:left w:val="single" w:color="auto" w:sz="4" w:space="0"/>
                    <w:right w:val="single" w:color="auto" w:sz="4" w:space="0"/>
                  </w:tcBorders>
                  <w:vAlign w:val="center"/>
                </w:tcPr>
                <w:p w14:paraId="7C7CA5AA">
                  <w:pPr>
                    <w:autoSpaceDE/>
                    <w:autoSpaceDN/>
                    <w:adjustRightInd w:val="0"/>
                    <w:snapToGrid w:val="0"/>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项目区域</w:t>
                  </w:r>
                </w:p>
              </w:tc>
              <w:tc>
                <w:tcPr>
                  <w:tcW w:w="1283" w:type="dxa"/>
                  <w:tcBorders>
                    <w:top w:val="nil"/>
                    <w:left w:val="single" w:color="auto" w:sz="4" w:space="0"/>
                    <w:right w:val="single" w:color="auto" w:sz="4" w:space="0"/>
                  </w:tcBorders>
                  <w:vAlign w:val="center"/>
                </w:tcPr>
                <w:p w14:paraId="54EC6484">
                  <w:pPr>
                    <w:autoSpaceDE/>
                    <w:autoSpaceDN/>
                    <w:adjustRightInd w:val="0"/>
                    <w:snapToGrid w:val="0"/>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等效连续A声级</w:t>
                  </w:r>
                </w:p>
              </w:tc>
              <w:tc>
                <w:tcPr>
                  <w:tcW w:w="782" w:type="dxa"/>
                  <w:tcBorders>
                    <w:top w:val="single" w:color="auto" w:sz="4" w:space="0"/>
                    <w:left w:val="single" w:color="auto" w:sz="4" w:space="0"/>
                    <w:bottom w:val="single" w:color="auto" w:sz="4" w:space="0"/>
                    <w:right w:val="single" w:color="auto" w:sz="4" w:space="0"/>
                  </w:tcBorders>
                  <w:vAlign w:val="center"/>
                </w:tcPr>
                <w:p w14:paraId="0BD8FC3D">
                  <w:pPr>
                    <w:autoSpaceDE/>
                    <w:autoSpaceDN/>
                    <w:adjustRightInd w:val="0"/>
                    <w:snapToGrid w:val="0"/>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55</w:t>
                  </w:r>
                </w:p>
              </w:tc>
              <w:tc>
                <w:tcPr>
                  <w:tcW w:w="735" w:type="dxa"/>
                  <w:tcBorders>
                    <w:top w:val="single" w:color="auto" w:sz="4" w:space="0"/>
                    <w:left w:val="single" w:color="auto" w:sz="4" w:space="0"/>
                    <w:bottom w:val="single" w:color="auto" w:sz="4" w:space="0"/>
                    <w:right w:val="single" w:color="auto" w:sz="4" w:space="0"/>
                  </w:tcBorders>
                  <w:vAlign w:val="center"/>
                </w:tcPr>
                <w:p w14:paraId="1E51734C">
                  <w:pPr>
                    <w:autoSpaceDE/>
                    <w:autoSpaceDN/>
                    <w:adjustRightInd w:val="0"/>
                    <w:snapToGrid w:val="0"/>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45</w:t>
                  </w:r>
                </w:p>
              </w:tc>
              <w:tc>
                <w:tcPr>
                  <w:tcW w:w="4354" w:type="dxa"/>
                  <w:tcBorders>
                    <w:top w:val="single" w:color="auto" w:sz="4" w:space="0"/>
                    <w:left w:val="single" w:color="auto" w:sz="4" w:space="0"/>
                    <w:bottom w:val="single" w:color="auto" w:sz="4" w:space="0"/>
                    <w:right w:val="single" w:color="auto" w:sz="4" w:space="0"/>
                  </w:tcBorders>
                  <w:vAlign w:val="center"/>
                </w:tcPr>
                <w:p w14:paraId="35C0FADC">
                  <w:pPr>
                    <w:autoSpaceDE/>
                    <w:autoSpaceDN/>
                    <w:adjustRightInd w:val="0"/>
                    <w:snapToGrid w:val="0"/>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《声环境质量标准》（GB3096-2008）1类标准</w:t>
                  </w:r>
                </w:p>
              </w:tc>
            </w:tr>
          </w:tbl>
          <w:p w14:paraId="78420029">
            <w:pPr>
              <w:autoSpaceDE/>
              <w:autoSpaceDN/>
              <w:adjustRightInd w:val="0"/>
              <w:snapToGrid w:val="0"/>
              <w:spacing w:line="440" w:lineRule="exact"/>
              <w:ind w:firstLine="480" w:firstLineChars="200"/>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（3）电磁环境质量标准</w:t>
            </w:r>
          </w:p>
          <w:p w14:paraId="170D0FE5">
            <w:pPr>
              <w:spacing w:line="480" w:lineRule="exact"/>
              <w:ind w:firstLine="480" w:firstLineChars="20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Cs/>
                <w:color w:val="auto"/>
                <w:sz w:val="24"/>
                <w:szCs w:val="24"/>
                <w:highlight w:val="none"/>
              </w:rPr>
              <w:t>工频电场强度、工频磁场强度：《电磁环境控制限值》（GB8702-2014）中的4kV/m和100μT的标准限值。</w:t>
            </w:r>
          </w:p>
          <w:p w14:paraId="6B27865A">
            <w:pPr>
              <w:spacing w:line="480" w:lineRule="exact"/>
              <w:ind w:firstLine="482" w:firstLineChars="20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2、污染物排放标准</w:t>
            </w:r>
          </w:p>
          <w:p w14:paraId="665A1371">
            <w:pPr>
              <w:spacing w:line="480" w:lineRule="exact"/>
              <w:ind w:firstLine="480" w:firstLineChars="200"/>
              <w:jc w:val="both"/>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（1）施工期</w:t>
            </w:r>
          </w:p>
          <w:p w14:paraId="28A8D3DB">
            <w:pPr>
              <w:spacing w:line="480" w:lineRule="exact"/>
              <w:ind w:firstLine="480" w:firstLineChars="200"/>
              <w:jc w:val="both"/>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施工期扬尘执行《施工场地扬尘排放标准》（DB13/2934-2019）中</w:t>
            </w:r>
            <w:r>
              <w:rPr>
                <w:rFonts w:hint="default" w:ascii="Times New Roman" w:hAnsi="Times New Roman" w:eastAsia="宋体" w:cs="Times New Roman"/>
                <w:color w:val="auto"/>
                <w:sz w:val="24"/>
                <w:szCs w:val="24"/>
                <w:highlight w:val="none"/>
              </w:rPr>
              <w:t>监测点PM</w:t>
            </w:r>
            <w:r>
              <w:rPr>
                <w:rFonts w:hint="default" w:ascii="Times New Roman" w:hAnsi="Times New Roman" w:eastAsia="宋体" w:cs="Times New Roman"/>
                <w:color w:val="auto"/>
                <w:sz w:val="24"/>
                <w:szCs w:val="24"/>
                <w:highlight w:val="none"/>
                <w:vertAlign w:val="subscript"/>
              </w:rPr>
              <w:t xml:space="preserve">10 </w:t>
            </w:r>
            <w:r>
              <w:rPr>
                <w:rFonts w:hint="default" w:ascii="Times New Roman" w:hAnsi="Times New Roman" w:eastAsia="宋体" w:cs="Times New Roman"/>
                <w:color w:val="auto"/>
                <w:sz w:val="24"/>
                <w:szCs w:val="24"/>
                <w:highlight w:val="none"/>
              </w:rPr>
              <w:t>小时平均浓度实测值与同时段所属县（市、区）PM</w:t>
            </w:r>
            <w:r>
              <w:rPr>
                <w:rFonts w:hint="default" w:ascii="Times New Roman" w:hAnsi="Times New Roman" w:eastAsia="宋体" w:cs="Times New Roman"/>
                <w:color w:val="auto"/>
                <w:sz w:val="24"/>
                <w:szCs w:val="24"/>
                <w:highlight w:val="none"/>
                <w:vertAlign w:val="subscript"/>
              </w:rPr>
              <w:t>10</w:t>
            </w:r>
            <w:r>
              <w:rPr>
                <w:rFonts w:hint="default" w:ascii="Times New Roman" w:hAnsi="Times New Roman" w:eastAsia="宋体" w:cs="Times New Roman"/>
                <w:color w:val="auto"/>
                <w:sz w:val="24"/>
                <w:szCs w:val="24"/>
                <w:highlight w:val="none"/>
              </w:rPr>
              <w:t>小时平均浓度的差值≤80μg/m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bCs/>
                <w:color w:val="auto"/>
                <w:sz w:val="24"/>
                <w:szCs w:val="24"/>
                <w:highlight w:val="none"/>
              </w:rPr>
              <w:t>，同时达标判定依据≤2次/天。</w:t>
            </w:r>
          </w:p>
          <w:p w14:paraId="6FD4516C">
            <w:pPr>
              <w:spacing w:line="480" w:lineRule="exact"/>
              <w:ind w:firstLine="480" w:firstLineChars="200"/>
              <w:jc w:val="both"/>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施工期噪声执行《建筑施工场界环境噪声排放标准》（GB12523-2011）限值要求，</w:t>
            </w:r>
            <w:r>
              <w:rPr>
                <w:rFonts w:hint="default" w:ascii="Times New Roman" w:hAnsi="Times New Roman" w:eastAsia="宋体" w:cs="Times New Roman"/>
                <w:color w:val="auto"/>
                <w:sz w:val="24"/>
                <w:szCs w:val="24"/>
                <w:highlight w:val="none"/>
              </w:rPr>
              <w:t>即昼间≤70dB(A)、夜间≤55dB(A)。</w:t>
            </w:r>
          </w:p>
          <w:p w14:paraId="3F448668">
            <w:pPr>
              <w:spacing w:line="480" w:lineRule="exact"/>
              <w:ind w:firstLine="480" w:firstLineChars="200"/>
              <w:jc w:val="both"/>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（2）运营期</w:t>
            </w:r>
          </w:p>
          <w:p w14:paraId="42E52C75">
            <w:pPr>
              <w:spacing w:line="480" w:lineRule="exact"/>
              <w:ind w:firstLine="480" w:firstLineChars="200"/>
              <w:jc w:val="both"/>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工频电场强度、工频磁场强度：《电磁环境控制限值》（GB8702-2014）中的4kV/m和100μT的标准限值</w:t>
            </w:r>
            <w:r>
              <w:rPr>
                <w:rFonts w:hint="eastAsia" w:ascii="Times New Roman" w:hAnsi="Times New Roman" w:eastAsia="宋体" w:cs="Times New Roman"/>
                <w:bCs/>
                <w:color w:val="auto"/>
                <w:sz w:val="24"/>
                <w:szCs w:val="24"/>
                <w:highlight w:val="none"/>
                <w:lang w:eastAsia="zh-CN"/>
              </w:rPr>
              <w:t>，其中架空输电线路线下的耕地、园地、道路等场所，其频率50Hz的电场强度控制限值为10kV/m</w:t>
            </w:r>
            <w:r>
              <w:rPr>
                <w:rFonts w:hint="default" w:ascii="Times New Roman" w:hAnsi="Times New Roman" w:eastAsia="宋体" w:cs="Times New Roman"/>
                <w:bCs/>
                <w:color w:val="auto"/>
                <w:sz w:val="24"/>
                <w:szCs w:val="24"/>
                <w:highlight w:val="none"/>
              </w:rPr>
              <w:t>。</w:t>
            </w:r>
          </w:p>
          <w:p w14:paraId="6CE754D3">
            <w:pPr>
              <w:autoSpaceDE/>
              <w:autoSpaceDN/>
              <w:adjustRightInd w:val="0"/>
              <w:snapToGrid w:val="0"/>
              <w:spacing w:line="440" w:lineRule="exact"/>
              <w:ind w:firstLine="480" w:firstLineChars="200"/>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项目位于农村区域和自然</w:t>
            </w:r>
            <w:r>
              <w:rPr>
                <w:rFonts w:hint="eastAsia" w:ascii="Times New Roman" w:hAnsi="Times New Roman" w:eastAsia="宋体" w:cs="Times New Roman"/>
                <w:color w:val="auto"/>
                <w:kern w:val="2"/>
                <w:sz w:val="24"/>
                <w:szCs w:val="24"/>
                <w:highlight w:val="none"/>
                <w:lang w:eastAsia="zh-CN"/>
              </w:rPr>
              <w:t>保护区</w:t>
            </w:r>
            <w:r>
              <w:rPr>
                <w:rFonts w:hint="default" w:ascii="Times New Roman" w:hAnsi="Times New Roman" w:eastAsia="宋体" w:cs="Times New Roman"/>
                <w:color w:val="auto"/>
                <w:kern w:val="2"/>
                <w:sz w:val="24"/>
                <w:szCs w:val="24"/>
                <w:highlight w:val="none"/>
              </w:rPr>
              <w:t>，项目沿线声环境满足《声环境质量标准》（GB3096-2008）1类标准。</w:t>
            </w:r>
          </w:p>
          <w:p w14:paraId="01AE1812">
            <w:pPr>
              <w:spacing w:line="48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表3-12  　污染物排放标准</w:t>
            </w:r>
          </w:p>
          <w:tbl>
            <w:tblPr>
              <w:tblStyle w:val="33"/>
              <w:tblW w:w="81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
              <w:gridCol w:w="1388"/>
              <w:gridCol w:w="1814"/>
              <w:gridCol w:w="1772"/>
              <w:gridCol w:w="2706"/>
            </w:tblGrid>
            <w:tr w14:paraId="2CAA8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dxa"/>
                  <w:gridSpan w:val="2"/>
                  <w:vAlign w:val="center"/>
                </w:tcPr>
                <w:p w14:paraId="0EDE0FEE">
                  <w:pPr>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污染物名称</w:t>
                  </w:r>
                </w:p>
              </w:tc>
              <w:tc>
                <w:tcPr>
                  <w:tcW w:w="3586" w:type="dxa"/>
                  <w:gridSpan w:val="2"/>
                  <w:vAlign w:val="center"/>
                </w:tcPr>
                <w:p w14:paraId="7815E970">
                  <w:pPr>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标准值</w:t>
                  </w:r>
                </w:p>
              </w:tc>
              <w:tc>
                <w:tcPr>
                  <w:tcW w:w="2706" w:type="dxa"/>
                  <w:vAlign w:val="center"/>
                </w:tcPr>
                <w:p w14:paraId="7BA96592">
                  <w:pPr>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标准来源</w:t>
                  </w:r>
                </w:p>
              </w:tc>
            </w:tr>
            <w:tr w14:paraId="68A03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dxa"/>
                  <w:vMerge w:val="restart"/>
                  <w:vAlign w:val="center"/>
                </w:tcPr>
                <w:p w14:paraId="24913F1A">
                  <w:pPr>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施工期</w:t>
                  </w:r>
                </w:p>
              </w:tc>
              <w:tc>
                <w:tcPr>
                  <w:tcW w:w="1388" w:type="dxa"/>
                  <w:vAlign w:val="center"/>
                </w:tcPr>
                <w:p w14:paraId="732E9A6A">
                  <w:pPr>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1814" w:type="dxa"/>
                  <w:vAlign w:val="center"/>
                </w:tcPr>
                <w:p w14:paraId="5DE6C9C5">
                  <w:pPr>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70dB（A）（昼）</w:t>
                  </w:r>
                </w:p>
              </w:tc>
              <w:tc>
                <w:tcPr>
                  <w:tcW w:w="1772" w:type="dxa"/>
                  <w:vAlign w:val="center"/>
                </w:tcPr>
                <w:p w14:paraId="79D76EBE">
                  <w:pPr>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55dB（A）（夜）</w:t>
                  </w:r>
                </w:p>
              </w:tc>
              <w:tc>
                <w:tcPr>
                  <w:tcW w:w="2706" w:type="dxa"/>
                  <w:vAlign w:val="center"/>
                </w:tcPr>
                <w:p w14:paraId="58C0699B">
                  <w:pPr>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建筑施工场界环境噪声排放标准（GB12523-2011）</w:t>
                  </w:r>
                </w:p>
              </w:tc>
            </w:tr>
            <w:tr w14:paraId="230AB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dxa"/>
                  <w:vMerge w:val="continue"/>
                  <w:vAlign w:val="center"/>
                </w:tcPr>
                <w:p w14:paraId="66AEAD9C">
                  <w:pPr>
                    <w:adjustRightInd w:val="0"/>
                    <w:jc w:val="center"/>
                    <w:rPr>
                      <w:rFonts w:hint="default" w:ascii="Times New Roman" w:hAnsi="Times New Roman" w:eastAsia="宋体" w:cs="Times New Roman"/>
                      <w:color w:val="auto"/>
                      <w:sz w:val="21"/>
                      <w:szCs w:val="21"/>
                      <w:highlight w:val="none"/>
                    </w:rPr>
                  </w:pPr>
                </w:p>
              </w:tc>
              <w:tc>
                <w:tcPr>
                  <w:tcW w:w="1388" w:type="dxa"/>
                  <w:vAlign w:val="center"/>
                </w:tcPr>
                <w:p w14:paraId="56473886">
                  <w:pPr>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扬尘</w:t>
                  </w:r>
                </w:p>
              </w:tc>
              <w:tc>
                <w:tcPr>
                  <w:tcW w:w="3586" w:type="dxa"/>
                  <w:gridSpan w:val="2"/>
                  <w:vAlign w:val="center"/>
                </w:tcPr>
                <w:p w14:paraId="05505A61">
                  <w:pPr>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监测点PM</w:t>
                  </w:r>
                  <w:r>
                    <w:rPr>
                      <w:rFonts w:hint="default" w:ascii="Times New Roman" w:hAnsi="Times New Roman" w:eastAsia="宋体" w:cs="Times New Roman"/>
                      <w:color w:val="auto"/>
                      <w:sz w:val="21"/>
                      <w:szCs w:val="21"/>
                      <w:highlight w:val="none"/>
                      <w:vertAlign w:val="subscript"/>
                    </w:rPr>
                    <w:t xml:space="preserve">10 </w:t>
                  </w:r>
                  <w:r>
                    <w:rPr>
                      <w:rFonts w:hint="default" w:ascii="Times New Roman" w:hAnsi="Times New Roman" w:eastAsia="宋体" w:cs="Times New Roman"/>
                      <w:color w:val="auto"/>
                      <w:sz w:val="21"/>
                      <w:szCs w:val="21"/>
                      <w:highlight w:val="none"/>
                    </w:rPr>
                    <w:t>小时平均浓度实测值与同时段所属县（市、区）PM</w:t>
                  </w:r>
                  <w:r>
                    <w:rPr>
                      <w:rFonts w:hint="default" w:ascii="Times New Roman" w:hAnsi="Times New Roman" w:eastAsia="宋体" w:cs="Times New Roman"/>
                      <w:color w:val="auto"/>
                      <w:sz w:val="21"/>
                      <w:szCs w:val="21"/>
                      <w:highlight w:val="none"/>
                      <w:vertAlign w:val="subscript"/>
                    </w:rPr>
                    <w:t>10</w:t>
                  </w:r>
                  <w:r>
                    <w:rPr>
                      <w:rFonts w:hint="default" w:ascii="Times New Roman" w:hAnsi="Times New Roman" w:eastAsia="宋体" w:cs="Times New Roman"/>
                      <w:color w:val="auto"/>
                      <w:sz w:val="21"/>
                      <w:szCs w:val="21"/>
                      <w:highlight w:val="none"/>
                    </w:rPr>
                    <w:t>小时平均浓度的差值≤80μg/m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，同时达标判定依据≤2 次/天。</w:t>
                  </w:r>
                </w:p>
              </w:tc>
              <w:tc>
                <w:tcPr>
                  <w:tcW w:w="2706" w:type="dxa"/>
                  <w:vAlign w:val="center"/>
                </w:tcPr>
                <w:p w14:paraId="76A7EBB7">
                  <w:pPr>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《施工场地扬尘排放标准》（DB13/2934-2019）</w:t>
                  </w:r>
                </w:p>
              </w:tc>
            </w:tr>
            <w:tr w14:paraId="3BD18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dxa"/>
                  <w:vMerge w:val="restart"/>
                  <w:vAlign w:val="center"/>
                </w:tcPr>
                <w:p w14:paraId="6D748A14">
                  <w:pPr>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运营期</w:t>
                  </w:r>
                </w:p>
              </w:tc>
              <w:tc>
                <w:tcPr>
                  <w:tcW w:w="1388" w:type="dxa"/>
                  <w:vAlign w:val="center"/>
                </w:tcPr>
                <w:p w14:paraId="2AE214CF">
                  <w:pPr>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电场强度</w:t>
                  </w:r>
                </w:p>
              </w:tc>
              <w:tc>
                <w:tcPr>
                  <w:tcW w:w="3586" w:type="dxa"/>
                  <w:gridSpan w:val="2"/>
                  <w:vAlign w:val="center"/>
                </w:tcPr>
                <w:p w14:paraId="3E450046">
                  <w:pPr>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4kV/m，其中架空输电线路线下的耕地、园地、道路等场所，其频率50Hz的电场强度控制限值为10kV/m</w:t>
                  </w:r>
                </w:p>
              </w:tc>
              <w:tc>
                <w:tcPr>
                  <w:tcW w:w="2706" w:type="dxa"/>
                  <w:vMerge w:val="restart"/>
                  <w:vAlign w:val="center"/>
                </w:tcPr>
                <w:p w14:paraId="7828444F">
                  <w:pPr>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《电磁环境控制限值》（GB8702-2014）</w:t>
                  </w:r>
                </w:p>
              </w:tc>
            </w:tr>
            <w:tr w14:paraId="64A38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dxa"/>
                  <w:vMerge w:val="continue"/>
                  <w:vAlign w:val="center"/>
                </w:tcPr>
                <w:p w14:paraId="6FD35CC9">
                  <w:pPr>
                    <w:adjustRightInd w:val="0"/>
                    <w:jc w:val="center"/>
                    <w:rPr>
                      <w:rFonts w:hint="default" w:ascii="Times New Roman" w:hAnsi="Times New Roman" w:eastAsia="宋体" w:cs="Times New Roman"/>
                      <w:color w:val="auto"/>
                      <w:sz w:val="21"/>
                      <w:szCs w:val="21"/>
                      <w:highlight w:val="none"/>
                    </w:rPr>
                  </w:pPr>
                </w:p>
              </w:tc>
              <w:tc>
                <w:tcPr>
                  <w:tcW w:w="1388" w:type="dxa"/>
                  <w:vAlign w:val="center"/>
                </w:tcPr>
                <w:p w14:paraId="1A9B7485">
                  <w:pPr>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磁场强度</w:t>
                  </w:r>
                </w:p>
              </w:tc>
              <w:tc>
                <w:tcPr>
                  <w:tcW w:w="3586" w:type="dxa"/>
                  <w:gridSpan w:val="2"/>
                  <w:vAlign w:val="center"/>
                </w:tcPr>
                <w:p w14:paraId="58D1E290">
                  <w:pPr>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100μT</w:t>
                  </w:r>
                </w:p>
              </w:tc>
              <w:tc>
                <w:tcPr>
                  <w:tcW w:w="2706" w:type="dxa"/>
                  <w:vMerge w:val="continue"/>
                  <w:vAlign w:val="center"/>
                </w:tcPr>
                <w:p w14:paraId="06ED9CC3">
                  <w:pPr>
                    <w:adjustRightInd w:val="0"/>
                    <w:jc w:val="center"/>
                    <w:rPr>
                      <w:rFonts w:hint="default" w:ascii="Times New Roman" w:hAnsi="Times New Roman" w:eastAsia="宋体" w:cs="Times New Roman"/>
                      <w:color w:val="auto"/>
                      <w:sz w:val="21"/>
                      <w:szCs w:val="21"/>
                      <w:highlight w:val="none"/>
                    </w:rPr>
                  </w:pPr>
                </w:p>
              </w:tc>
            </w:tr>
            <w:tr w14:paraId="30137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dxa"/>
                  <w:vMerge w:val="continue"/>
                  <w:vAlign w:val="center"/>
                </w:tcPr>
                <w:p w14:paraId="7195FE6D">
                  <w:pPr>
                    <w:adjustRightInd w:val="0"/>
                    <w:jc w:val="center"/>
                    <w:rPr>
                      <w:rFonts w:hint="default" w:ascii="Times New Roman" w:hAnsi="Times New Roman" w:eastAsia="宋体" w:cs="Times New Roman"/>
                      <w:color w:val="auto"/>
                      <w:sz w:val="21"/>
                      <w:szCs w:val="21"/>
                      <w:highlight w:val="none"/>
                    </w:rPr>
                  </w:pPr>
                </w:p>
              </w:tc>
              <w:tc>
                <w:tcPr>
                  <w:tcW w:w="1388" w:type="dxa"/>
                  <w:vAlign w:val="center"/>
                </w:tcPr>
                <w:p w14:paraId="224E8420">
                  <w:pPr>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1814" w:type="dxa"/>
                  <w:vAlign w:val="center"/>
                </w:tcPr>
                <w:p w14:paraId="392F8216">
                  <w:pPr>
                    <w:autoSpaceDE/>
                    <w:autoSpaceDN/>
                    <w:adjustRightInd w:val="0"/>
                    <w:snapToGrid w:val="0"/>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55</w:t>
                  </w:r>
                  <w:r>
                    <w:rPr>
                      <w:rFonts w:hint="default" w:ascii="Times New Roman" w:hAnsi="Times New Roman" w:eastAsia="宋体" w:cs="Times New Roman"/>
                      <w:color w:val="auto"/>
                      <w:sz w:val="21"/>
                      <w:szCs w:val="21"/>
                      <w:highlight w:val="none"/>
                    </w:rPr>
                    <w:t>dB（A）（昼）</w:t>
                  </w:r>
                </w:p>
              </w:tc>
              <w:tc>
                <w:tcPr>
                  <w:tcW w:w="1772" w:type="dxa"/>
                  <w:vAlign w:val="center"/>
                </w:tcPr>
                <w:p w14:paraId="6E9E6440">
                  <w:pPr>
                    <w:autoSpaceDE/>
                    <w:autoSpaceDN/>
                    <w:adjustRightInd w:val="0"/>
                    <w:snapToGrid w:val="0"/>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45</w:t>
                  </w:r>
                  <w:r>
                    <w:rPr>
                      <w:rFonts w:hint="default" w:ascii="Times New Roman" w:hAnsi="Times New Roman" w:eastAsia="宋体" w:cs="Times New Roman"/>
                      <w:color w:val="auto"/>
                      <w:sz w:val="21"/>
                      <w:szCs w:val="21"/>
                      <w:highlight w:val="none"/>
                    </w:rPr>
                    <w:t>dB（A）（夜）</w:t>
                  </w:r>
                </w:p>
              </w:tc>
              <w:tc>
                <w:tcPr>
                  <w:tcW w:w="2706" w:type="dxa"/>
                  <w:vAlign w:val="center"/>
                </w:tcPr>
                <w:p w14:paraId="4D78D86C">
                  <w:pPr>
                    <w:autoSpaceDE/>
                    <w:autoSpaceDN/>
                    <w:adjustRightInd w:val="0"/>
                    <w:snapToGrid w:val="0"/>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《声环境质量标准》（GB3096-2008）1类标准</w:t>
                  </w:r>
                </w:p>
              </w:tc>
            </w:tr>
          </w:tbl>
          <w:p w14:paraId="754BDE97">
            <w:pPr>
              <w:spacing w:line="480" w:lineRule="exact"/>
              <w:rPr>
                <w:rFonts w:hint="default" w:ascii="Times New Roman" w:hAnsi="Times New Roman" w:eastAsia="宋体" w:cs="Times New Roman"/>
                <w:color w:val="auto"/>
                <w:sz w:val="24"/>
                <w:szCs w:val="24"/>
                <w:highlight w:val="none"/>
              </w:rPr>
            </w:pPr>
          </w:p>
        </w:tc>
      </w:tr>
      <w:tr w14:paraId="574D2C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4" w:hRule="atLeast"/>
        </w:trPr>
        <w:tc>
          <w:tcPr>
            <w:tcW w:w="608" w:type="dxa"/>
            <w:tcBorders>
              <w:top w:val="single" w:color="000000" w:sz="4" w:space="0"/>
              <w:right w:val="single" w:color="000000" w:sz="4" w:space="0"/>
            </w:tcBorders>
            <w:vAlign w:val="center"/>
          </w:tcPr>
          <w:p w14:paraId="7EFED4F3">
            <w:pPr>
              <w:pStyle w:val="41"/>
              <w:spacing w:line="480" w:lineRule="exact"/>
              <w:ind w:right="79"/>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其他</w:t>
            </w:r>
          </w:p>
        </w:tc>
        <w:tc>
          <w:tcPr>
            <w:tcW w:w="8522" w:type="dxa"/>
            <w:tcBorders>
              <w:top w:val="single" w:color="000000" w:sz="4" w:space="0"/>
              <w:left w:val="single" w:color="000000" w:sz="4" w:space="0"/>
            </w:tcBorders>
            <w:vAlign w:val="center"/>
          </w:tcPr>
          <w:p w14:paraId="113C747A">
            <w:pPr>
              <w:pStyle w:val="41"/>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本工程为输电线路工程，不涉及废气和废水的排放，因此</w:t>
            </w:r>
            <w:r>
              <w:rPr>
                <w:rFonts w:hint="default" w:ascii="Times New Roman" w:hAnsi="Times New Roman" w:eastAsia="宋体" w:cs="Times New Roman"/>
                <w:bCs/>
                <w:color w:val="auto"/>
                <w:sz w:val="24"/>
                <w:szCs w:val="24"/>
                <w:highlight w:val="none"/>
              </w:rPr>
              <w:t>本项目</w:t>
            </w:r>
            <w:r>
              <w:rPr>
                <w:rFonts w:hint="default" w:ascii="Times New Roman" w:hAnsi="Times New Roman" w:eastAsia="宋体" w:cs="Times New Roman"/>
                <w:color w:val="auto"/>
                <w:sz w:val="24"/>
                <w:szCs w:val="24"/>
                <w:highlight w:val="none"/>
              </w:rPr>
              <w:t>总量控制指标为：SO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：0t/a；NOx：0t/a；COD：0t/a；NH</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-N：0t/a。</w:t>
            </w:r>
          </w:p>
        </w:tc>
      </w:tr>
    </w:tbl>
    <w:p w14:paraId="088DF860">
      <w:pPr>
        <w:jc w:val="right"/>
        <w:rPr>
          <w:rFonts w:hint="default" w:ascii="Times New Roman" w:hAnsi="Times New Roman" w:eastAsia="宋体" w:cs="Times New Roman"/>
          <w:color w:val="auto"/>
          <w:sz w:val="21"/>
          <w:highlight w:val="none"/>
        </w:rPr>
        <w:sectPr>
          <w:footerReference r:id="rId6" w:type="even"/>
          <w:pgSz w:w="11910" w:h="16850"/>
          <w:pgMar w:top="1600" w:right="1320" w:bottom="1000" w:left="1340" w:header="0" w:footer="817" w:gutter="0"/>
          <w:cols w:space="720" w:num="1"/>
        </w:sectPr>
      </w:pPr>
    </w:p>
    <w:p w14:paraId="2C2BF61E">
      <w:pPr>
        <w:pStyle w:val="12"/>
        <w:spacing w:line="550" w:lineRule="exact"/>
        <w:ind w:left="635" w:right="652"/>
        <w:jc w:val="center"/>
        <w:outlineLvl w:val="0"/>
        <w:rPr>
          <w:rFonts w:hint="default" w:ascii="Times New Roman" w:hAnsi="Times New Roman" w:eastAsia="宋体" w:cs="Times New Roman"/>
          <w:color w:val="auto"/>
          <w:highlight w:val="none"/>
        </w:rPr>
      </w:pPr>
      <w:bookmarkStart w:id="10" w:name="_Toc150930989"/>
      <w:r>
        <w:rPr>
          <w:rFonts w:hint="default" w:ascii="Times New Roman" w:hAnsi="Times New Roman" w:eastAsia="宋体" w:cs="Times New Roman"/>
          <w:color w:val="auto"/>
          <w:highlight w:val="none"/>
        </w:rPr>
        <w:t>四、生态环境影响分析</w:t>
      </w:r>
      <w:bookmarkEnd w:id="10"/>
    </w:p>
    <w:tbl>
      <w:tblPr>
        <w:tblStyle w:val="39"/>
        <w:tblW w:w="9498" w:type="dxa"/>
        <w:tblInd w:w="-13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993"/>
        <w:gridCol w:w="8505"/>
      </w:tblGrid>
      <w:tr w14:paraId="06B782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4" w:hRule="atLeast"/>
        </w:trPr>
        <w:tc>
          <w:tcPr>
            <w:tcW w:w="993" w:type="dxa"/>
            <w:tcBorders>
              <w:bottom w:val="single" w:color="000000" w:sz="4" w:space="0"/>
              <w:right w:val="single" w:color="000000" w:sz="4" w:space="0"/>
            </w:tcBorders>
            <w:vAlign w:val="center"/>
          </w:tcPr>
          <w:p w14:paraId="2D8D9BD7">
            <w:pPr>
              <w:pStyle w:val="41"/>
              <w:spacing w:line="480" w:lineRule="exact"/>
              <w:ind w:right="79"/>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施工期生态环境影响分析</w:t>
            </w:r>
          </w:p>
        </w:tc>
        <w:tc>
          <w:tcPr>
            <w:tcW w:w="8505" w:type="dxa"/>
            <w:tcBorders>
              <w:left w:val="single" w:color="000000" w:sz="4" w:space="0"/>
              <w:bottom w:val="single" w:color="000000" w:sz="4" w:space="0"/>
            </w:tcBorders>
            <w:vAlign w:val="center"/>
          </w:tcPr>
          <w:p w14:paraId="2CA050C3">
            <w:pPr>
              <w:spacing w:line="480" w:lineRule="exact"/>
              <w:ind w:firstLine="482"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一、生态影响分析</w:t>
            </w:r>
          </w:p>
          <w:p w14:paraId="1D471186">
            <w:pPr>
              <w:spacing w:line="480" w:lineRule="exact"/>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1、一般线路段</w:t>
            </w:r>
          </w:p>
          <w:p w14:paraId="4A77FC80">
            <w:pPr>
              <w:widowControl/>
              <w:spacing w:line="480" w:lineRule="exact"/>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（1）对占地影响分析</w:t>
            </w:r>
          </w:p>
          <w:p w14:paraId="781E8487">
            <w:pPr>
              <w:widowControl/>
              <w:spacing w:line="480" w:lineRule="exact"/>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本项目塔基占地为永久用地，占地面积较小。施工期工程建设对生态环境的影响主要表现为土地占用、地表植被破坏和施工作业扰动引起的水土流失等方面。本项目在施工过程中严格按规划设计的区域、面积使用，不随便践踏、占用土地；施工道路在现有道路的基础上布置规划，尽量减少对土地的破坏、占用；施工结束后，及时对施工碾压过的土地进行人工恢复，使土壤自然疏松，选择合适的当地植被以减少对区域范围内原有地貌的影响。</w:t>
            </w:r>
          </w:p>
          <w:p w14:paraId="45CF1A91">
            <w:pPr>
              <w:widowControl/>
              <w:spacing w:line="480" w:lineRule="exact"/>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（2）对植被影响分析</w:t>
            </w:r>
          </w:p>
          <w:p w14:paraId="353AF954">
            <w:pPr>
              <w:widowControl/>
              <w:spacing w:line="480" w:lineRule="exact"/>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项目塔基建设占地将使占地区域内植被面积减少、生物量降低；项目施工过程中，施工区还会占用和破坏较大面积植被；但工程影响区域内植物群落结构比较简单且工程区周边分布普遍，大都属于抗逆性较强的广布种、常见种、生长快、扩散能力强，工程完工清理后可以通过人工种植绿化等方式得以恢复，施工区占用人工植被可通过土地平整、土地复垦等方式迅速恢复。项目施工所造成的影响在一定的时期内将逐步得以恢复。</w:t>
            </w:r>
          </w:p>
          <w:p w14:paraId="327BDE63">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snapToGrid w:val="0"/>
                <w:color w:val="auto"/>
                <w:sz w:val="24"/>
                <w:highlight w:val="none"/>
              </w:rPr>
              <w:t>工程区植物主要为</w:t>
            </w:r>
            <w:r>
              <w:rPr>
                <w:rFonts w:hint="default" w:ascii="Times New Roman" w:hAnsi="Times New Roman" w:eastAsia="宋体" w:cs="Times New Roman"/>
                <w:color w:val="auto"/>
                <w:sz w:val="24"/>
                <w:szCs w:val="24"/>
                <w:highlight w:val="none"/>
              </w:rPr>
              <w:t>林地、灌草地和农用地</w:t>
            </w:r>
            <w:r>
              <w:rPr>
                <w:rFonts w:hint="default" w:ascii="Times New Roman" w:hAnsi="Times New Roman" w:eastAsia="宋体" w:cs="Times New Roman"/>
                <w:snapToGrid w:val="0"/>
                <w:color w:val="auto"/>
                <w:sz w:val="24"/>
                <w:highlight w:val="none"/>
              </w:rPr>
              <w:t>，这些植物种类在工程区域分布广泛，工程建设不会对本地区植物物种多样性产生较大影响。</w:t>
            </w:r>
          </w:p>
          <w:p w14:paraId="550F51C2">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（3）对野生动物的影响分析</w:t>
            </w:r>
          </w:p>
          <w:p w14:paraId="47C0587E">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施工期工程范围内主要为鼠、兔、麻雀等常见小型动物。随着工程的开工，施工期施工人员的进入使该地区人为活动增加，会对周围的野生动物的个体、巢、穴等造成直接的破坏；施工期活动中工程材料堆放、机械碾压、人员践踏等工程行为导致选址区域土壤板结等物理性能恶化，地表植被破坏，影响麻雀等鸟类落脚、觅食环境；另外施工中产生的噪声等会影响线路范围和周边地区野生动物的栖息，使其躲避或暂时迁移。但鼠、兔等动物生境并非单一，同时食物来源多样化，且有一定的迁移能力，部分动物可随施工结束后的生境恢复而回到原处，本项目施工不会影响其存活及种群数量。</w:t>
            </w:r>
          </w:p>
          <w:p w14:paraId="390FAB85">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（4）水土流失影响分析</w:t>
            </w:r>
          </w:p>
          <w:p w14:paraId="2933EDAD">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对于本工程而言，水土流失主要集中于建设期。由于塔基建设等过程中，开挖扰动地表，改变原地貌，破坏地表植被，经受降水和风的影响，直接形成地表剥蚀、扬尘飞沙和侵蚀冲沟，并使地层原有结构被破坏，植被退化，加剧了水土流失。到了运营期，则往往达到一定的影响量级，进入相对稳定的时期，水土流失较轻。</w:t>
            </w:r>
          </w:p>
          <w:p w14:paraId="4831CFF4">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（5）对土壤影响分析</w:t>
            </w:r>
          </w:p>
          <w:p w14:paraId="3A038FC5">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期由于机械的碾压及施工人员的踩踏，在施工作业区周围的土壤将被严重压实，部分施工区域的表土将被铲去，另一些区域的表土将可能被填埋，从而使施工完成后的土壤表土层缺乏原有土壤的肥力，不利于植物的生长和植被恢复。施工过程中采用分层堆放和分层覆盖的措施，施工结束后将土层按照原有的分层方式堆放，不会对土壤性质、养分造成明显不利影响。</w:t>
            </w:r>
          </w:p>
          <w:p w14:paraId="35AF4106">
            <w:pPr>
              <w:pStyle w:val="38"/>
              <w:spacing w:line="480" w:lineRule="exact"/>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（6）生态系统变化分析</w:t>
            </w:r>
          </w:p>
          <w:p w14:paraId="1F5E4F76">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在工程影响范围内，受工程影响的植被主要为</w:t>
            </w:r>
            <w:r>
              <w:rPr>
                <w:rFonts w:hint="default" w:ascii="Times New Roman" w:hAnsi="Times New Roman" w:eastAsia="宋体" w:cs="Times New Roman"/>
                <w:color w:val="auto"/>
                <w:sz w:val="24"/>
                <w:szCs w:val="24"/>
                <w:highlight w:val="none"/>
              </w:rPr>
              <w:t>林地、灌草地和农用地</w:t>
            </w:r>
            <w:r>
              <w:rPr>
                <w:rFonts w:hint="default" w:ascii="Times New Roman" w:hAnsi="Times New Roman" w:eastAsia="宋体" w:cs="Times New Roman"/>
                <w:color w:val="auto"/>
                <w:sz w:val="24"/>
                <w:highlight w:val="none"/>
              </w:rPr>
              <w:t>，施工期地表植被的损失将对现有生态系统产生一定的影响，但由于损失的面积相对较小，而后期的植被恢复也将弥补部分损失的生物量，因而，该项目不会影响工程影响区生态系统的稳定性和完整性。项目建设前、建设中、建设后区域内生态系统组成基本没有变化。因此，项目的建设对当地的生态系统结构影响极小，不会冲击当地的生态系统组成，基本保持原有结构。</w:t>
            </w:r>
          </w:p>
          <w:p w14:paraId="001B11E7">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（7）景观影响分析</w:t>
            </w:r>
          </w:p>
          <w:p w14:paraId="298A6897">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期由于基础开挖、土石方临时堆存、施工道路、物料运输造成的扬尘、施工人员生活垃圾等，如果管理不当将会对局部景观造成一定的不良影响。本项目施工期废水不外排，土石方平衡不需设置弃渣场，施工道路全部恢复原有功能，施工过程采取泼洒抑尘的方式抑制扬尘产生，生活垃圾收集后由环卫部门处置。</w:t>
            </w:r>
          </w:p>
          <w:p w14:paraId="3DDB4000">
            <w:pPr>
              <w:pStyle w:val="2"/>
              <w:spacing w:after="0" w:line="480" w:lineRule="exact"/>
              <w:ind w:firstLine="482" w:firstLineChars="200"/>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eastAsia="zh-CN"/>
              </w:rPr>
              <w:t>2、河北滦河上游国家级自然保护区段和生态保护红线段</w:t>
            </w:r>
          </w:p>
          <w:p w14:paraId="1F330B61">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通过调查、分析、计算打分和评价，项目建设对以保护森林生态系统、生物多样性及珍稀濒危动植物物种为主的森林生态类型自然保护区的影响未出现否决项。虽然项目建设不可避免地会对保护区的自然资源、生态系统和动物栖息地产生一定影响，但从数据分析中可以看出，工程的建设对评价区域的景观/生态系统、生物群落、物种/种群、主要保护对象、生物安全和社会因素等生物多样性一级指标的影响较小，且这种干扰和影响总体上是暂时的、可控的，可以通过建设、规划单位对可能出现的问题设计一系列管理和保护措施，以降低或消除其影响，不会对保护区结构、功能及保护价值构成破坏和降低。</w:t>
            </w:r>
          </w:p>
          <w:p w14:paraId="044857BE">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自然保护区建设项目生物多样性影响评价技术规范》（LYT2242-2014）对生物多样性影响程度分级规定，华能围场“风光储氢热一体化”项目（光伏200MW）项目220kV送出线路工程对河北滦河上游国家级自然保护区生物多样性影响指数BI=55.72＜60，影响程度属于中低度影响。</w:t>
            </w:r>
          </w:p>
          <w:p w14:paraId="665ABCC8">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综上，本项目施工在项目用地范围内进行建设活动，不会改变其生态功能，因此，项目施工活动不会对河北滦河上游国家级自然保护区周边生态环境及生态保护红线造成明显不利影响，本项目对河北滦河上游国家级自然保护区的影响详见生态影响专篇。</w:t>
            </w:r>
          </w:p>
          <w:p w14:paraId="42093DAA">
            <w:pPr>
              <w:spacing w:line="480" w:lineRule="exact"/>
              <w:ind w:firstLine="482"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
                <w:bCs/>
                <w:color w:val="auto"/>
                <w:sz w:val="24"/>
                <w:szCs w:val="24"/>
                <w:highlight w:val="none"/>
              </w:rPr>
              <w:t>二、大气环境影响分析</w:t>
            </w:r>
          </w:p>
          <w:p w14:paraId="778F8A02">
            <w:pPr>
              <w:spacing w:line="480" w:lineRule="exact"/>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1、一般线路段</w:t>
            </w:r>
          </w:p>
          <w:p w14:paraId="58AE541A">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阶段，尤其是施工初期，主要有杆塔基础施工、设备安装及转运、道路建设、车辆行驶等施工活动和裸露场地风蚀产生扬尘。因此，本项目施工过程中，必须严格按照《河北省扬尘污染防治办法》《河北省建筑施工扬尘防治标准》《河北省建筑施工扬尘防治强化措施十八条》《关于印发&lt;河北省2023年建筑施工扬尘污染防治工作方案》的通知&gt;（冀建质安函〔2023〕105号）等要求采取洒水、苫盖、围挡等扬尘治理措施，减少扬尘污染，确保施工场地颗粒物浓度满足《施工场地扬尘排放标准》（DB13/2934-2019）中扬尘（PM</w:t>
            </w:r>
            <w:r>
              <w:rPr>
                <w:rFonts w:hint="default" w:ascii="Times New Roman" w:hAnsi="Times New Roman" w:eastAsia="宋体" w:cs="Times New Roman"/>
                <w:color w:val="auto"/>
                <w:sz w:val="24"/>
                <w:szCs w:val="24"/>
                <w:highlight w:val="none"/>
                <w:vertAlign w:val="subscript"/>
              </w:rPr>
              <w:t>10</w:t>
            </w:r>
            <w:r>
              <w:rPr>
                <w:rFonts w:hint="default" w:ascii="Times New Roman" w:hAnsi="Times New Roman" w:eastAsia="宋体" w:cs="Times New Roman"/>
                <w:color w:val="auto"/>
                <w:sz w:val="24"/>
                <w:szCs w:val="24"/>
                <w:highlight w:val="none"/>
              </w:rPr>
              <w:t>）排放浓度限值的要求。由于施工区无居民，采用洒水、围挡等管理措施控制后，对周围环境影响不大。</w:t>
            </w:r>
          </w:p>
          <w:p w14:paraId="32DD6082">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本项目施工期较短，采取措施后可有效抑制扬尘的产生，满足《施工场地扬尘排放标准》（DB13/2934-2019）要求，对周围大气环境产生影响较小。</w:t>
            </w:r>
          </w:p>
          <w:p w14:paraId="71CC26C0">
            <w:pPr>
              <w:pStyle w:val="2"/>
              <w:spacing w:after="0" w:line="480" w:lineRule="exact"/>
              <w:ind w:firstLine="482" w:firstLineChars="200"/>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eastAsia="zh-CN"/>
              </w:rPr>
              <w:t>2、河北滦河上游国家级自然保护区段和生态保护红线段</w:t>
            </w:r>
          </w:p>
          <w:p w14:paraId="3FF7978D">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本项目对大气环境的影响主要体现在施工过程中土方挖掘与填筑、建筑材料装运等施工作业产生的扬尘，为降低项目施工对大气环境的影响，</w:t>
            </w:r>
            <w:r>
              <w:rPr>
                <w:rFonts w:hint="default" w:ascii="Times New Roman" w:hAnsi="Times New Roman" w:eastAsia="宋体" w:cs="Times New Roman"/>
                <w:color w:val="auto"/>
                <w:sz w:val="24"/>
                <w:highlight w:val="none"/>
              </w:rPr>
              <w:t>河北滦河上游国家级自然保护区段和生态保护红线段除采取一般段大气保护措施外，还需采取以下措施</w:t>
            </w:r>
            <w:r>
              <w:rPr>
                <w:rFonts w:hint="default" w:ascii="Times New Roman" w:hAnsi="Times New Roman" w:eastAsia="宋体" w:cs="Times New Roman"/>
                <w:color w:val="auto"/>
                <w:sz w:val="24"/>
                <w:szCs w:val="24"/>
                <w:highlight w:val="none"/>
              </w:rPr>
              <w:t>减轻影响。</w:t>
            </w:r>
          </w:p>
          <w:p w14:paraId="187DC32F">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①施工单位必须在施工现场出入口明显位置设置扬尘防治公示牌，内容包括建设、施工、监理及监管等单位名称、扬尘防治负责人的名称、联系电话、举报电话等。</w:t>
            </w:r>
          </w:p>
          <w:p w14:paraId="2BB59613">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②施工现场必须连续设置硬质围挡，围挡应坚固、美观，严禁围挡不严或敞开式施工。本项目围挡高度应不低于1.8m。</w:t>
            </w:r>
          </w:p>
          <w:p w14:paraId="704B32FD">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③施工现场集中堆放的土方和裸露场地必须采取覆盖、固化或绿化等防尘措施，严禁裸露。</w:t>
            </w:r>
          </w:p>
          <w:p w14:paraId="0FEFF6D2">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④施工现场易飞扬的细颗粒建筑材料必须密闭存放或严密覆盖，严禁露天放置；搬运时应有降尘措施，余料及时回收。</w:t>
            </w:r>
          </w:p>
          <w:p w14:paraId="03DC80C7">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施工现场建立洒水清扫抑尘制度，配备洒水设备。非冰冻期每天洒水不少于2次，并有专人负责。重污染天气时相应增加洒水频次。遇有4级以上大风或重污染天气预警时，必须采取扬尘防治应急措施，严禁土方开挖、土方填埋或其他有可能产生扬尘的作业。</w:t>
            </w:r>
          </w:p>
          <w:p w14:paraId="3D450565">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采取以上措施后，施工扬尘排放能够满足《施工场地扬尘排放标准》（DB13/2934-2019）扬尘排放浓度限值。</w:t>
            </w:r>
          </w:p>
          <w:p w14:paraId="1BECC8E3">
            <w:pPr>
              <w:spacing w:line="480" w:lineRule="exact"/>
              <w:ind w:firstLine="482"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三、水环境影响分析</w:t>
            </w:r>
          </w:p>
          <w:p w14:paraId="65E37418">
            <w:pPr>
              <w:spacing w:line="480" w:lineRule="exact"/>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1、一般线路段</w:t>
            </w:r>
          </w:p>
          <w:p w14:paraId="61E9AF6F">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施工期产生的施工设备清洗和水泥养护排水，水量较小，主要污染物为泥沙，对环境影响较小。施工场地应设简易沉淀池，将施工废水收集沉淀后，用于场地泼洒降尘。建设期间，施工现场施工高峰期人数为50人，产生的生活污水为职工盥洗废水，水量较小，用于场地泼洒抑尘，同时施工营地设置防渗旱厕，定期清掏用作农肥，不外排。</w:t>
            </w:r>
          </w:p>
          <w:p w14:paraId="5CFC12AF">
            <w:pPr>
              <w:spacing w:line="480" w:lineRule="exact"/>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2、河北滦河上游国家级自然保护区段和生态保护红线段</w:t>
            </w:r>
          </w:p>
          <w:p w14:paraId="4D65A9DA">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河北滦河上游国家级自然保护区段和生态保护红线段除采取一般段水环境保护措施外，还需采取以下措施</w:t>
            </w:r>
            <w:r>
              <w:rPr>
                <w:rFonts w:hint="default" w:ascii="Times New Roman" w:hAnsi="Times New Roman" w:eastAsia="宋体" w:cs="Times New Roman"/>
                <w:color w:val="auto"/>
                <w:sz w:val="24"/>
                <w:szCs w:val="24"/>
                <w:highlight w:val="none"/>
              </w:rPr>
              <w:t>减轻影响。</w:t>
            </w:r>
          </w:p>
          <w:p w14:paraId="5031E7B6">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（1）本项目施工过程中在保护区内不设置施工驻地，施工期对水环境的影响主要是施工人员产生的生活污水，应加强对施工人员的管理，施工人员在自然保护区内施工时严禁随意排放生活污水。</w:t>
            </w:r>
          </w:p>
          <w:p w14:paraId="259310F4">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（2）当日施工结束后，施工设备等应随人员转移至位于保护区范围外的施工营地存放。施工单位要做好施工场地周围的拦挡措施，尽量避开雨季土石方开挖作业。</w:t>
            </w:r>
          </w:p>
          <w:p w14:paraId="15FE2055">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综上，本项目施工期间无废水外排，不会对项目区水环境产生明显影响。</w:t>
            </w:r>
          </w:p>
          <w:p w14:paraId="512B1F7D">
            <w:pPr>
              <w:spacing w:line="480" w:lineRule="exact"/>
              <w:ind w:firstLine="482"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四、声环境影响分析</w:t>
            </w:r>
          </w:p>
          <w:p w14:paraId="7E63EA9A">
            <w:pPr>
              <w:spacing w:line="480" w:lineRule="exact"/>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1、一般线路段</w:t>
            </w:r>
          </w:p>
          <w:p w14:paraId="5A2C213C">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噪声主要为施工机械和运输车辆运行过程中产生的噪声，该类噪声虽然是暂时的，但是施工过程中采用的机械设备大部分具有噪声高、无规则等特点，且施工过程中往往是多种机械同时工作，各种噪声源相互叠加，噪声级将更高，影响范围也更大，所以施工过程中必须采取有效措施，减少其对环境的影响。</w:t>
            </w:r>
          </w:p>
          <w:p w14:paraId="6A03EE69">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次评价要求建设单位采取以下措施：（1）采用低噪音、振动小的设备，并注意对设备的维护和保养，合理操作，保证施工机械在最佳状态。（2）合理布置施工现场，尽量避免在施工现场的同一地点安排大量的高噪声设备，造成局部声级过高，利用隔声构件对高噪声设备进行隔声降噪。</w:t>
            </w:r>
          </w:p>
          <w:p w14:paraId="33DE1666">
            <w:pPr>
              <w:spacing w:line="480" w:lineRule="exact"/>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2、河北滦河上游国家级自然保护区段和生态保护红线段</w:t>
            </w:r>
          </w:p>
          <w:p w14:paraId="6A0E223D">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河北滦河上游国家级自然保护区段和生态保护红线段除采取一般段声环境保护措施外，还需采取以下措施</w:t>
            </w:r>
            <w:r>
              <w:rPr>
                <w:rFonts w:hint="default" w:ascii="Times New Roman" w:hAnsi="Times New Roman" w:eastAsia="宋体" w:cs="Times New Roman"/>
                <w:color w:val="auto"/>
                <w:sz w:val="24"/>
                <w:szCs w:val="24"/>
                <w:highlight w:val="none"/>
              </w:rPr>
              <w:t>减轻影响。</w:t>
            </w:r>
          </w:p>
          <w:p w14:paraId="3B448089">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（1）施工单位所使用的主要施工机械应选用低噪声机械设备，并及时维修保养。</w:t>
            </w:r>
          </w:p>
          <w:p w14:paraId="4E03E3B5">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（2）对施工区外部采用</w:t>
            </w:r>
            <w:r>
              <w:rPr>
                <w:rFonts w:hint="eastAsia" w:ascii="Times New Roman" w:hAnsi="Times New Roman" w:eastAsia="宋体" w:cs="Times New Roman"/>
                <w:color w:val="auto"/>
                <w:sz w:val="24"/>
                <w:szCs w:val="24"/>
                <w:highlight w:val="none"/>
                <w:lang w:eastAsia="zh-CN"/>
              </w:rPr>
              <w:t>围挡</w:t>
            </w:r>
            <w:r>
              <w:rPr>
                <w:rFonts w:hint="default" w:ascii="Times New Roman" w:hAnsi="Times New Roman" w:eastAsia="宋体" w:cs="Times New Roman"/>
                <w:color w:val="auto"/>
                <w:sz w:val="24"/>
                <w:szCs w:val="24"/>
                <w:highlight w:val="none"/>
              </w:rPr>
              <w:t>，减轻施工噪声对外环境的影响，开挖作业尽量在短期内完成。</w:t>
            </w:r>
          </w:p>
          <w:p w14:paraId="06436BBA">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（3）保护区内有较多的夜行动物，比如黄鼬、艾鼬、狗獾等，为了最大限度地减少施工噪声对野生动物的影响，夜间（22：00点到6：00点）禁止施工。</w:t>
            </w:r>
          </w:p>
          <w:p w14:paraId="6388714C">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通过采取以上措施后，施工噪声可得到较好地控制。本工程施工期产生的噪声影响是小范围的和暂时的，随着施工期的结束，对环境的影响也将随之消失。</w:t>
            </w:r>
          </w:p>
          <w:p w14:paraId="046F4954">
            <w:pPr>
              <w:spacing w:line="480" w:lineRule="exact"/>
              <w:ind w:firstLine="482"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五、固体废物影响分析</w:t>
            </w:r>
          </w:p>
          <w:p w14:paraId="3C5CD164">
            <w:pPr>
              <w:spacing w:line="480" w:lineRule="exact"/>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1、一般线路段</w:t>
            </w:r>
          </w:p>
          <w:p w14:paraId="4FD9B3CE">
            <w:pPr>
              <w:spacing w:line="480" w:lineRule="exact"/>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本项目土石方开挖和回填总土石方调配平衡，无需借方，无弃方，不需设置取土场、弃渣场，所有弃土全部回填利用。</w:t>
            </w:r>
          </w:p>
          <w:p w14:paraId="6DD3D4CD">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施工期固体废物主要为施工过程中产生的建筑垃圾及施工人员生活垃圾。</w:t>
            </w:r>
            <w:r>
              <w:rPr>
                <w:rFonts w:hint="default" w:ascii="Times New Roman" w:hAnsi="Times New Roman" w:eastAsia="宋体" w:cs="Times New Roman"/>
                <w:snapToGrid w:val="0"/>
                <w:color w:val="auto"/>
                <w:sz w:val="24"/>
                <w:highlight w:val="none"/>
              </w:rPr>
              <w:t>建筑垃圾送市政部门指定的地点堆存；生活垃圾收集后，交由环卫部门统一处理。施工期固废均可得到妥善处置，</w:t>
            </w:r>
            <w:r>
              <w:rPr>
                <w:rFonts w:hint="default" w:ascii="Times New Roman" w:hAnsi="Times New Roman" w:eastAsia="宋体" w:cs="Times New Roman"/>
                <w:color w:val="auto"/>
                <w:sz w:val="24"/>
                <w:highlight w:val="none"/>
              </w:rPr>
              <w:t>不会对周围环境产生明显不良影响。</w:t>
            </w:r>
          </w:p>
          <w:p w14:paraId="7297BD0C">
            <w:pPr>
              <w:spacing w:line="480" w:lineRule="exact"/>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2、河北滦河上游国家级自然保护区段和生态保护红线段</w:t>
            </w:r>
          </w:p>
          <w:p w14:paraId="423C69E0">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河北滦河上游国家级自然保护区段和生态保护红线段除采取一般段环境保护措施外，还需采取以下措施</w:t>
            </w:r>
            <w:r>
              <w:rPr>
                <w:rFonts w:hint="default" w:ascii="Times New Roman" w:hAnsi="Times New Roman" w:eastAsia="宋体" w:cs="Times New Roman"/>
                <w:color w:val="auto"/>
                <w:sz w:val="24"/>
                <w:szCs w:val="24"/>
                <w:highlight w:val="none"/>
              </w:rPr>
              <w:t>减轻影响。</w:t>
            </w:r>
            <w:r>
              <w:rPr>
                <w:rFonts w:hint="default" w:ascii="Times New Roman" w:hAnsi="Times New Roman" w:eastAsia="宋体" w:cs="Times New Roman"/>
                <w:color w:val="auto"/>
                <w:sz w:val="24"/>
                <w:highlight w:val="none"/>
              </w:rPr>
              <w:t>固体废物主要是建筑垃圾和施工人员产生的生活垃圾。</w:t>
            </w:r>
          </w:p>
          <w:p w14:paraId="22B67B3C">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（1）建筑垃圾包括废弃的建筑材料以及场址平整和施工开挖所产生的弃土弃石等。开挖土石应有组织地在占地范围内堆置，以备回填利用，建筑垃圾应收集后带出保护区，尽量减少对周围生态环境的破坏。</w:t>
            </w:r>
          </w:p>
          <w:p w14:paraId="4DA283DD">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（2）废旧导线、废旧塔材、绝缘子等可重复利用材料，由施工单位现场收集交由建设单位回收再利用。对于不可回收利用的建材和建筑垃圾由施工单位运送至指定的垃圾处理厂。</w:t>
            </w:r>
          </w:p>
          <w:p w14:paraId="6EA991AB">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（3）避开雨季施工，防止雨水冲刷。</w:t>
            </w:r>
          </w:p>
          <w:p w14:paraId="7A464BE6">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（4）加强出碴管理，及时清运，必须做到密闭、包扎、覆盖，不得沿途撒漏，做到工序完工后场地清洁。</w:t>
            </w:r>
          </w:p>
          <w:p w14:paraId="75DA9D47">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（5）施工期间产生的生活垃圾集中收集，定期转运至保护区外进行无公害处理。</w:t>
            </w:r>
          </w:p>
          <w:p w14:paraId="5ED0AE31">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（6）施工结束后对施工区域再次进行清理，做到“工完、料尽、场地清”。</w:t>
            </w:r>
          </w:p>
        </w:tc>
      </w:tr>
      <w:tr w14:paraId="62F6F1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4" w:hRule="atLeast"/>
        </w:trPr>
        <w:tc>
          <w:tcPr>
            <w:tcW w:w="993" w:type="dxa"/>
            <w:tcBorders>
              <w:top w:val="single" w:color="000000" w:sz="4" w:space="0"/>
              <w:bottom w:val="single" w:color="000000" w:sz="4" w:space="0"/>
              <w:right w:val="single" w:color="000000" w:sz="4" w:space="0"/>
            </w:tcBorders>
            <w:vAlign w:val="center"/>
          </w:tcPr>
          <w:p w14:paraId="490F2236">
            <w:pPr>
              <w:pStyle w:val="41"/>
              <w:spacing w:line="480" w:lineRule="exact"/>
              <w:ind w:right="79"/>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运营期生态环境影响分析</w:t>
            </w:r>
          </w:p>
        </w:tc>
        <w:tc>
          <w:tcPr>
            <w:tcW w:w="8505" w:type="dxa"/>
            <w:tcBorders>
              <w:top w:val="single" w:color="000000" w:sz="4" w:space="0"/>
              <w:left w:val="single" w:color="000000" w:sz="4" w:space="0"/>
              <w:bottom w:val="single" w:color="000000" w:sz="4" w:space="0"/>
            </w:tcBorders>
            <w:vAlign w:val="center"/>
          </w:tcPr>
          <w:p w14:paraId="64A041B7">
            <w:pPr>
              <w:pStyle w:val="41"/>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本项目为</w:t>
            </w:r>
            <w:r>
              <w:rPr>
                <w:rFonts w:hint="eastAsia" w:ascii="Times New Roman" w:hAnsi="Times New Roman" w:eastAsia="宋体" w:cs="Times New Roman"/>
                <w:color w:val="auto"/>
                <w:sz w:val="24"/>
                <w:szCs w:val="24"/>
                <w:highlight w:val="none"/>
                <w:lang w:eastAsia="zh-CN"/>
              </w:rPr>
              <w:t>新能源光伏发电配套电力送出工程</w:t>
            </w:r>
            <w:r>
              <w:rPr>
                <w:rFonts w:hint="default" w:ascii="Times New Roman" w:hAnsi="Times New Roman" w:eastAsia="宋体" w:cs="Times New Roman"/>
                <w:color w:val="auto"/>
                <w:sz w:val="24"/>
                <w:szCs w:val="24"/>
                <w:highlight w:val="none"/>
              </w:rPr>
              <w:t>，本项目运行期依托光伏厂区工作人员，不新增劳动定员，不新增固废、生活垃圾和废水，因此本报告表针对线路运营期产生的电磁、噪声和生态影响进行重点环境影响分析。</w:t>
            </w:r>
          </w:p>
          <w:p w14:paraId="7305E9FC">
            <w:pPr>
              <w:spacing w:line="360" w:lineRule="auto"/>
              <w:ind w:firstLine="482"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一、电磁环境影响预测及评价</w:t>
            </w:r>
          </w:p>
          <w:p w14:paraId="44EE66F3">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根据本工程电磁环境影响专题评价，本次评价架空线路采用模式预测进行评价，预测本项目后产生的工频电磁场和对周围环境的影响范围及程度。</w:t>
            </w:r>
          </w:p>
          <w:p w14:paraId="08F0629B">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经模式预测，本项目架空线路投入运行后，线路沿线处工频电场强度、工频磁感应强度满足《电磁环境控制限值》（GB8702-2014）中规定的4kV/m和100μT公众曝露控制限值要求，其中架空输电线路线下的耕地、园地、道路等场所，其频率50Hz的电场强度控制限值为10kV/m。</w:t>
            </w:r>
          </w:p>
          <w:p w14:paraId="660A2C5F">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综上所述，本项目投入运行后产生的电磁辐射对外环境产生影响较小，详见电磁环境影响专篇。</w:t>
            </w:r>
          </w:p>
          <w:p w14:paraId="2F5532CC">
            <w:pPr>
              <w:spacing w:line="360" w:lineRule="auto"/>
              <w:ind w:firstLine="482"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 xml:space="preserve">二、声环境影响预测与评价 </w:t>
            </w:r>
          </w:p>
          <w:p w14:paraId="728A805E">
            <w:pPr>
              <w:spacing w:line="360" w:lineRule="auto"/>
              <w:ind w:firstLine="520" w:firstLineChars="200"/>
              <w:rPr>
                <w:rFonts w:hint="default" w:ascii="Times New Roman" w:hAnsi="Times New Roman" w:eastAsia="宋体" w:cs="Times New Roman"/>
                <w:bCs/>
                <w:color w:val="auto"/>
                <w:spacing w:val="10"/>
                <w:sz w:val="24"/>
                <w:highlight w:val="none"/>
              </w:rPr>
            </w:pPr>
            <w:r>
              <w:rPr>
                <w:rFonts w:hint="default" w:ascii="Times New Roman" w:hAnsi="Times New Roman" w:eastAsia="宋体" w:cs="Times New Roman"/>
                <w:bCs/>
                <w:color w:val="auto"/>
                <w:spacing w:val="10"/>
                <w:sz w:val="24"/>
                <w:highlight w:val="none"/>
              </w:rPr>
              <w:t>线路投入使用后，架空线路的主要噪声源为高压线电晕放电而引起的无规则噪声以及输电线路的电荷运动产生的交流声，同时因高空风速较大，线路振动产生风鸣声，但噪声级很小，一般情况下220kV输电线路走廊下方的噪声值与背景值接近。</w:t>
            </w:r>
          </w:p>
          <w:p w14:paraId="466B8232">
            <w:pPr>
              <w:spacing w:line="360" w:lineRule="auto"/>
              <w:ind w:firstLine="520" w:firstLineChars="200"/>
              <w:rPr>
                <w:rFonts w:hint="default" w:ascii="Times New Roman" w:hAnsi="Times New Roman" w:eastAsia="宋体" w:cs="Times New Roman"/>
                <w:bCs/>
                <w:color w:val="auto"/>
                <w:spacing w:val="10"/>
                <w:sz w:val="24"/>
                <w:highlight w:val="none"/>
              </w:rPr>
            </w:pPr>
            <w:r>
              <w:rPr>
                <w:rFonts w:hint="default" w:ascii="Times New Roman" w:hAnsi="Times New Roman" w:eastAsia="宋体" w:cs="Times New Roman"/>
                <w:bCs/>
                <w:color w:val="auto"/>
                <w:spacing w:val="10"/>
                <w:sz w:val="24"/>
                <w:highlight w:val="none"/>
              </w:rPr>
              <w:t>为预测本项目新建220kV架空线路声环境影响，对同电压等级、同架设方式的220kV单回架空线路进行类比监测。评价类比国家电投神源围场御道口300MW牧光互补光伏发电项目220kV线路工程</w:t>
            </w:r>
            <w:r>
              <w:rPr>
                <w:rFonts w:hint="default" w:ascii="Times New Roman" w:hAnsi="Times New Roman" w:eastAsia="宋体" w:cs="Times New Roman"/>
                <w:bCs/>
                <w:color w:val="auto"/>
                <w:spacing w:val="10"/>
                <w:sz w:val="24"/>
                <w:highlight w:val="none"/>
                <w:lang w:eastAsia="zh-CN"/>
              </w:rPr>
              <w:t>的御道口-塞罕坝220kV线路</w:t>
            </w:r>
            <w:r>
              <w:rPr>
                <w:rFonts w:hint="default" w:ascii="Times New Roman" w:hAnsi="Times New Roman" w:eastAsia="宋体" w:cs="Times New Roman"/>
                <w:bCs/>
                <w:color w:val="auto"/>
                <w:spacing w:val="10"/>
                <w:sz w:val="24"/>
                <w:highlight w:val="none"/>
              </w:rPr>
              <w:t>。</w:t>
            </w:r>
          </w:p>
          <w:p w14:paraId="256E8F4F">
            <w:pPr>
              <w:spacing w:line="360" w:lineRule="auto"/>
              <w:ind w:firstLine="520" w:firstLineChars="200"/>
              <w:rPr>
                <w:rFonts w:hint="default" w:ascii="Times New Roman" w:hAnsi="Times New Roman" w:eastAsia="宋体" w:cs="Times New Roman"/>
                <w:bCs/>
                <w:color w:val="auto"/>
                <w:spacing w:val="10"/>
                <w:sz w:val="24"/>
                <w:highlight w:val="none"/>
              </w:rPr>
            </w:pPr>
            <w:r>
              <w:rPr>
                <w:rFonts w:hint="default" w:ascii="Times New Roman" w:hAnsi="Times New Roman" w:eastAsia="宋体" w:cs="Times New Roman"/>
                <w:bCs/>
                <w:color w:val="auto"/>
                <w:spacing w:val="10"/>
                <w:sz w:val="24"/>
                <w:highlight w:val="none"/>
                <w:lang w:eastAsia="zh-CN"/>
              </w:rPr>
              <w:t>御道口-塞罕坝220kV</w:t>
            </w:r>
            <w:r>
              <w:rPr>
                <w:rFonts w:hint="default" w:ascii="Times New Roman" w:hAnsi="Times New Roman" w:eastAsia="宋体" w:cs="Times New Roman"/>
                <w:bCs/>
                <w:color w:val="auto"/>
                <w:spacing w:val="10"/>
                <w:sz w:val="24"/>
                <w:highlight w:val="none"/>
              </w:rPr>
              <w:t>架空线路位于河北省</w:t>
            </w:r>
            <w:r>
              <w:rPr>
                <w:rFonts w:hint="default" w:ascii="Times New Roman" w:hAnsi="Times New Roman" w:eastAsia="宋体" w:cs="Times New Roman"/>
                <w:bCs/>
                <w:color w:val="auto"/>
                <w:spacing w:val="10"/>
                <w:sz w:val="24"/>
                <w:highlight w:val="none"/>
                <w:lang w:eastAsia="zh-CN"/>
              </w:rPr>
              <w:t>承德市围场满族蒙古族自治县</w:t>
            </w:r>
            <w:r>
              <w:rPr>
                <w:rFonts w:hint="default" w:ascii="Times New Roman" w:hAnsi="Times New Roman" w:eastAsia="宋体" w:cs="Times New Roman"/>
                <w:bCs/>
                <w:color w:val="auto"/>
                <w:spacing w:val="10"/>
                <w:sz w:val="24"/>
                <w:highlight w:val="none"/>
              </w:rPr>
              <w:t>，河北辐翱检测技术有限公司于2023年</w:t>
            </w:r>
            <w:r>
              <w:rPr>
                <w:rFonts w:hint="default" w:ascii="Times New Roman" w:hAnsi="Times New Roman" w:eastAsia="宋体" w:cs="Times New Roman"/>
                <w:bCs/>
                <w:color w:val="auto"/>
                <w:spacing w:val="10"/>
                <w:sz w:val="24"/>
                <w:highlight w:val="none"/>
                <w:lang w:val="en-US" w:eastAsia="zh-CN"/>
              </w:rPr>
              <w:t>8</w:t>
            </w:r>
            <w:r>
              <w:rPr>
                <w:rFonts w:hint="default" w:ascii="Times New Roman" w:hAnsi="Times New Roman" w:eastAsia="宋体" w:cs="Times New Roman"/>
                <w:bCs/>
                <w:color w:val="auto"/>
                <w:spacing w:val="10"/>
                <w:sz w:val="24"/>
                <w:highlight w:val="none"/>
              </w:rPr>
              <w:t>月</w:t>
            </w:r>
            <w:r>
              <w:rPr>
                <w:rFonts w:hint="default" w:ascii="Times New Roman" w:hAnsi="Times New Roman" w:eastAsia="宋体" w:cs="Times New Roman"/>
                <w:bCs/>
                <w:color w:val="auto"/>
                <w:spacing w:val="10"/>
                <w:sz w:val="24"/>
                <w:highlight w:val="none"/>
                <w:lang w:val="en-US" w:eastAsia="zh-CN"/>
              </w:rPr>
              <w:t>15</w:t>
            </w:r>
            <w:r>
              <w:rPr>
                <w:rFonts w:hint="default" w:ascii="Times New Roman" w:hAnsi="Times New Roman" w:eastAsia="宋体" w:cs="Times New Roman"/>
                <w:bCs/>
                <w:color w:val="auto"/>
                <w:spacing w:val="10"/>
                <w:sz w:val="24"/>
                <w:highlight w:val="none"/>
              </w:rPr>
              <w:t>日和</w:t>
            </w:r>
            <w:r>
              <w:rPr>
                <w:rFonts w:hint="default" w:ascii="Times New Roman" w:hAnsi="Times New Roman" w:eastAsia="宋体" w:cs="Times New Roman"/>
                <w:bCs/>
                <w:color w:val="auto"/>
                <w:spacing w:val="10"/>
                <w:sz w:val="24"/>
                <w:highlight w:val="none"/>
                <w:lang w:val="en-US" w:eastAsia="zh-CN"/>
              </w:rPr>
              <w:t>8</w:t>
            </w:r>
            <w:r>
              <w:rPr>
                <w:rFonts w:hint="default" w:ascii="Times New Roman" w:hAnsi="Times New Roman" w:eastAsia="宋体" w:cs="Times New Roman"/>
                <w:bCs/>
                <w:color w:val="auto"/>
                <w:spacing w:val="10"/>
                <w:sz w:val="24"/>
                <w:highlight w:val="none"/>
              </w:rPr>
              <w:t>月</w:t>
            </w:r>
            <w:r>
              <w:rPr>
                <w:rFonts w:hint="default" w:ascii="Times New Roman" w:hAnsi="Times New Roman" w:eastAsia="宋体" w:cs="Times New Roman"/>
                <w:bCs/>
                <w:color w:val="auto"/>
                <w:spacing w:val="10"/>
                <w:sz w:val="24"/>
                <w:highlight w:val="none"/>
                <w:lang w:val="en-US" w:eastAsia="zh-CN"/>
              </w:rPr>
              <w:t>16</w:t>
            </w:r>
            <w:r>
              <w:rPr>
                <w:rFonts w:hint="default" w:ascii="Times New Roman" w:hAnsi="Times New Roman" w:eastAsia="宋体" w:cs="Times New Roman"/>
                <w:bCs/>
                <w:color w:val="auto"/>
                <w:spacing w:val="10"/>
                <w:sz w:val="24"/>
                <w:highlight w:val="none"/>
              </w:rPr>
              <w:t>日进行现场检测，于2023年</w:t>
            </w:r>
            <w:r>
              <w:rPr>
                <w:rFonts w:hint="default" w:ascii="Times New Roman" w:hAnsi="Times New Roman" w:eastAsia="宋体" w:cs="Times New Roman"/>
                <w:bCs/>
                <w:color w:val="auto"/>
                <w:spacing w:val="10"/>
                <w:sz w:val="24"/>
                <w:highlight w:val="none"/>
                <w:lang w:val="en-US" w:eastAsia="zh-CN"/>
              </w:rPr>
              <w:t>9</w:t>
            </w:r>
            <w:r>
              <w:rPr>
                <w:rFonts w:hint="default" w:ascii="Times New Roman" w:hAnsi="Times New Roman" w:eastAsia="宋体" w:cs="Times New Roman"/>
                <w:bCs/>
                <w:color w:val="auto"/>
                <w:spacing w:val="10"/>
                <w:sz w:val="24"/>
                <w:highlight w:val="none"/>
              </w:rPr>
              <w:t>月</w:t>
            </w:r>
            <w:r>
              <w:rPr>
                <w:rFonts w:hint="default" w:ascii="Times New Roman" w:hAnsi="Times New Roman" w:eastAsia="宋体" w:cs="Times New Roman"/>
                <w:bCs/>
                <w:color w:val="auto"/>
                <w:spacing w:val="10"/>
                <w:sz w:val="24"/>
                <w:highlight w:val="none"/>
                <w:lang w:val="en-US" w:eastAsia="zh-CN"/>
              </w:rPr>
              <w:t>6</w:t>
            </w:r>
            <w:r>
              <w:rPr>
                <w:rFonts w:hint="default" w:ascii="Times New Roman" w:hAnsi="Times New Roman" w:eastAsia="宋体" w:cs="Times New Roman"/>
                <w:bCs/>
                <w:color w:val="auto"/>
                <w:spacing w:val="10"/>
                <w:sz w:val="24"/>
                <w:highlight w:val="none"/>
              </w:rPr>
              <w:t>日出具检测报告（HJ23</w:t>
            </w:r>
            <w:r>
              <w:rPr>
                <w:rFonts w:hint="default" w:ascii="Times New Roman" w:hAnsi="Times New Roman" w:eastAsia="宋体" w:cs="Times New Roman"/>
                <w:bCs/>
                <w:color w:val="auto"/>
                <w:spacing w:val="10"/>
                <w:sz w:val="24"/>
                <w:highlight w:val="none"/>
                <w:lang w:val="en-US" w:eastAsia="zh-CN"/>
              </w:rPr>
              <w:t>135</w:t>
            </w:r>
            <w:r>
              <w:rPr>
                <w:rFonts w:hint="default" w:ascii="Times New Roman" w:hAnsi="Times New Roman" w:eastAsia="宋体" w:cs="Times New Roman"/>
                <w:bCs/>
                <w:color w:val="auto"/>
                <w:spacing w:val="10"/>
                <w:sz w:val="24"/>
                <w:highlight w:val="none"/>
              </w:rPr>
              <w:t>）。</w:t>
            </w:r>
          </w:p>
          <w:p w14:paraId="1D7C86B1">
            <w:pPr>
              <w:spacing w:line="360" w:lineRule="auto"/>
              <w:ind w:firstLine="520" w:firstLineChars="200"/>
              <w:rPr>
                <w:rFonts w:hint="default" w:ascii="Times New Roman" w:hAnsi="Times New Roman" w:eastAsia="宋体" w:cs="Times New Roman"/>
                <w:bCs/>
                <w:color w:val="auto"/>
                <w:spacing w:val="10"/>
                <w:sz w:val="24"/>
                <w:highlight w:val="none"/>
              </w:rPr>
            </w:pPr>
            <w:r>
              <w:rPr>
                <w:rFonts w:hint="default" w:ascii="Times New Roman" w:hAnsi="Times New Roman" w:eastAsia="宋体" w:cs="Times New Roman"/>
                <w:bCs/>
                <w:color w:val="auto"/>
                <w:spacing w:val="10"/>
                <w:sz w:val="24"/>
                <w:highlight w:val="none"/>
              </w:rPr>
              <w:t>本项目线路工程与国家电投神源围场御道口300MW牧光互补光伏发电项目220kV线路工程</w:t>
            </w:r>
            <w:r>
              <w:rPr>
                <w:rFonts w:hint="default" w:ascii="Times New Roman" w:hAnsi="Times New Roman" w:eastAsia="宋体" w:cs="Times New Roman"/>
                <w:bCs/>
                <w:color w:val="auto"/>
                <w:spacing w:val="10"/>
                <w:sz w:val="24"/>
                <w:highlight w:val="none"/>
                <w:lang w:eastAsia="zh-CN"/>
              </w:rPr>
              <w:t>的御道口-塞罕坝220kV线路</w:t>
            </w:r>
            <w:r>
              <w:rPr>
                <w:rFonts w:hint="default" w:ascii="Times New Roman" w:hAnsi="Times New Roman" w:eastAsia="宋体" w:cs="Times New Roman"/>
                <w:bCs/>
                <w:color w:val="auto"/>
                <w:spacing w:val="10"/>
                <w:sz w:val="24"/>
                <w:highlight w:val="none"/>
              </w:rPr>
              <w:t>的可比性如下表所示。</w:t>
            </w:r>
          </w:p>
          <w:p w14:paraId="4D480898">
            <w:pPr>
              <w:spacing w:line="36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表4-1  本项目与类比220kV架空线路基本情况对比表</w:t>
            </w:r>
          </w:p>
          <w:tbl>
            <w:tblPr>
              <w:tblStyle w:val="3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2"/>
              <w:gridCol w:w="3101"/>
              <w:gridCol w:w="2955"/>
            </w:tblGrid>
            <w:tr w14:paraId="01DA1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pct"/>
                  <w:vAlign w:val="center"/>
                </w:tcPr>
                <w:p w14:paraId="5F7E9652">
                  <w:pPr>
                    <w:pStyle w:val="85"/>
                    <w:spacing w:line="320" w:lineRule="exac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项目</w:t>
                  </w:r>
                </w:p>
              </w:tc>
              <w:tc>
                <w:tcPr>
                  <w:tcW w:w="1828" w:type="pct"/>
                  <w:vAlign w:val="center"/>
                </w:tcPr>
                <w:p w14:paraId="16599F3C">
                  <w:pPr>
                    <w:pStyle w:val="85"/>
                    <w:spacing w:line="320" w:lineRule="exac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本项目线路220kV线路</w:t>
                  </w:r>
                </w:p>
              </w:tc>
              <w:tc>
                <w:tcPr>
                  <w:tcW w:w="1742" w:type="pct"/>
                  <w:vAlign w:val="center"/>
                </w:tcPr>
                <w:p w14:paraId="073E734D">
                  <w:pPr>
                    <w:pStyle w:val="85"/>
                    <w:spacing w:line="320" w:lineRule="exac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类比220kV架空线路</w:t>
                  </w:r>
                </w:p>
              </w:tc>
            </w:tr>
            <w:tr w14:paraId="13661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pct"/>
                  <w:vAlign w:val="center"/>
                </w:tcPr>
                <w:p w14:paraId="265C2542">
                  <w:pPr>
                    <w:pStyle w:val="85"/>
                    <w:spacing w:line="320" w:lineRule="exac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架设方式</w:t>
                  </w:r>
                </w:p>
              </w:tc>
              <w:tc>
                <w:tcPr>
                  <w:tcW w:w="1828" w:type="pct"/>
                  <w:vAlign w:val="center"/>
                </w:tcPr>
                <w:p w14:paraId="380E1E56">
                  <w:pPr>
                    <w:pStyle w:val="85"/>
                    <w:spacing w:line="320" w:lineRule="exac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单回路</w:t>
                  </w:r>
                </w:p>
              </w:tc>
              <w:tc>
                <w:tcPr>
                  <w:tcW w:w="1742" w:type="pct"/>
                  <w:vAlign w:val="center"/>
                </w:tcPr>
                <w:p w14:paraId="10AE8D0E">
                  <w:pPr>
                    <w:pStyle w:val="85"/>
                    <w:spacing w:line="320" w:lineRule="exac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单回路</w:t>
                  </w:r>
                </w:p>
              </w:tc>
            </w:tr>
            <w:tr w14:paraId="16A18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pct"/>
                  <w:vAlign w:val="center"/>
                </w:tcPr>
                <w:p w14:paraId="4E267D82">
                  <w:pPr>
                    <w:pStyle w:val="85"/>
                    <w:spacing w:line="320" w:lineRule="exac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电压等级</w:t>
                  </w:r>
                </w:p>
              </w:tc>
              <w:tc>
                <w:tcPr>
                  <w:tcW w:w="1828" w:type="pct"/>
                  <w:vAlign w:val="center"/>
                </w:tcPr>
                <w:p w14:paraId="35A9B766">
                  <w:pPr>
                    <w:pStyle w:val="85"/>
                    <w:spacing w:line="320" w:lineRule="exac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220kV</w:t>
                  </w:r>
                </w:p>
              </w:tc>
              <w:tc>
                <w:tcPr>
                  <w:tcW w:w="1742" w:type="pct"/>
                  <w:vAlign w:val="center"/>
                </w:tcPr>
                <w:p w14:paraId="4AED8F5B">
                  <w:pPr>
                    <w:pStyle w:val="85"/>
                    <w:spacing w:line="320" w:lineRule="exac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220kV</w:t>
                  </w:r>
                </w:p>
              </w:tc>
            </w:tr>
            <w:tr w14:paraId="54729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pct"/>
                  <w:vAlign w:val="center"/>
                </w:tcPr>
                <w:p w14:paraId="4D7657E3">
                  <w:pPr>
                    <w:pStyle w:val="85"/>
                    <w:spacing w:line="320" w:lineRule="exac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环境条件</w:t>
                  </w:r>
                </w:p>
              </w:tc>
              <w:tc>
                <w:tcPr>
                  <w:tcW w:w="1828" w:type="pct"/>
                  <w:vAlign w:val="center"/>
                </w:tcPr>
                <w:p w14:paraId="501671BC">
                  <w:pPr>
                    <w:pStyle w:val="85"/>
                    <w:spacing w:line="320" w:lineRule="exac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空旷地带</w:t>
                  </w:r>
                </w:p>
              </w:tc>
              <w:tc>
                <w:tcPr>
                  <w:tcW w:w="1742" w:type="pct"/>
                  <w:vAlign w:val="center"/>
                </w:tcPr>
                <w:p w14:paraId="08162413">
                  <w:pPr>
                    <w:pStyle w:val="85"/>
                    <w:spacing w:line="320" w:lineRule="exac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空旷地带</w:t>
                  </w:r>
                </w:p>
              </w:tc>
            </w:tr>
            <w:tr w14:paraId="5EEA7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pct"/>
                  <w:vAlign w:val="center"/>
                </w:tcPr>
                <w:p w14:paraId="4B90E5A5">
                  <w:pPr>
                    <w:pStyle w:val="85"/>
                    <w:spacing w:line="320" w:lineRule="exac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导线分裂</w:t>
                  </w:r>
                </w:p>
              </w:tc>
              <w:tc>
                <w:tcPr>
                  <w:tcW w:w="1828" w:type="pct"/>
                  <w:vAlign w:val="center"/>
                </w:tcPr>
                <w:p w14:paraId="10C6C11D">
                  <w:pPr>
                    <w:pStyle w:val="85"/>
                    <w:spacing w:line="320" w:lineRule="exac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不分裂</w:t>
                  </w:r>
                </w:p>
              </w:tc>
              <w:tc>
                <w:tcPr>
                  <w:tcW w:w="1742" w:type="pct"/>
                  <w:vAlign w:val="center"/>
                </w:tcPr>
                <w:p w14:paraId="33EB24AB">
                  <w:pPr>
                    <w:pStyle w:val="85"/>
                    <w:spacing w:line="320" w:lineRule="exac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双分裂</w:t>
                  </w:r>
                </w:p>
              </w:tc>
            </w:tr>
            <w:tr w14:paraId="5C0DF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pct"/>
                  <w:vAlign w:val="center"/>
                </w:tcPr>
                <w:p w14:paraId="6307F992">
                  <w:pPr>
                    <w:pStyle w:val="85"/>
                    <w:spacing w:line="320" w:lineRule="exac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导线型号</w:t>
                  </w:r>
                </w:p>
              </w:tc>
              <w:tc>
                <w:tcPr>
                  <w:tcW w:w="1828" w:type="pct"/>
                  <w:vAlign w:val="center"/>
                </w:tcPr>
                <w:p w14:paraId="43FE34E6">
                  <w:pPr>
                    <w:pStyle w:val="85"/>
                    <w:spacing w:line="320" w:lineRule="exac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JL/G1A-300/40</w:t>
                  </w:r>
                </w:p>
              </w:tc>
              <w:tc>
                <w:tcPr>
                  <w:tcW w:w="1742" w:type="pct"/>
                  <w:vAlign w:val="center"/>
                </w:tcPr>
                <w:p w14:paraId="0A4033C0">
                  <w:pPr>
                    <w:pStyle w:val="85"/>
                    <w:spacing w:line="32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2×JL/G1A-</w:t>
                  </w:r>
                  <w:r>
                    <w:rPr>
                      <w:rFonts w:hint="default" w:ascii="Times New Roman" w:hAnsi="Times New Roman" w:eastAsia="宋体"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lang w:eastAsia="zh-CN"/>
                    </w:rPr>
                    <w:t>0/</w:t>
                  </w:r>
                  <w:r>
                    <w:rPr>
                      <w:rFonts w:hint="default" w:ascii="Times New Roman" w:hAnsi="Times New Roman" w:eastAsia="宋体" w:cs="Times New Roman"/>
                      <w:color w:val="auto"/>
                      <w:sz w:val="21"/>
                      <w:szCs w:val="21"/>
                      <w:highlight w:val="none"/>
                      <w:lang w:val="en-US" w:eastAsia="zh-CN"/>
                    </w:rPr>
                    <w:t>30</w:t>
                  </w:r>
                </w:p>
              </w:tc>
            </w:tr>
            <w:tr w14:paraId="38DFC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pct"/>
                  <w:vAlign w:val="center"/>
                </w:tcPr>
                <w:p w14:paraId="1EF7F095">
                  <w:pPr>
                    <w:pStyle w:val="85"/>
                    <w:spacing w:line="320" w:lineRule="exac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运行工况</w:t>
                  </w:r>
                </w:p>
              </w:tc>
              <w:tc>
                <w:tcPr>
                  <w:tcW w:w="1828" w:type="pct"/>
                  <w:vAlign w:val="center"/>
                </w:tcPr>
                <w:p w14:paraId="28D54A1D">
                  <w:pPr>
                    <w:pStyle w:val="85"/>
                    <w:spacing w:line="320" w:lineRule="exac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1742" w:type="pct"/>
                  <w:vAlign w:val="center"/>
                </w:tcPr>
                <w:p w14:paraId="1989070A">
                  <w:pPr>
                    <w:pStyle w:val="85"/>
                    <w:spacing w:line="320" w:lineRule="exac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正常</w:t>
                  </w:r>
                </w:p>
              </w:tc>
            </w:tr>
            <w:tr w14:paraId="0E65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pct"/>
                  <w:vAlign w:val="center"/>
                </w:tcPr>
                <w:p w14:paraId="7D2ACBB5">
                  <w:pPr>
                    <w:pStyle w:val="85"/>
                    <w:spacing w:line="320" w:lineRule="exac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线路弧垂对地高度</w:t>
                  </w:r>
                </w:p>
              </w:tc>
              <w:tc>
                <w:tcPr>
                  <w:tcW w:w="1828" w:type="pct"/>
                  <w:vAlign w:val="center"/>
                </w:tcPr>
                <w:p w14:paraId="6DD5DD61">
                  <w:pPr>
                    <w:pStyle w:val="85"/>
                    <w:spacing w:line="320" w:lineRule="exac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设计最低弧垂</w:t>
                  </w:r>
                  <w:r>
                    <w:rPr>
                      <w:rFonts w:hint="default" w:ascii="Times New Roman" w:hAnsi="Times New Roman" w:eastAsia="宋体" w:cs="Times New Roman"/>
                      <w:color w:val="auto"/>
                      <w:sz w:val="21"/>
                      <w:szCs w:val="21"/>
                      <w:highlight w:val="none"/>
                      <w:lang w:val="en-US" w:eastAsia="zh-CN"/>
                    </w:rPr>
                    <w:t>11.35</w:t>
                  </w:r>
                  <w:r>
                    <w:rPr>
                      <w:rFonts w:hint="default" w:ascii="Times New Roman" w:hAnsi="Times New Roman" w:eastAsia="宋体" w:cs="Times New Roman"/>
                      <w:color w:val="auto"/>
                      <w:sz w:val="21"/>
                      <w:szCs w:val="21"/>
                      <w:highlight w:val="none"/>
                      <w:lang w:eastAsia="zh-CN"/>
                    </w:rPr>
                    <w:t>m</w:t>
                  </w:r>
                </w:p>
              </w:tc>
              <w:tc>
                <w:tcPr>
                  <w:tcW w:w="1742" w:type="pct"/>
                  <w:vAlign w:val="center"/>
                </w:tcPr>
                <w:p w14:paraId="409AD18B">
                  <w:pPr>
                    <w:pStyle w:val="85"/>
                    <w:spacing w:line="320" w:lineRule="exac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架空线路边导弧垂最低处</w:t>
                  </w:r>
                </w:p>
              </w:tc>
            </w:tr>
          </w:tbl>
          <w:p w14:paraId="68C61DC7">
            <w:pPr>
              <w:spacing w:line="360" w:lineRule="auto"/>
              <w:ind w:firstLine="520" w:firstLineChars="200"/>
              <w:rPr>
                <w:rFonts w:hint="default" w:ascii="Times New Roman" w:hAnsi="Times New Roman" w:eastAsia="宋体" w:cs="Times New Roman"/>
                <w:bCs/>
                <w:color w:val="auto"/>
                <w:spacing w:val="10"/>
                <w:sz w:val="24"/>
                <w:highlight w:val="none"/>
              </w:rPr>
            </w:pPr>
            <w:r>
              <w:rPr>
                <w:rFonts w:hint="default" w:ascii="Times New Roman" w:hAnsi="Times New Roman" w:eastAsia="宋体" w:cs="Times New Roman"/>
                <w:bCs/>
                <w:color w:val="auto"/>
                <w:spacing w:val="10"/>
                <w:sz w:val="24"/>
                <w:highlight w:val="none"/>
              </w:rPr>
              <w:t>①监测因子及监测频次</w:t>
            </w:r>
          </w:p>
          <w:p w14:paraId="13714745">
            <w:pPr>
              <w:spacing w:line="360" w:lineRule="auto"/>
              <w:ind w:firstLine="520" w:firstLineChars="200"/>
              <w:rPr>
                <w:rFonts w:hint="default" w:ascii="Times New Roman" w:hAnsi="Times New Roman" w:eastAsia="宋体" w:cs="Times New Roman"/>
                <w:bCs/>
                <w:color w:val="auto"/>
                <w:spacing w:val="10"/>
                <w:sz w:val="24"/>
                <w:highlight w:val="none"/>
              </w:rPr>
            </w:pPr>
            <w:r>
              <w:rPr>
                <w:rFonts w:hint="default" w:ascii="Times New Roman" w:hAnsi="Times New Roman" w:eastAsia="宋体" w:cs="Times New Roman"/>
                <w:bCs/>
                <w:color w:val="auto"/>
                <w:spacing w:val="10"/>
                <w:sz w:val="24"/>
                <w:highlight w:val="none"/>
              </w:rPr>
              <w:t>监测因子：等效连续A声级（dB（A））。</w:t>
            </w:r>
          </w:p>
          <w:p w14:paraId="7BC7CBB9">
            <w:pPr>
              <w:spacing w:line="360" w:lineRule="auto"/>
              <w:ind w:firstLine="520" w:firstLineChars="200"/>
              <w:rPr>
                <w:rFonts w:hint="default" w:ascii="Times New Roman" w:hAnsi="Times New Roman" w:eastAsia="宋体" w:cs="Times New Roman"/>
                <w:bCs/>
                <w:color w:val="auto"/>
                <w:spacing w:val="10"/>
                <w:sz w:val="24"/>
                <w:highlight w:val="none"/>
              </w:rPr>
            </w:pPr>
            <w:r>
              <w:rPr>
                <w:rFonts w:hint="default" w:ascii="Times New Roman" w:hAnsi="Times New Roman" w:eastAsia="宋体" w:cs="Times New Roman"/>
                <w:bCs/>
                <w:color w:val="auto"/>
                <w:spacing w:val="10"/>
                <w:sz w:val="24"/>
                <w:highlight w:val="none"/>
              </w:rPr>
              <w:t>监测频次：各监测点位昼、夜间各监测一次。</w:t>
            </w:r>
          </w:p>
          <w:p w14:paraId="3ADF781C">
            <w:pPr>
              <w:spacing w:line="360" w:lineRule="auto"/>
              <w:ind w:firstLine="520" w:firstLineChars="200"/>
              <w:rPr>
                <w:rFonts w:hint="default" w:ascii="Times New Roman" w:hAnsi="Times New Roman" w:eastAsia="宋体" w:cs="Times New Roman"/>
                <w:bCs/>
                <w:color w:val="auto"/>
                <w:spacing w:val="10"/>
                <w:sz w:val="24"/>
                <w:highlight w:val="none"/>
              </w:rPr>
            </w:pPr>
            <w:r>
              <w:rPr>
                <w:rFonts w:hint="default" w:ascii="Times New Roman" w:hAnsi="Times New Roman" w:eastAsia="宋体" w:cs="Times New Roman"/>
                <w:bCs/>
                <w:color w:val="auto"/>
                <w:spacing w:val="10"/>
                <w:sz w:val="24"/>
                <w:highlight w:val="none"/>
              </w:rPr>
              <w:t>②监测方法及监测布点</w:t>
            </w:r>
          </w:p>
          <w:p w14:paraId="2A0FA669">
            <w:pPr>
              <w:spacing w:line="360" w:lineRule="auto"/>
              <w:ind w:firstLine="520" w:firstLineChars="200"/>
              <w:rPr>
                <w:rFonts w:hint="default" w:ascii="Times New Roman" w:hAnsi="Times New Roman" w:eastAsia="宋体" w:cs="Times New Roman"/>
                <w:bCs/>
                <w:color w:val="auto"/>
                <w:spacing w:val="10"/>
                <w:sz w:val="24"/>
                <w:highlight w:val="none"/>
              </w:rPr>
            </w:pPr>
            <w:r>
              <w:rPr>
                <w:rFonts w:hint="default" w:ascii="Times New Roman" w:hAnsi="Times New Roman" w:eastAsia="宋体" w:cs="Times New Roman"/>
                <w:bCs/>
                <w:color w:val="auto"/>
                <w:spacing w:val="10"/>
                <w:sz w:val="24"/>
                <w:highlight w:val="none"/>
              </w:rPr>
              <w:t>监测方法：执行《声环境质量标准》（GB3096-2008）中的相关要求。</w:t>
            </w:r>
          </w:p>
          <w:p w14:paraId="356FD4A0">
            <w:pPr>
              <w:spacing w:line="360" w:lineRule="auto"/>
              <w:ind w:firstLine="520" w:firstLineChars="200"/>
              <w:rPr>
                <w:rFonts w:hint="default" w:ascii="Times New Roman" w:hAnsi="Times New Roman" w:eastAsia="宋体" w:cs="Times New Roman"/>
                <w:bCs/>
                <w:color w:val="auto"/>
                <w:spacing w:val="10"/>
                <w:sz w:val="24"/>
                <w:highlight w:val="none"/>
              </w:rPr>
            </w:pPr>
            <w:r>
              <w:rPr>
                <w:rFonts w:hint="default" w:ascii="Times New Roman" w:hAnsi="Times New Roman" w:eastAsia="宋体" w:cs="Times New Roman"/>
                <w:bCs/>
                <w:color w:val="auto"/>
                <w:spacing w:val="10"/>
                <w:sz w:val="24"/>
                <w:highlight w:val="none"/>
              </w:rPr>
              <w:t>监测布点：御道口-塞罕坝220kV架空线路边导弧垂最低处向西北布置40m监测断面</w:t>
            </w:r>
            <w:r>
              <w:rPr>
                <w:rFonts w:hint="default" w:ascii="Times New Roman" w:hAnsi="Times New Roman" w:eastAsia="宋体" w:cs="Times New Roman"/>
                <w:bCs/>
                <w:color w:val="auto"/>
                <w:spacing w:val="10"/>
                <w:sz w:val="24"/>
                <w:highlight w:val="none"/>
                <w:lang w:eastAsia="zh-CN"/>
              </w:rPr>
              <w:t>（</w:t>
            </w:r>
            <w:r>
              <w:rPr>
                <w:rFonts w:hint="default" w:ascii="Times New Roman" w:hAnsi="Times New Roman" w:eastAsia="宋体" w:cs="Times New Roman"/>
                <w:bCs/>
                <w:color w:val="auto"/>
                <w:spacing w:val="10"/>
                <w:sz w:val="24"/>
                <w:highlight w:val="none"/>
                <w:lang w:val="en-US" w:eastAsia="zh-CN"/>
              </w:rPr>
              <w:t>0~20m</w:t>
            </w:r>
            <w:r>
              <w:rPr>
                <w:rFonts w:hint="default" w:ascii="Times New Roman" w:hAnsi="Times New Roman" w:eastAsia="宋体" w:cs="Times New Roman"/>
                <w:bCs/>
                <w:color w:val="auto"/>
                <w:spacing w:val="10"/>
                <w:sz w:val="24"/>
                <w:highlight w:val="none"/>
                <w:lang w:eastAsia="zh-CN"/>
              </w:rPr>
              <w:t>间距</w:t>
            </w:r>
            <w:r>
              <w:rPr>
                <w:rFonts w:hint="default" w:ascii="Times New Roman" w:hAnsi="Times New Roman" w:eastAsia="宋体" w:cs="Times New Roman"/>
                <w:bCs/>
                <w:color w:val="auto"/>
                <w:spacing w:val="10"/>
                <w:sz w:val="24"/>
                <w:highlight w:val="none"/>
                <w:lang w:val="en-US" w:eastAsia="zh-CN"/>
              </w:rPr>
              <w:t>5m，20~40m间距10m</w:t>
            </w:r>
            <w:r>
              <w:rPr>
                <w:rFonts w:hint="default" w:ascii="Times New Roman" w:hAnsi="Times New Roman" w:eastAsia="宋体" w:cs="Times New Roman"/>
                <w:bCs/>
                <w:color w:val="auto"/>
                <w:spacing w:val="10"/>
                <w:sz w:val="24"/>
                <w:highlight w:val="none"/>
                <w:lang w:eastAsia="zh-CN"/>
              </w:rPr>
              <w:t>）</w:t>
            </w:r>
            <w:r>
              <w:rPr>
                <w:rFonts w:hint="default" w:ascii="Times New Roman" w:hAnsi="Times New Roman" w:eastAsia="宋体" w:cs="Times New Roman"/>
                <w:bCs/>
                <w:color w:val="auto"/>
                <w:spacing w:val="10"/>
                <w:sz w:val="24"/>
                <w:highlight w:val="none"/>
              </w:rPr>
              <w:t>；</w:t>
            </w:r>
          </w:p>
          <w:p w14:paraId="1E3CC6BC">
            <w:pPr>
              <w:spacing w:line="360" w:lineRule="auto"/>
              <w:ind w:firstLine="520" w:firstLineChars="200"/>
              <w:rPr>
                <w:rFonts w:hint="default" w:ascii="Times New Roman" w:hAnsi="Times New Roman" w:eastAsia="宋体" w:cs="Times New Roman"/>
                <w:bCs/>
                <w:color w:val="auto"/>
                <w:spacing w:val="10"/>
                <w:sz w:val="24"/>
                <w:highlight w:val="none"/>
              </w:rPr>
            </w:pPr>
            <w:r>
              <w:rPr>
                <w:rFonts w:hint="default" w:ascii="Times New Roman" w:hAnsi="Times New Roman" w:eastAsia="宋体" w:cs="Times New Roman"/>
                <w:bCs/>
                <w:color w:val="auto"/>
                <w:spacing w:val="10"/>
                <w:sz w:val="24"/>
                <w:highlight w:val="none"/>
              </w:rPr>
              <w:t>③监测单位、监测时间、监测环境条件及监测工况</w:t>
            </w:r>
          </w:p>
          <w:p w14:paraId="1CA0CE26">
            <w:pPr>
              <w:spacing w:line="36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表4-2  监测单位、监测时间、监测环境条件</w:t>
            </w:r>
          </w:p>
          <w:tbl>
            <w:tblPr>
              <w:tblStyle w:val="39"/>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496"/>
              <w:gridCol w:w="1963"/>
              <w:gridCol w:w="4024"/>
            </w:tblGrid>
            <w:tr w14:paraId="7F4B2C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471" w:type="pct"/>
                  <w:vAlign w:val="center"/>
                </w:tcPr>
                <w:p w14:paraId="601155F4">
                  <w:pPr>
                    <w:autoSpaceDE/>
                    <w:autoSpaceDN/>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监测单位</w:t>
                  </w:r>
                </w:p>
              </w:tc>
              <w:tc>
                <w:tcPr>
                  <w:tcW w:w="1157" w:type="pct"/>
                  <w:vAlign w:val="center"/>
                </w:tcPr>
                <w:p w14:paraId="141B5CCB">
                  <w:pPr>
                    <w:autoSpaceDE/>
                    <w:autoSpaceDN/>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监测时间</w:t>
                  </w:r>
                </w:p>
              </w:tc>
              <w:tc>
                <w:tcPr>
                  <w:tcW w:w="2371" w:type="pct"/>
                  <w:vAlign w:val="center"/>
                </w:tcPr>
                <w:p w14:paraId="78C3817A">
                  <w:pPr>
                    <w:autoSpaceDE/>
                    <w:autoSpaceDN/>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监测环境条件</w:t>
                  </w:r>
                </w:p>
              </w:tc>
            </w:tr>
            <w:tr w14:paraId="08B83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471" w:type="pct"/>
                  <w:vAlign w:val="center"/>
                </w:tcPr>
                <w:p w14:paraId="01EB2BD8">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河北辐翱检测技术有限公司</w:t>
                  </w:r>
                </w:p>
              </w:tc>
              <w:tc>
                <w:tcPr>
                  <w:tcW w:w="1157" w:type="pct"/>
                  <w:vAlign w:val="center"/>
                </w:tcPr>
                <w:p w14:paraId="35FDC16E">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2023年</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日2023年</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lang w:val="en-US" w:eastAsia="zh-CN"/>
                    </w:rPr>
                    <w:t>16</w:t>
                  </w:r>
                  <w:r>
                    <w:rPr>
                      <w:rFonts w:hint="default" w:ascii="Times New Roman" w:hAnsi="Times New Roman" w:eastAsia="宋体" w:cs="Times New Roman"/>
                      <w:color w:val="auto"/>
                      <w:sz w:val="21"/>
                      <w:szCs w:val="21"/>
                      <w:highlight w:val="none"/>
                    </w:rPr>
                    <w:t>日</w:t>
                  </w:r>
                </w:p>
              </w:tc>
              <w:tc>
                <w:tcPr>
                  <w:tcW w:w="2371" w:type="pct"/>
                  <w:vAlign w:val="center"/>
                </w:tcPr>
                <w:p w14:paraId="62F26922">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天气：晴，温度：昼间</w:t>
                  </w:r>
                  <w:r>
                    <w:rPr>
                      <w:rFonts w:hint="default" w:ascii="Times New Roman" w:hAnsi="Times New Roman" w:eastAsia="宋体" w:cs="Times New Roman"/>
                      <w:color w:val="auto"/>
                      <w:sz w:val="21"/>
                      <w:szCs w:val="21"/>
                      <w:highlight w:val="none"/>
                      <w:lang w:val="en-US" w:eastAsia="zh-CN"/>
                    </w:rPr>
                    <w:t>30.9</w:t>
                  </w:r>
                  <w:r>
                    <w:rPr>
                      <w:rFonts w:hint="default" w:ascii="Times New Roman" w:hAnsi="Times New Roman" w:eastAsia="宋体" w:cs="Times New Roman"/>
                      <w:color w:val="auto"/>
                      <w:sz w:val="21"/>
                      <w:szCs w:val="21"/>
                      <w:highlight w:val="none"/>
                    </w:rPr>
                    <w:t>℃，夜间</w:t>
                  </w:r>
                  <w:r>
                    <w:rPr>
                      <w:rFonts w:hint="default" w:ascii="Times New Roman" w:hAnsi="Times New Roman" w:eastAsia="宋体" w:cs="Times New Roman"/>
                      <w:color w:val="auto"/>
                      <w:sz w:val="21"/>
                      <w:szCs w:val="21"/>
                      <w:highlight w:val="none"/>
                      <w:lang w:val="en-US" w:eastAsia="zh-CN"/>
                    </w:rPr>
                    <w:t>19.3</w:t>
                  </w:r>
                  <w:r>
                    <w:rPr>
                      <w:rFonts w:hint="default" w:ascii="Times New Roman" w:hAnsi="Times New Roman" w:eastAsia="宋体" w:cs="Times New Roman"/>
                      <w:color w:val="auto"/>
                      <w:sz w:val="21"/>
                      <w:szCs w:val="21"/>
                      <w:highlight w:val="none"/>
                    </w:rPr>
                    <w:t>℃，风速：昼间</w:t>
                  </w:r>
                  <w:r>
                    <w:rPr>
                      <w:rFonts w:hint="default" w:ascii="Times New Roman" w:hAnsi="Times New Roman" w:eastAsia="宋体" w:cs="Times New Roman"/>
                      <w:color w:val="auto"/>
                      <w:sz w:val="21"/>
                      <w:szCs w:val="21"/>
                      <w:highlight w:val="none"/>
                      <w:lang w:val="en-US" w:eastAsia="zh-CN"/>
                    </w:rPr>
                    <w:t>3.1</w:t>
                  </w:r>
                  <w:r>
                    <w:rPr>
                      <w:rFonts w:hint="default" w:ascii="Times New Roman" w:hAnsi="Times New Roman" w:eastAsia="宋体" w:cs="Times New Roman"/>
                      <w:color w:val="auto"/>
                      <w:sz w:val="21"/>
                      <w:szCs w:val="21"/>
                      <w:highlight w:val="none"/>
                    </w:rPr>
                    <w:t>m/s，夜间1.</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m/s</w:t>
                  </w:r>
                </w:p>
              </w:tc>
            </w:tr>
          </w:tbl>
          <w:p w14:paraId="1EDC253C">
            <w:pPr>
              <w:spacing w:line="48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表4-3  监测期间工况条件</w:t>
            </w:r>
          </w:p>
          <w:tbl>
            <w:tblPr>
              <w:tblStyle w:val="39"/>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534"/>
              <w:gridCol w:w="1329"/>
              <w:gridCol w:w="1205"/>
              <w:gridCol w:w="1706"/>
              <w:gridCol w:w="1709"/>
            </w:tblGrid>
            <w:tr w14:paraId="3A0391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493" w:type="pct"/>
                  <w:vMerge w:val="restart"/>
                  <w:vAlign w:val="center"/>
                </w:tcPr>
                <w:p w14:paraId="0A0C2AB7">
                  <w:pPr>
                    <w:autoSpaceDE/>
                    <w:autoSpaceDN/>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时段</w:t>
                  </w:r>
                </w:p>
              </w:tc>
              <w:tc>
                <w:tcPr>
                  <w:tcW w:w="1493" w:type="pct"/>
                  <w:gridSpan w:val="2"/>
                  <w:vAlign w:val="center"/>
                </w:tcPr>
                <w:p w14:paraId="0FCF5838">
                  <w:pPr>
                    <w:autoSpaceDE/>
                    <w:autoSpaceDN/>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电压（kV）</w:t>
                  </w:r>
                </w:p>
              </w:tc>
              <w:tc>
                <w:tcPr>
                  <w:tcW w:w="2012" w:type="pct"/>
                  <w:gridSpan w:val="2"/>
                  <w:vAlign w:val="center"/>
                </w:tcPr>
                <w:p w14:paraId="2078167E">
                  <w:pPr>
                    <w:autoSpaceDE/>
                    <w:autoSpaceDN/>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电流（A）</w:t>
                  </w:r>
                </w:p>
              </w:tc>
            </w:tr>
            <w:tr w14:paraId="0D33C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493" w:type="pct"/>
                  <w:vMerge w:val="continue"/>
                  <w:vAlign w:val="center"/>
                </w:tcPr>
                <w:p w14:paraId="4C7F7CBF">
                  <w:pPr>
                    <w:autoSpaceDE/>
                    <w:autoSpaceDN/>
                    <w:spacing w:line="320" w:lineRule="exact"/>
                    <w:jc w:val="center"/>
                    <w:rPr>
                      <w:rFonts w:hint="default" w:ascii="Times New Roman" w:hAnsi="Times New Roman" w:eastAsia="宋体" w:cs="Times New Roman"/>
                      <w:color w:val="auto"/>
                      <w:sz w:val="21"/>
                      <w:szCs w:val="21"/>
                      <w:highlight w:val="none"/>
                    </w:rPr>
                  </w:pPr>
                </w:p>
              </w:tc>
              <w:tc>
                <w:tcPr>
                  <w:tcW w:w="783" w:type="pct"/>
                  <w:vAlign w:val="center"/>
                </w:tcPr>
                <w:p w14:paraId="51E196FC">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Max</w:t>
                  </w:r>
                </w:p>
              </w:tc>
              <w:tc>
                <w:tcPr>
                  <w:tcW w:w="710" w:type="pct"/>
                  <w:vAlign w:val="center"/>
                </w:tcPr>
                <w:p w14:paraId="566A1517">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Min</w:t>
                  </w:r>
                </w:p>
              </w:tc>
              <w:tc>
                <w:tcPr>
                  <w:tcW w:w="1005" w:type="pct"/>
                  <w:vAlign w:val="center"/>
                </w:tcPr>
                <w:p w14:paraId="3EB80180">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Max</w:t>
                  </w:r>
                </w:p>
              </w:tc>
              <w:tc>
                <w:tcPr>
                  <w:tcW w:w="1007" w:type="pct"/>
                  <w:vAlign w:val="center"/>
                </w:tcPr>
                <w:p w14:paraId="341E65CA">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Min</w:t>
                  </w:r>
                </w:p>
              </w:tc>
            </w:tr>
            <w:tr w14:paraId="31164A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493" w:type="pct"/>
                  <w:vAlign w:val="center"/>
                </w:tcPr>
                <w:p w14:paraId="48700F84">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2023年</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日</w:t>
                  </w:r>
                  <w:r>
                    <w:rPr>
                      <w:rFonts w:hint="default" w:ascii="Times New Roman" w:hAnsi="Times New Roman" w:eastAsia="宋体" w:cs="Times New Roman"/>
                      <w:color w:val="auto"/>
                      <w:sz w:val="21"/>
                      <w:szCs w:val="21"/>
                      <w:highlight w:val="none"/>
                      <w:lang w:eastAsia="zh-CN"/>
                    </w:rPr>
                    <w:t>至</w:t>
                  </w:r>
                  <w:r>
                    <w:rPr>
                      <w:rFonts w:hint="default" w:ascii="Times New Roman" w:hAnsi="Times New Roman" w:eastAsia="宋体" w:cs="Times New Roman"/>
                      <w:color w:val="auto"/>
                      <w:sz w:val="21"/>
                      <w:szCs w:val="21"/>
                      <w:highlight w:val="none"/>
                    </w:rPr>
                    <w:t>2023年</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lang w:val="en-US" w:eastAsia="zh-CN"/>
                    </w:rPr>
                    <w:t>16</w:t>
                  </w:r>
                  <w:r>
                    <w:rPr>
                      <w:rFonts w:hint="default" w:ascii="Times New Roman" w:hAnsi="Times New Roman" w:eastAsia="宋体" w:cs="Times New Roman"/>
                      <w:color w:val="auto"/>
                      <w:sz w:val="21"/>
                      <w:szCs w:val="21"/>
                      <w:highlight w:val="none"/>
                    </w:rPr>
                    <w:t>日</w:t>
                  </w:r>
                </w:p>
              </w:tc>
              <w:tc>
                <w:tcPr>
                  <w:tcW w:w="783" w:type="pct"/>
                  <w:vAlign w:val="center"/>
                </w:tcPr>
                <w:p w14:paraId="0E1017F1">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232.8</w:t>
                  </w:r>
                </w:p>
              </w:tc>
              <w:tc>
                <w:tcPr>
                  <w:tcW w:w="710" w:type="pct"/>
                  <w:vAlign w:val="center"/>
                </w:tcPr>
                <w:p w14:paraId="1A733BFD">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231.5</w:t>
                  </w:r>
                </w:p>
              </w:tc>
              <w:tc>
                <w:tcPr>
                  <w:tcW w:w="1005" w:type="pct"/>
                  <w:vAlign w:val="center"/>
                </w:tcPr>
                <w:p w14:paraId="51D11EAB">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405.2</w:t>
                  </w:r>
                </w:p>
              </w:tc>
              <w:tc>
                <w:tcPr>
                  <w:tcW w:w="1007" w:type="pct"/>
                  <w:vAlign w:val="center"/>
                </w:tcPr>
                <w:p w14:paraId="5E926414">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287.6</w:t>
                  </w:r>
                </w:p>
              </w:tc>
            </w:tr>
          </w:tbl>
          <w:p w14:paraId="56DC2DF1">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④监测仪器</w:t>
            </w:r>
          </w:p>
          <w:p w14:paraId="57DB4812">
            <w:pPr>
              <w:spacing w:line="48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表4-4   监测仪器</w:t>
            </w:r>
          </w:p>
          <w:tbl>
            <w:tblPr>
              <w:tblStyle w:val="39"/>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671"/>
              <w:gridCol w:w="1383"/>
              <w:gridCol w:w="4428"/>
            </w:tblGrid>
            <w:tr w14:paraId="567BCA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574" w:type="pct"/>
                  <w:vAlign w:val="center"/>
                </w:tcPr>
                <w:p w14:paraId="1268CC5C">
                  <w:pPr>
                    <w:autoSpaceDE/>
                    <w:autoSpaceDN/>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仪器名称型号及出厂编号</w:t>
                  </w:r>
                </w:p>
              </w:tc>
              <w:tc>
                <w:tcPr>
                  <w:tcW w:w="815" w:type="pct"/>
                  <w:vAlign w:val="center"/>
                </w:tcPr>
                <w:p w14:paraId="59749586">
                  <w:pPr>
                    <w:autoSpaceDE/>
                    <w:autoSpaceDN/>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技术指标</w:t>
                  </w:r>
                </w:p>
              </w:tc>
              <w:tc>
                <w:tcPr>
                  <w:tcW w:w="2609" w:type="pct"/>
                  <w:vAlign w:val="center"/>
                </w:tcPr>
                <w:p w14:paraId="6899270B">
                  <w:pPr>
                    <w:autoSpaceDE/>
                    <w:autoSpaceDN/>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校准/检定证书编号</w:t>
                  </w:r>
                </w:p>
              </w:tc>
            </w:tr>
            <w:tr w14:paraId="1906D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7" w:hRule="atLeast"/>
              </w:trPr>
              <w:tc>
                <w:tcPr>
                  <w:tcW w:w="1574" w:type="pct"/>
                  <w:vAlign w:val="center"/>
                </w:tcPr>
                <w:p w14:paraId="660FCEF7">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多功能声级计（AWA5688）/声校准器（AWA6022A）</w:t>
                  </w:r>
                </w:p>
                <w:p w14:paraId="0783D0DF">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/风速仪（UT363)/数字温湿度计（ST9817）</w:t>
                  </w:r>
                </w:p>
              </w:tc>
              <w:tc>
                <w:tcPr>
                  <w:tcW w:w="815" w:type="pct"/>
                  <w:vAlign w:val="center"/>
                </w:tcPr>
                <w:p w14:paraId="66F0A724">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量程范围：</w:t>
                  </w:r>
                </w:p>
                <w:p w14:paraId="39490FC2">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28dB（A）～133dB（A）</w:t>
                  </w:r>
                </w:p>
              </w:tc>
              <w:tc>
                <w:tcPr>
                  <w:tcW w:w="2609" w:type="pct"/>
                  <w:vAlign w:val="center"/>
                </w:tcPr>
                <w:p w14:paraId="42EE4CBC">
                  <w:pPr>
                    <w:autoSpaceDE/>
                    <w:autoSpaceDN/>
                    <w:spacing w:line="320" w:lineRule="exac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检定、校准单位：</w:t>
                  </w:r>
                </w:p>
                <w:p w14:paraId="4B02982C">
                  <w:pPr>
                    <w:autoSpaceDE/>
                    <w:autoSpaceDN/>
                    <w:spacing w:line="320" w:lineRule="exac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河北省计量监督检测研究院/方圆检测认证集团有限公司</w:t>
                  </w:r>
                </w:p>
                <w:p w14:paraId="3D949B96">
                  <w:pPr>
                    <w:autoSpaceDE/>
                    <w:autoSpaceDN/>
                    <w:spacing w:line="320" w:lineRule="exac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证书编号：DCSS22-02021/DCSS22-02023/JZ202304WL1201/RGFS22-JZ06122</w:t>
                  </w:r>
                </w:p>
                <w:p w14:paraId="0921ADE6">
                  <w:pPr>
                    <w:autoSpaceDE/>
                    <w:autoSpaceDN/>
                    <w:spacing w:line="320" w:lineRule="exac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有效期：</w:t>
                  </w:r>
                </w:p>
                <w:p w14:paraId="6C191350">
                  <w:pPr>
                    <w:autoSpaceDE/>
                    <w:autoSpaceDN/>
                    <w:spacing w:line="320" w:lineRule="exac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2022年10月19日～2023年10月18日/2022年10月19日～2023年10月18日/2022年04月2</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日～2023年04月</w:t>
                  </w:r>
                  <w:r>
                    <w:rPr>
                      <w:rFonts w:hint="default" w:ascii="Times New Roman" w:hAnsi="Times New Roman" w:eastAsia="宋体" w:cs="Times New Roman"/>
                      <w:color w:val="auto"/>
                      <w:sz w:val="21"/>
                      <w:szCs w:val="21"/>
                      <w:highlight w:val="none"/>
                      <w:lang w:val="en-US" w:eastAsia="zh-CN"/>
                    </w:rPr>
                    <w:t>19</w:t>
                  </w:r>
                  <w:r>
                    <w:rPr>
                      <w:rFonts w:hint="default" w:ascii="Times New Roman" w:hAnsi="Times New Roman" w:eastAsia="宋体" w:cs="Times New Roman"/>
                      <w:color w:val="auto"/>
                      <w:sz w:val="21"/>
                      <w:szCs w:val="21"/>
                      <w:highlight w:val="none"/>
                    </w:rPr>
                    <w:t>日/2022年10月2</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日～2023年10月2</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日</w:t>
                  </w:r>
                </w:p>
              </w:tc>
            </w:tr>
          </w:tbl>
          <w:p w14:paraId="37870100">
            <w:pPr>
              <w:spacing w:line="360" w:lineRule="auto"/>
              <w:ind w:firstLine="520" w:firstLineChars="200"/>
              <w:rPr>
                <w:rFonts w:hint="default" w:ascii="Times New Roman" w:hAnsi="Times New Roman" w:eastAsia="宋体" w:cs="Times New Roman"/>
                <w:bCs/>
                <w:color w:val="auto"/>
                <w:spacing w:val="10"/>
                <w:sz w:val="24"/>
                <w:highlight w:val="none"/>
              </w:rPr>
            </w:pPr>
            <w:r>
              <w:rPr>
                <w:rFonts w:hint="default" w:ascii="Times New Roman" w:hAnsi="Times New Roman" w:eastAsia="宋体" w:cs="Times New Roman"/>
                <w:bCs/>
                <w:color w:val="auto"/>
                <w:spacing w:val="10"/>
                <w:sz w:val="24"/>
                <w:highlight w:val="none"/>
              </w:rPr>
              <w:t>⑤监测结果分析</w:t>
            </w:r>
          </w:p>
          <w:p w14:paraId="513E38DD">
            <w:pPr>
              <w:spacing w:line="360" w:lineRule="auto"/>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表4-5    噪声监测结果一览表</w:t>
            </w:r>
          </w:p>
          <w:tbl>
            <w:tblPr>
              <w:tblStyle w:val="39"/>
              <w:tblW w:w="499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94"/>
              <w:gridCol w:w="2396"/>
              <w:gridCol w:w="1031"/>
              <w:gridCol w:w="2067"/>
              <w:gridCol w:w="2189"/>
            </w:tblGrid>
            <w:tr w14:paraId="4425A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68" w:type="pct"/>
                  <w:tcBorders>
                    <w:tl2br w:val="nil"/>
                    <w:tr2bl w:val="nil"/>
                  </w:tcBorders>
                  <w:vAlign w:val="center"/>
                </w:tcPr>
                <w:p w14:paraId="5B184449">
                  <w:pPr>
                    <w:autoSpaceDE/>
                    <w:autoSpaceDN/>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021" w:type="pct"/>
                  <w:gridSpan w:val="2"/>
                  <w:tcBorders>
                    <w:tl2br w:val="nil"/>
                    <w:tr2bl w:val="nil"/>
                  </w:tcBorders>
                  <w:vAlign w:val="center"/>
                </w:tcPr>
                <w:p w14:paraId="4D0081BB">
                  <w:pPr>
                    <w:autoSpaceDE/>
                    <w:autoSpaceDN/>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监测点位描述</w:t>
                  </w:r>
                </w:p>
              </w:tc>
              <w:tc>
                <w:tcPr>
                  <w:tcW w:w="1219" w:type="pct"/>
                  <w:tcBorders>
                    <w:tl2br w:val="nil"/>
                    <w:tr2bl w:val="nil"/>
                  </w:tcBorders>
                  <w:vAlign w:val="center"/>
                </w:tcPr>
                <w:p w14:paraId="277DBB47">
                  <w:pPr>
                    <w:autoSpaceDE/>
                    <w:autoSpaceDN/>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昼间(dB(A))</w:t>
                  </w:r>
                </w:p>
              </w:tc>
              <w:tc>
                <w:tcPr>
                  <w:tcW w:w="1291" w:type="pct"/>
                  <w:tcBorders>
                    <w:tl2br w:val="nil"/>
                    <w:tr2bl w:val="nil"/>
                  </w:tcBorders>
                  <w:vAlign w:val="center"/>
                </w:tcPr>
                <w:p w14:paraId="1D864C31">
                  <w:pPr>
                    <w:autoSpaceDE/>
                    <w:autoSpaceDN/>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夜间(dB(A))</w:t>
                  </w:r>
                </w:p>
              </w:tc>
            </w:tr>
            <w:tr w14:paraId="008C53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68" w:type="pct"/>
                  <w:tcBorders>
                    <w:tl2br w:val="nil"/>
                    <w:tr2bl w:val="nil"/>
                  </w:tcBorders>
                  <w:vAlign w:val="center"/>
                </w:tcPr>
                <w:p w14:paraId="74585769">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413" w:type="pct"/>
                  <w:vMerge w:val="restart"/>
                  <w:tcBorders>
                    <w:tl2br w:val="nil"/>
                    <w:tr2bl w:val="nil"/>
                  </w:tcBorders>
                  <w:vAlign w:val="center"/>
                </w:tcPr>
                <w:p w14:paraId="7C1E42F7">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御道口-塞罕坝220kV架空线路边导弧垂最低处向西北布置40m监测断面（间距5m）</w:t>
                  </w:r>
                </w:p>
              </w:tc>
              <w:tc>
                <w:tcPr>
                  <w:tcW w:w="608" w:type="pct"/>
                  <w:tcBorders>
                    <w:tl2br w:val="nil"/>
                    <w:tr2bl w:val="nil"/>
                  </w:tcBorders>
                  <w:vAlign w:val="center"/>
                </w:tcPr>
                <w:p w14:paraId="2FFBE642">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0m</w:t>
                  </w:r>
                </w:p>
              </w:tc>
              <w:tc>
                <w:tcPr>
                  <w:tcW w:w="1219" w:type="pct"/>
                  <w:tcBorders>
                    <w:tl2br w:val="nil"/>
                    <w:tr2bl w:val="nil"/>
                  </w:tcBorders>
                  <w:vAlign w:val="center"/>
                </w:tcPr>
                <w:p w14:paraId="6DBD346F">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w:t>
                  </w:r>
                </w:p>
              </w:tc>
              <w:tc>
                <w:tcPr>
                  <w:tcW w:w="1291" w:type="pct"/>
                  <w:tcBorders>
                    <w:tl2br w:val="nil"/>
                    <w:tr2bl w:val="nil"/>
                  </w:tcBorders>
                  <w:vAlign w:val="center"/>
                </w:tcPr>
                <w:p w14:paraId="0E918AF3">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w:t>
                  </w:r>
                </w:p>
              </w:tc>
            </w:tr>
            <w:tr w14:paraId="53EDC1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68" w:type="pct"/>
                  <w:tcBorders>
                    <w:tl2br w:val="nil"/>
                    <w:tr2bl w:val="nil"/>
                  </w:tcBorders>
                  <w:vAlign w:val="center"/>
                </w:tcPr>
                <w:p w14:paraId="2261FF2A">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413" w:type="pct"/>
                  <w:vMerge w:val="continue"/>
                  <w:tcBorders>
                    <w:tl2br w:val="nil"/>
                    <w:tr2bl w:val="nil"/>
                  </w:tcBorders>
                  <w:vAlign w:val="center"/>
                </w:tcPr>
                <w:p w14:paraId="2486A3FC">
                  <w:pPr>
                    <w:autoSpaceDE/>
                    <w:autoSpaceDN/>
                    <w:spacing w:line="320" w:lineRule="exact"/>
                    <w:jc w:val="center"/>
                    <w:rPr>
                      <w:rFonts w:hint="default" w:ascii="Times New Roman" w:hAnsi="Times New Roman" w:eastAsia="宋体" w:cs="Times New Roman"/>
                      <w:color w:val="auto"/>
                      <w:sz w:val="21"/>
                      <w:szCs w:val="21"/>
                      <w:highlight w:val="none"/>
                    </w:rPr>
                  </w:pPr>
                </w:p>
              </w:tc>
              <w:tc>
                <w:tcPr>
                  <w:tcW w:w="608" w:type="pct"/>
                  <w:tcBorders>
                    <w:tl2br w:val="nil"/>
                    <w:tr2bl w:val="nil"/>
                  </w:tcBorders>
                  <w:vAlign w:val="center"/>
                </w:tcPr>
                <w:p w14:paraId="5C4DC297">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5m</w:t>
                  </w:r>
                </w:p>
              </w:tc>
              <w:tc>
                <w:tcPr>
                  <w:tcW w:w="1219" w:type="pct"/>
                  <w:tcBorders>
                    <w:tl2br w:val="nil"/>
                    <w:tr2bl w:val="nil"/>
                  </w:tcBorders>
                  <w:vAlign w:val="center"/>
                </w:tcPr>
                <w:p w14:paraId="2E2EFA5A">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44</w:t>
                  </w:r>
                </w:p>
              </w:tc>
              <w:tc>
                <w:tcPr>
                  <w:tcW w:w="1291" w:type="pct"/>
                  <w:tcBorders>
                    <w:tl2br w:val="nil"/>
                    <w:tr2bl w:val="nil"/>
                  </w:tcBorders>
                  <w:vAlign w:val="center"/>
                </w:tcPr>
                <w:p w14:paraId="5B47289C">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w:t>
                  </w:r>
                </w:p>
              </w:tc>
            </w:tr>
            <w:tr w14:paraId="4CDB5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68" w:type="pct"/>
                  <w:tcBorders>
                    <w:tl2br w:val="nil"/>
                    <w:tr2bl w:val="nil"/>
                  </w:tcBorders>
                  <w:vAlign w:val="center"/>
                </w:tcPr>
                <w:p w14:paraId="631DEF54">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413" w:type="pct"/>
                  <w:vMerge w:val="continue"/>
                  <w:tcBorders>
                    <w:tl2br w:val="nil"/>
                    <w:tr2bl w:val="nil"/>
                  </w:tcBorders>
                  <w:vAlign w:val="center"/>
                </w:tcPr>
                <w:p w14:paraId="0E735E7B">
                  <w:pPr>
                    <w:autoSpaceDE/>
                    <w:autoSpaceDN/>
                    <w:spacing w:line="320" w:lineRule="exact"/>
                    <w:jc w:val="center"/>
                    <w:rPr>
                      <w:rFonts w:hint="default" w:ascii="Times New Roman" w:hAnsi="Times New Roman" w:eastAsia="宋体" w:cs="Times New Roman"/>
                      <w:color w:val="auto"/>
                      <w:sz w:val="21"/>
                      <w:szCs w:val="21"/>
                      <w:highlight w:val="none"/>
                    </w:rPr>
                  </w:pPr>
                </w:p>
              </w:tc>
              <w:tc>
                <w:tcPr>
                  <w:tcW w:w="608" w:type="pct"/>
                  <w:tcBorders>
                    <w:tl2br w:val="nil"/>
                    <w:tr2bl w:val="nil"/>
                  </w:tcBorders>
                  <w:vAlign w:val="center"/>
                </w:tcPr>
                <w:p w14:paraId="7AFC5CE9">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10m</w:t>
                  </w:r>
                </w:p>
              </w:tc>
              <w:tc>
                <w:tcPr>
                  <w:tcW w:w="1219" w:type="pct"/>
                  <w:tcBorders>
                    <w:tl2br w:val="nil"/>
                    <w:tr2bl w:val="nil"/>
                  </w:tcBorders>
                  <w:vAlign w:val="center"/>
                </w:tcPr>
                <w:p w14:paraId="3E855ABE">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44</w:t>
                  </w:r>
                </w:p>
              </w:tc>
              <w:tc>
                <w:tcPr>
                  <w:tcW w:w="1291" w:type="pct"/>
                  <w:tcBorders>
                    <w:tl2br w:val="nil"/>
                    <w:tr2bl w:val="nil"/>
                  </w:tcBorders>
                  <w:vAlign w:val="center"/>
                </w:tcPr>
                <w:p w14:paraId="1CF70DDB">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w:t>
                  </w:r>
                </w:p>
              </w:tc>
            </w:tr>
            <w:tr w14:paraId="778CD5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68" w:type="pct"/>
                  <w:tcBorders>
                    <w:tl2br w:val="nil"/>
                    <w:tr2bl w:val="nil"/>
                  </w:tcBorders>
                  <w:vAlign w:val="center"/>
                </w:tcPr>
                <w:p w14:paraId="15432A47">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413" w:type="pct"/>
                  <w:vMerge w:val="continue"/>
                  <w:tcBorders>
                    <w:tl2br w:val="nil"/>
                    <w:tr2bl w:val="nil"/>
                  </w:tcBorders>
                  <w:vAlign w:val="center"/>
                </w:tcPr>
                <w:p w14:paraId="4CB99440">
                  <w:pPr>
                    <w:autoSpaceDE/>
                    <w:autoSpaceDN/>
                    <w:spacing w:line="320" w:lineRule="exact"/>
                    <w:jc w:val="center"/>
                    <w:rPr>
                      <w:rFonts w:hint="default" w:ascii="Times New Roman" w:hAnsi="Times New Roman" w:eastAsia="宋体" w:cs="Times New Roman"/>
                      <w:color w:val="auto"/>
                      <w:sz w:val="21"/>
                      <w:szCs w:val="21"/>
                      <w:highlight w:val="none"/>
                    </w:rPr>
                  </w:pPr>
                </w:p>
              </w:tc>
              <w:tc>
                <w:tcPr>
                  <w:tcW w:w="608" w:type="pct"/>
                  <w:tcBorders>
                    <w:tl2br w:val="nil"/>
                    <w:tr2bl w:val="nil"/>
                  </w:tcBorders>
                  <w:vAlign w:val="center"/>
                </w:tcPr>
                <w:p w14:paraId="06792668">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15m</w:t>
                  </w:r>
                </w:p>
              </w:tc>
              <w:tc>
                <w:tcPr>
                  <w:tcW w:w="1219" w:type="pct"/>
                  <w:tcBorders>
                    <w:tl2br w:val="nil"/>
                    <w:tr2bl w:val="nil"/>
                  </w:tcBorders>
                  <w:vAlign w:val="center"/>
                </w:tcPr>
                <w:p w14:paraId="70C31E5F">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43</w:t>
                  </w:r>
                </w:p>
              </w:tc>
              <w:tc>
                <w:tcPr>
                  <w:tcW w:w="1291" w:type="pct"/>
                  <w:tcBorders>
                    <w:tl2br w:val="nil"/>
                    <w:tr2bl w:val="nil"/>
                  </w:tcBorders>
                  <w:vAlign w:val="center"/>
                </w:tcPr>
                <w:p w14:paraId="0871245E">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34</w:t>
                  </w:r>
                </w:p>
              </w:tc>
            </w:tr>
            <w:tr w14:paraId="112E2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68" w:type="pct"/>
                  <w:tcBorders>
                    <w:tl2br w:val="nil"/>
                    <w:tr2bl w:val="nil"/>
                  </w:tcBorders>
                  <w:vAlign w:val="center"/>
                </w:tcPr>
                <w:p w14:paraId="70E2E305">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413" w:type="pct"/>
                  <w:vMerge w:val="continue"/>
                  <w:tcBorders>
                    <w:tl2br w:val="nil"/>
                    <w:tr2bl w:val="nil"/>
                  </w:tcBorders>
                  <w:vAlign w:val="center"/>
                </w:tcPr>
                <w:p w14:paraId="4B2C2F87">
                  <w:pPr>
                    <w:autoSpaceDE/>
                    <w:autoSpaceDN/>
                    <w:spacing w:line="320" w:lineRule="exact"/>
                    <w:jc w:val="center"/>
                    <w:rPr>
                      <w:rFonts w:hint="default" w:ascii="Times New Roman" w:hAnsi="Times New Roman" w:eastAsia="宋体" w:cs="Times New Roman"/>
                      <w:color w:val="auto"/>
                      <w:sz w:val="21"/>
                      <w:szCs w:val="21"/>
                      <w:highlight w:val="none"/>
                    </w:rPr>
                  </w:pPr>
                </w:p>
              </w:tc>
              <w:tc>
                <w:tcPr>
                  <w:tcW w:w="608" w:type="pct"/>
                  <w:tcBorders>
                    <w:tl2br w:val="nil"/>
                    <w:tr2bl w:val="nil"/>
                  </w:tcBorders>
                  <w:vAlign w:val="center"/>
                </w:tcPr>
                <w:p w14:paraId="7928197E">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20m</w:t>
                  </w:r>
                </w:p>
              </w:tc>
              <w:tc>
                <w:tcPr>
                  <w:tcW w:w="1219" w:type="pct"/>
                  <w:tcBorders>
                    <w:tl2br w:val="nil"/>
                    <w:tr2bl w:val="nil"/>
                  </w:tcBorders>
                  <w:vAlign w:val="center"/>
                </w:tcPr>
                <w:p w14:paraId="1266F39B">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44</w:t>
                  </w:r>
                </w:p>
              </w:tc>
              <w:tc>
                <w:tcPr>
                  <w:tcW w:w="1291" w:type="pct"/>
                  <w:tcBorders>
                    <w:tl2br w:val="nil"/>
                    <w:tr2bl w:val="nil"/>
                  </w:tcBorders>
                  <w:vAlign w:val="center"/>
                </w:tcPr>
                <w:p w14:paraId="129C4C77">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w:t>
                  </w:r>
                </w:p>
              </w:tc>
            </w:tr>
            <w:tr w14:paraId="6B8F2F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68" w:type="pct"/>
                  <w:tcBorders>
                    <w:tl2br w:val="nil"/>
                    <w:tr2bl w:val="nil"/>
                  </w:tcBorders>
                  <w:vAlign w:val="center"/>
                </w:tcPr>
                <w:p w14:paraId="325E36F3">
                  <w:pPr>
                    <w:autoSpaceDE/>
                    <w:autoSpaceDN/>
                    <w:spacing w:line="32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6</w:t>
                  </w:r>
                </w:p>
              </w:tc>
              <w:tc>
                <w:tcPr>
                  <w:tcW w:w="1413" w:type="pct"/>
                  <w:vMerge w:val="continue"/>
                  <w:tcBorders>
                    <w:tl2br w:val="nil"/>
                    <w:tr2bl w:val="nil"/>
                  </w:tcBorders>
                  <w:vAlign w:val="center"/>
                </w:tcPr>
                <w:p w14:paraId="636ED90C">
                  <w:pPr>
                    <w:autoSpaceDE/>
                    <w:autoSpaceDN/>
                    <w:spacing w:line="320" w:lineRule="exact"/>
                    <w:jc w:val="center"/>
                    <w:rPr>
                      <w:rFonts w:hint="default" w:ascii="Times New Roman" w:hAnsi="Times New Roman" w:eastAsia="宋体" w:cs="Times New Roman"/>
                      <w:color w:val="auto"/>
                      <w:sz w:val="21"/>
                      <w:szCs w:val="21"/>
                      <w:highlight w:val="none"/>
                    </w:rPr>
                  </w:pPr>
                </w:p>
              </w:tc>
              <w:tc>
                <w:tcPr>
                  <w:tcW w:w="608" w:type="pct"/>
                  <w:tcBorders>
                    <w:tl2br w:val="nil"/>
                    <w:tr2bl w:val="nil"/>
                  </w:tcBorders>
                  <w:vAlign w:val="center"/>
                </w:tcPr>
                <w:p w14:paraId="2E899A38">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30m</w:t>
                  </w:r>
                </w:p>
              </w:tc>
              <w:tc>
                <w:tcPr>
                  <w:tcW w:w="1219" w:type="pct"/>
                  <w:tcBorders>
                    <w:tl2br w:val="nil"/>
                    <w:tr2bl w:val="nil"/>
                  </w:tcBorders>
                  <w:vAlign w:val="center"/>
                </w:tcPr>
                <w:p w14:paraId="6FEE2FA8">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43</w:t>
                  </w:r>
                </w:p>
              </w:tc>
              <w:tc>
                <w:tcPr>
                  <w:tcW w:w="1291" w:type="pct"/>
                  <w:tcBorders>
                    <w:tl2br w:val="nil"/>
                    <w:tr2bl w:val="nil"/>
                  </w:tcBorders>
                  <w:vAlign w:val="center"/>
                </w:tcPr>
                <w:p w14:paraId="1FA72DA7">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34</w:t>
                  </w:r>
                </w:p>
              </w:tc>
            </w:tr>
            <w:tr w14:paraId="460243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68" w:type="pct"/>
                  <w:tcBorders>
                    <w:tl2br w:val="nil"/>
                    <w:tr2bl w:val="nil"/>
                  </w:tcBorders>
                  <w:vAlign w:val="center"/>
                </w:tcPr>
                <w:p w14:paraId="55C73667">
                  <w:pPr>
                    <w:autoSpaceDE/>
                    <w:autoSpaceDN/>
                    <w:spacing w:line="32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7</w:t>
                  </w:r>
                </w:p>
              </w:tc>
              <w:tc>
                <w:tcPr>
                  <w:tcW w:w="1413" w:type="pct"/>
                  <w:vMerge w:val="continue"/>
                  <w:tcBorders>
                    <w:tl2br w:val="nil"/>
                    <w:tr2bl w:val="nil"/>
                  </w:tcBorders>
                  <w:vAlign w:val="center"/>
                </w:tcPr>
                <w:p w14:paraId="567EE515">
                  <w:pPr>
                    <w:autoSpaceDE/>
                    <w:autoSpaceDN/>
                    <w:spacing w:line="320" w:lineRule="exact"/>
                    <w:jc w:val="center"/>
                    <w:rPr>
                      <w:rFonts w:hint="default" w:ascii="Times New Roman" w:hAnsi="Times New Roman" w:eastAsia="宋体" w:cs="Times New Roman"/>
                      <w:color w:val="auto"/>
                      <w:sz w:val="21"/>
                      <w:szCs w:val="21"/>
                      <w:highlight w:val="none"/>
                    </w:rPr>
                  </w:pPr>
                </w:p>
              </w:tc>
              <w:tc>
                <w:tcPr>
                  <w:tcW w:w="608" w:type="pct"/>
                  <w:tcBorders>
                    <w:tl2br w:val="nil"/>
                    <w:tr2bl w:val="nil"/>
                  </w:tcBorders>
                  <w:vAlign w:val="center"/>
                </w:tcPr>
                <w:p w14:paraId="5D274466">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40m</w:t>
                  </w:r>
                </w:p>
              </w:tc>
              <w:tc>
                <w:tcPr>
                  <w:tcW w:w="1219" w:type="pct"/>
                  <w:tcBorders>
                    <w:tl2br w:val="nil"/>
                    <w:tr2bl w:val="nil"/>
                  </w:tcBorders>
                  <w:vAlign w:val="center"/>
                </w:tcPr>
                <w:p w14:paraId="4677DADD">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43</w:t>
                  </w:r>
                </w:p>
              </w:tc>
              <w:tc>
                <w:tcPr>
                  <w:tcW w:w="1291" w:type="pct"/>
                  <w:tcBorders>
                    <w:tl2br w:val="nil"/>
                    <w:tr2bl w:val="nil"/>
                  </w:tcBorders>
                  <w:vAlign w:val="center"/>
                </w:tcPr>
                <w:p w14:paraId="7F143A01">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34</w:t>
                  </w:r>
                </w:p>
              </w:tc>
            </w:tr>
          </w:tbl>
          <w:p w14:paraId="3E082A27">
            <w:pPr>
              <w:spacing w:line="360" w:lineRule="auto"/>
              <w:ind w:firstLine="520" w:firstLineChars="200"/>
              <w:rPr>
                <w:rFonts w:hint="default" w:ascii="Times New Roman" w:hAnsi="Times New Roman" w:eastAsia="宋体" w:cs="Times New Roman"/>
                <w:bCs/>
                <w:color w:val="auto"/>
                <w:spacing w:val="10"/>
                <w:sz w:val="24"/>
                <w:highlight w:val="none"/>
              </w:rPr>
            </w:pPr>
            <w:r>
              <w:rPr>
                <w:rFonts w:hint="default" w:ascii="Times New Roman" w:hAnsi="Times New Roman" w:eastAsia="宋体" w:cs="Times New Roman"/>
                <w:bCs/>
                <w:color w:val="auto"/>
                <w:spacing w:val="10"/>
                <w:sz w:val="24"/>
                <w:highlight w:val="none"/>
              </w:rPr>
              <w:t>监测结果分析：</w:t>
            </w:r>
          </w:p>
          <w:p w14:paraId="5A45E326">
            <w:pPr>
              <w:spacing w:line="360" w:lineRule="auto"/>
              <w:ind w:firstLine="520" w:firstLineChars="200"/>
              <w:rPr>
                <w:rFonts w:hint="default" w:ascii="Times New Roman" w:hAnsi="Times New Roman" w:eastAsia="宋体" w:cs="Times New Roman"/>
                <w:bCs/>
                <w:color w:val="auto"/>
                <w:spacing w:val="10"/>
                <w:sz w:val="24"/>
                <w:highlight w:val="none"/>
              </w:rPr>
            </w:pPr>
            <w:r>
              <w:rPr>
                <w:rFonts w:hint="default" w:ascii="Times New Roman" w:hAnsi="Times New Roman" w:eastAsia="宋体" w:cs="Times New Roman"/>
                <w:bCs/>
                <w:color w:val="auto"/>
                <w:spacing w:val="10"/>
                <w:sz w:val="24"/>
                <w:highlight w:val="none"/>
              </w:rPr>
              <w:t>国家电投神源围场御道口300MW牧光互补光伏发电项目220kV线路工程</w:t>
            </w:r>
            <w:r>
              <w:rPr>
                <w:rFonts w:hint="default" w:ascii="Times New Roman" w:hAnsi="Times New Roman" w:eastAsia="宋体" w:cs="Times New Roman"/>
                <w:bCs/>
                <w:color w:val="auto"/>
                <w:spacing w:val="10"/>
                <w:sz w:val="24"/>
                <w:highlight w:val="none"/>
                <w:lang w:eastAsia="zh-CN"/>
              </w:rPr>
              <w:t>的御道口-塞罕坝220kV</w:t>
            </w:r>
            <w:r>
              <w:rPr>
                <w:rFonts w:hint="default" w:ascii="Times New Roman" w:hAnsi="Times New Roman" w:eastAsia="宋体" w:cs="Times New Roman"/>
                <w:bCs/>
                <w:color w:val="auto"/>
                <w:spacing w:val="10"/>
                <w:sz w:val="24"/>
                <w:highlight w:val="none"/>
              </w:rPr>
              <w:t>送出架空线路声环境监测断面的昼间噪声监测值为4</w:t>
            </w:r>
            <w:r>
              <w:rPr>
                <w:rFonts w:hint="default" w:ascii="Times New Roman" w:hAnsi="Times New Roman" w:eastAsia="宋体" w:cs="Times New Roman"/>
                <w:bCs/>
                <w:color w:val="auto"/>
                <w:spacing w:val="10"/>
                <w:sz w:val="24"/>
                <w:highlight w:val="none"/>
                <w:lang w:val="en-US" w:eastAsia="zh-CN"/>
              </w:rPr>
              <w:t>3</w:t>
            </w:r>
            <w:r>
              <w:rPr>
                <w:rFonts w:hint="default" w:ascii="Times New Roman" w:hAnsi="Times New Roman" w:eastAsia="宋体" w:cs="Times New Roman"/>
                <w:bCs/>
                <w:color w:val="auto"/>
                <w:spacing w:val="10"/>
                <w:sz w:val="24"/>
                <w:highlight w:val="none"/>
              </w:rPr>
              <w:t>dB（A）~4</w:t>
            </w:r>
            <w:r>
              <w:rPr>
                <w:rFonts w:hint="default" w:ascii="Times New Roman" w:hAnsi="Times New Roman" w:eastAsia="宋体" w:cs="Times New Roman"/>
                <w:bCs/>
                <w:color w:val="auto"/>
                <w:spacing w:val="10"/>
                <w:sz w:val="24"/>
                <w:highlight w:val="none"/>
                <w:lang w:val="en-US" w:eastAsia="zh-CN"/>
              </w:rPr>
              <w:t>5</w:t>
            </w:r>
            <w:r>
              <w:rPr>
                <w:rFonts w:hint="default" w:ascii="Times New Roman" w:hAnsi="Times New Roman" w:eastAsia="宋体" w:cs="Times New Roman"/>
                <w:bCs/>
                <w:color w:val="auto"/>
                <w:spacing w:val="10"/>
                <w:sz w:val="24"/>
                <w:highlight w:val="none"/>
              </w:rPr>
              <w:t>dB（A），夜间噪声监测值为3</w:t>
            </w:r>
            <w:r>
              <w:rPr>
                <w:rFonts w:hint="default" w:ascii="Times New Roman" w:hAnsi="Times New Roman" w:eastAsia="宋体" w:cs="Times New Roman"/>
                <w:bCs/>
                <w:color w:val="auto"/>
                <w:spacing w:val="10"/>
                <w:sz w:val="24"/>
                <w:highlight w:val="none"/>
                <w:lang w:val="en-US" w:eastAsia="zh-CN"/>
              </w:rPr>
              <w:t>4</w:t>
            </w:r>
            <w:r>
              <w:rPr>
                <w:rFonts w:hint="default" w:ascii="Times New Roman" w:hAnsi="Times New Roman" w:eastAsia="宋体" w:cs="Times New Roman"/>
                <w:bCs/>
                <w:color w:val="auto"/>
                <w:spacing w:val="10"/>
                <w:sz w:val="24"/>
                <w:highlight w:val="none"/>
              </w:rPr>
              <w:t>dB（A）~</w:t>
            </w:r>
            <w:r>
              <w:rPr>
                <w:rFonts w:hint="default" w:ascii="Times New Roman" w:hAnsi="Times New Roman" w:eastAsia="宋体" w:cs="Times New Roman"/>
                <w:bCs/>
                <w:color w:val="auto"/>
                <w:spacing w:val="10"/>
                <w:sz w:val="24"/>
                <w:highlight w:val="none"/>
                <w:lang w:val="en-US" w:eastAsia="zh-CN"/>
              </w:rPr>
              <w:t>36</w:t>
            </w:r>
            <w:r>
              <w:rPr>
                <w:rFonts w:hint="default" w:ascii="Times New Roman" w:hAnsi="Times New Roman" w:eastAsia="宋体" w:cs="Times New Roman"/>
                <w:bCs/>
                <w:color w:val="auto"/>
                <w:spacing w:val="10"/>
                <w:sz w:val="24"/>
                <w:highlight w:val="none"/>
              </w:rPr>
              <w:t>dB（A），满足《声环境质量标准》（GB3096-2008）1类声环境功能区标准限值要求。</w:t>
            </w:r>
          </w:p>
          <w:p w14:paraId="4627FF7F">
            <w:pPr>
              <w:spacing w:line="360" w:lineRule="auto"/>
              <w:ind w:firstLine="520" w:firstLineChars="200"/>
              <w:rPr>
                <w:rFonts w:hint="default" w:ascii="Times New Roman" w:hAnsi="Times New Roman" w:eastAsia="宋体" w:cs="Times New Roman"/>
                <w:bCs/>
                <w:color w:val="auto"/>
                <w:spacing w:val="10"/>
                <w:sz w:val="24"/>
                <w:highlight w:val="none"/>
              </w:rPr>
            </w:pPr>
            <w:r>
              <w:rPr>
                <w:rFonts w:hint="default" w:ascii="Times New Roman" w:hAnsi="Times New Roman" w:eastAsia="宋体" w:cs="Times New Roman"/>
                <w:bCs/>
                <w:color w:val="auto"/>
                <w:spacing w:val="10"/>
                <w:sz w:val="24"/>
                <w:highlight w:val="none"/>
              </w:rPr>
              <w:t>⑥类比分析结论</w:t>
            </w:r>
          </w:p>
          <w:p w14:paraId="07818B0C">
            <w:pPr>
              <w:spacing w:line="360" w:lineRule="auto"/>
              <w:ind w:firstLine="52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pacing w:val="10"/>
                <w:sz w:val="24"/>
                <w:highlight w:val="none"/>
              </w:rPr>
              <w:t>综上所述，根据国家电投神源围场御道口300MW牧光互补光伏发电项目220kV线路工程</w:t>
            </w:r>
            <w:r>
              <w:rPr>
                <w:rFonts w:hint="default" w:ascii="Times New Roman" w:hAnsi="Times New Roman" w:eastAsia="宋体" w:cs="Times New Roman"/>
                <w:bCs/>
                <w:color w:val="auto"/>
                <w:spacing w:val="10"/>
                <w:sz w:val="24"/>
                <w:highlight w:val="none"/>
                <w:lang w:eastAsia="zh-CN"/>
              </w:rPr>
              <w:t>的御道口-塞罕坝220kV</w:t>
            </w:r>
            <w:r>
              <w:rPr>
                <w:rFonts w:hint="default" w:ascii="Times New Roman" w:hAnsi="Times New Roman" w:eastAsia="宋体" w:cs="Times New Roman"/>
                <w:bCs/>
                <w:color w:val="auto"/>
                <w:spacing w:val="10"/>
                <w:sz w:val="24"/>
                <w:highlight w:val="none"/>
              </w:rPr>
              <w:t>送出架空线路声环境监测断面监测实测结果可知，本项目投入运营后全线亦会符合《声环境质量标准》（GB3096－2008）1类声环境功能区标准要求。本项目</w:t>
            </w:r>
            <w:r>
              <w:rPr>
                <w:rFonts w:hint="default" w:ascii="Times New Roman" w:hAnsi="Times New Roman" w:eastAsia="宋体" w:cs="Times New Roman"/>
                <w:color w:val="auto"/>
                <w:sz w:val="24"/>
                <w:highlight w:val="none"/>
              </w:rPr>
              <w:t>河北滦河上游国家级自然保护区段</w:t>
            </w:r>
            <w:r>
              <w:rPr>
                <w:rFonts w:hint="default" w:ascii="Times New Roman" w:hAnsi="Times New Roman" w:eastAsia="宋体" w:cs="Times New Roman"/>
                <w:bCs/>
                <w:color w:val="auto"/>
                <w:spacing w:val="10"/>
                <w:sz w:val="24"/>
                <w:highlight w:val="none"/>
              </w:rPr>
              <w:t>满足《声环境质量标准》（GB3096－2008）1类标准要求，因此，本项目220kV架空线路建成后，对区域声环境质量影响轻微。</w:t>
            </w:r>
          </w:p>
          <w:p w14:paraId="0FC01205">
            <w:pPr>
              <w:spacing w:line="480" w:lineRule="exact"/>
              <w:ind w:firstLine="482"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bCs/>
                <w:color w:val="auto"/>
                <w:sz w:val="24"/>
                <w:szCs w:val="24"/>
                <w:highlight w:val="none"/>
              </w:rPr>
              <w:t>三</w:t>
            </w:r>
            <w:r>
              <w:rPr>
                <w:rFonts w:hint="default" w:ascii="Times New Roman" w:hAnsi="Times New Roman" w:eastAsia="宋体" w:cs="Times New Roman"/>
                <w:b/>
                <w:color w:val="auto"/>
                <w:sz w:val="24"/>
                <w:szCs w:val="24"/>
                <w:highlight w:val="none"/>
              </w:rPr>
              <w:t>、生态影响分析</w:t>
            </w:r>
          </w:p>
          <w:p w14:paraId="5680084E">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工程施工结束后对临时占地及时恢复。优先使用原生表土和选用乡土物种进行生态恢复，防止外来生物入侵，构建与周边生态环境相协调的植物群落，最终形成可自我维持的生态系统。投入运行后对恢复植被进行定期养护，确保成活率和生物量。因此，本项目输电线路建设对周围生态环境影响较小。</w:t>
            </w:r>
          </w:p>
          <w:p w14:paraId="08CB84E9">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本项目线路工程运行期主要是线路的巡护，对生态环境基本无影响。</w:t>
            </w:r>
          </w:p>
          <w:p w14:paraId="02B699B1">
            <w:pPr>
              <w:spacing w:line="480" w:lineRule="exact"/>
              <w:ind w:firstLine="482"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四、大气环境、水环境、固体废物、环境风险影响分析</w:t>
            </w:r>
          </w:p>
          <w:p w14:paraId="3232D3DF">
            <w:pPr>
              <w:pStyle w:val="41"/>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本项目建设220kV线路运行后，不新增劳动定员，不新增用水，不涉及废气、废水、固体废物产生，不涉及环境风险物质，对周边环境无影响。</w:t>
            </w:r>
          </w:p>
        </w:tc>
      </w:tr>
      <w:tr w14:paraId="656A85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4" w:hRule="atLeast"/>
        </w:trPr>
        <w:tc>
          <w:tcPr>
            <w:tcW w:w="993" w:type="dxa"/>
            <w:tcBorders>
              <w:top w:val="single" w:color="000000" w:sz="4" w:space="0"/>
              <w:right w:val="single" w:color="000000" w:sz="4" w:space="0"/>
            </w:tcBorders>
            <w:vAlign w:val="center"/>
          </w:tcPr>
          <w:p w14:paraId="368F09B0">
            <w:pPr>
              <w:pStyle w:val="41"/>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选址选线环境合理性分析</w:t>
            </w:r>
          </w:p>
        </w:tc>
        <w:tc>
          <w:tcPr>
            <w:tcW w:w="8505" w:type="dxa"/>
            <w:tcBorders>
              <w:top w:val="single" w:color="000000" w:sz="4" w:space="0"/>
              <w:left w:val="single" w:color="000000" w:sz="4" w:space="0"/>
            </w:tcBorders>
            <w:vAlign w:val="center"/>
          </w:tcPr>
          <w:p w14:paraId="28738393">
            <w:pPr>
              <w:tabs>
                <w:tab w:val="left" w:pos="2445"/>
              </w:tabs>
              <w:spacing w:line="360" w:lineRule="auto"/>
              <w:ind w:firstLine="482" w:firstLineChars="200"/>
              <w:rPr>
                <w:rFonts w:hint="default" w:ascii="Times New Roman" w:hAnsi="Times New Roman" w:eastAsia="宋体" w:cs="Times New Roman"/>
                <w:b/>
                <w:bCs/>
                <w:iCs/>
                <w:color w:val="auto"/>
                <w:kern w:val="13"/>
                <w:sz w:val="24"/>
                <w:highlight w:val="none"/>
              </w:rPr>
            </w:pPr>
            <w:r>
              <w:rPr>
                <w:rFonts w:hint="default" w:ascii="Times New Roman" w:hAnsi="Times New Roman" w:eastAsia="宋体" w:cs="Times New Roman"/>
                <w:b/>
                <w:bCs/>
                <w:iCs/>
                <w:color w:val="auto"/>
                <w:kern w:val="13"/>
                <w:sz w:val="24"/>
                <w:highlight w:val="none"/>
              </w:rPr>
              <w:t>一、线路比选</w:t>
            </w:r>
          </w:p>
          <w:p w14:paraId="728B61AF">
            <w:pPr>
              <w:tabs>
                <w:tab w:val="left" w:pos="2445"/>
              </w:tabs>
              <w:spacing w:line="360" w:lineRule="auto"/>
              <w:ind w:firstLine="480" w:firstLineChars="200"/>
              <w:rPr>
                <w:rFonts w:hint="default" w:ascii="Times New Roman" w:hAnsi="Times New Roman" w:eastAsia="宋体" w:cs="Times New Roman"/>
                <w:iCs/>
                <w:color w:val="auto"/>
                <w:kern w:val="13"/>
                <w:sz w:val="24"/>
                <w:highlight w:val="none"/>
              </w:rPr>
            </w:pPr>
            <w:r>
              <w:rPr>
                <w:rFonts w:hint="default" w:ascii="Times New Roman" w:hAnsi="Times New Roman" w:eastAsia="宋体" w:cs="Times New Roman"/>
                <w:iCs/>
                <w:color w:val="auto"/>
                <w:kern w:val="13"/>
                <w:sz w:val="24"/>
                <w:highlight w:val="none"/>
              </w:rPr>
              <w:t>1、输电线路选择原则</w:t>
            </w:r>
          </w:p>
          <w:p w14:paraId="682F7B1F">
            <w:pPr>
              <w:tabs>
                <w:tab w:val="left" w:pos="2445"/>
              </w:tabs>
              <w:spacing w:line="360" w:lineRule="auto"/>
              <w:ind w:firstLine="480" w:firstLineChars="200"/>
              <w:rPr>
                <w:rFonts w:hint="default" w:ascii="Times New Roman" w:hAnsi="Times New Roman" w:eastAsia="宋体" w:cs="Times New Roman"/>
                <w:iCs/>
                <w:color w:val="auto"/>
                <w:kern w:val="13"/>
                <w:sz w:val="24"/>
                <w:highlight w:val="none"/>
              </w:rPr>
            </w:pPr>
            <w:r>
              <w:rPr>
                <w:rFonts w:hint="default" w:ascii="Times New Roman" w:hAnsi="Times New Roman" w:eastAsia="宋体" w:cs="Times New Roman"/>
                <w:iCs/>
                <w:color w:val="auto"/>
                <w:kern w:val="13"/>
                <w:sz w:val="24"/>
                <w:highlight w:val="none"/>
              </w:rPr>
              <w:t>（1）降低环境影响：路径选择应尽量避开自然保护区、国有林地、永久基本农田等场所，减少对自然环境的破坏。在必须穿越这些区域时，应采取有效措施降低影响。</w:t>
            </w:r>
          </w:p>
          <w:p w14:paraId="00933A8B">
            <w:pPr>
              <w:tabs>
                <w:tab w:val="left" w:pos="2445"/>
              </w:tabs>
              <w:spacing w:line="360" w:lineRule="auto"/>
              <w:ind w:firstLine="480" w:firstLineChars="200"/>
              <w:rPr>
                <w:rFonts w:hint="default" w:ascii="Times New Roman" w:hAnsi="Times New Roman" w:eastAsia="宋体" w:cs="Times New Roman"/>
                <w:iCs/>
                <w:color w:val="auto"/>
                <w:kern w:val="13"/>
                <w:sz w:val="24"/>
                <w:highlight w:val="none"/>
              </w:rPr>
            </w:pPr>
            <w:r>
              <w:rPr>
                <w:rFonts w:hint="default" w:ascii="Times New Roman" w:hAnsi="Times New Roman" w:eastAsia="宋体" w:cs="Times New Roman"/>
                <w:iCs/>
                <w:color w:val="auto"/>
                <w:kern w:val="13"/>
                <w:sz w:val="24"/>
                <w:highlight w:val="none"/>
              </w:rPr>
              <w:t>（2）保护生态环境：在设计过程中，应注重生态保护，避免对野生动物栖息地和生态系统的破坏。同时，应充分考虑线路对沿线居民生活的影响，尽量降低噪音、电磁辐射等不利因素。</w:t>
            </w:r>
          </w:p>
          <w:p w14:paraId="2B3997A7">
            <w:pPr>
              <w:tabs>
                <w:tab w:val="left" w:pos="2445"/>
              </w:tabs>
              <w:spacing w:line="360" w:lineRule="auto"/>
              <w:ind w:firstLine="480" w:firstLineChars="200"/>
              <w:rPr>
                <w:rFonts w:hint="default" w:ascii="Times New Roman" w:hAnsi="Times New Roman" w:eastAsia="宋体" w:cs="Times New Roman"/>
                <w:iCs/>
                <w:color w:val="auto"/>
                <w:kern w:val="13"/>
                <w:sz w:val="24"/>
                <w:highlight w:val="none"/>
              </w:rPr>
            </w:pPr>
            <w:r>
              <w:rPr>
                <w:rFonts w:hint="default" w:ascii="Times New Roman" w:hAnsi="Times New Roman" w:eastAsia="宋体" w:cs="Times New Roman"/>
                <w:iCs/>
                <w:color w:val="auto"/>
                <w:kern w:val="13"/>
                <w:sz w:val="24"/>
                <w:highlight w:val="none"/>
              </w:rPr>
              <w:t>（3）确保线路安全：路径选择必须考虑传输线的安全操作要求，防止发生安全事故。应避免线路与建筑物之间的交叉点设计不当导致的安全隐患；在穿过人口稠密地区时，应采取特殊措施确保线路安全。</w:t>
            </w:r>
          </w:p>
          <w:p w14:paraId="5B7B9B23">
            <w:pPr>
              <w:tabs>
                <w:tab w:val="left" w:pos="2445"/>
              </w:tabs>
              <w:spacing w:line="360" w:lineRule="auto"/>
              <w:ind w:firstLine="480" w:firstLineChars="200"/>
              <w:rPr>
                <w:rFonts w:hint="default" w:ascii="Times New Roman" w:hAnsi="Times New Roman" w:eastAsia="宋体" w:cs="Times New Roman"/>
                <w:iCs/>
                <w:color w:val="auto"/>
                <w:kern w:val="13"/>
                <w:sz w:val="24"/>
                <w:highlight w:val="none"/>
              </w:rPr>
            </w:pPr>
            <w:r>
              <w:rPr>
                <w:rFonts w:hint="default" w:ascii="Times New Roman" w:hAnsi="Times New Roman" w:eastAsia="宋体" w:cs="Times New Roman"/>
                <w:iCs/>
                <w:color w:val="auto"/>
                <w:kern w:val="13"/>
                <w:sz w:val="24"/>
                <w:highlight w:val="none"/>
              </w:rPr>
              <w:t>（4）路径选择应以交通便利和经济适用为基本理念，尽可能减少线路长度，降低施工和维护成本，同时确保施工资费的合理性。</w:t>
            </w:r>
          </w:p>
          <w:p w14:paraId="2FFB7F45">
            <w:pPr>
              <w:tabs>
                <w:tab w:val="left" w:pos="2445"/>
              </w:tabs>
              <w:spacing w:line="360" w:lineRule="auto"/>
              <w:ind w:firstLine="480" w:firstLineChars="200"/>
              <w:rPr>
                <w:rFonts w:hint="default" w:ascii="Times New Roman" w:hAnsi="Times New Roman" w:eastAsia="宋体" w:cs="Times New Roman"/>
                <w:iCs/>
                <w:color w:val="auto"/>
                <w:kern w:val="13"/>
                <w:sz w:val="24"/>
                <w:highlight w:val="none"/>
              </w:rPr>
            </w:pPr>
            <w:r>
              <w:rPr>
                <w:rFonts w:hint="default" w:ascii="Times New Roman" w:hAnsi="Times New Roman" w:eastAsia="宋体" w:cs="Times New Roman"/>
                <w:iCs/>
                <w:color w:val="auto"/>
                <w:kern w:val="13"/>
                <w:sz w:val="24"/>
                <w:highlight w:val="none"/>
              </w:rPr>
              <w:t>2、方案比选</w:t>
            </w:r>
          </w:p>
          <w:p w14:paraId="5E4E4B4A">
            <w:pPr>
              <w:tabs>
                <w:tab w:val="left" w:pos="2445"/>
              </w:tabs>
              <w:spacing w:line="360" w:lineRule="auto"/>
              <w:ind w:firstLine="480" w:firstLineChars="200"/>
              <w:rPr>
                <w:rFonts w:hint="default" w:ascii="Times New Roman" w:hAnsi="Times New Roman" w:eastAsia="宋体" w:cs="Times New Roman"/>
                <w:iCs/>
                <w:color w:val="auto"/>
                <w:kern w:val="13"/>
                <w:sz w:val="24"/>
                <w:highlight w:val="none"/>
              </w:rPr>
            </w:pPr>
            <w:r>
              <w:rPr>
                <w:rFonts w:hint="default" w:ascii="Times New Roman" w:hAnsi="Times New Roman" w:eastAsia="宋体" w:cs="Times New Roman"/>
                <w:iCs/>
                <w:color w:val="auto"/>
                <w:kern w:val="13"/>
                <w:sz w:val="24"/>
                <w:highlight w:val="none"/>
              </w:rPr>
              <w:t>本项目线路起于华能围场风光储氢热一体化项目（光伏200MW）升压站，止于华能围场风光储氢热一体化项目（风电200MW）升压站，线路长度为22.99km，线路的起点和终点位于河北滦河上游国家级自然保护区一南一北。</w:t>
            </w:r>
          </w:p>
          <w:p w14:paraId="7CAB2BD2">
            <w:pPr>
              <w:tabs>
                <w:tab w:val="left" w:pos="2445"/>
              </w:tabs>
              <w:spacing w:line="360" w:lineRule="auto"/>
              <w:ind w:firstLine="480" w:firstLineChars="200"/>
              <w:rPr>
                <w:rFonts w:hint="default" w:ascii="Times New Roman" w:hAnsi="Times New Roman" w:eastAsia="宋体" w:cs="Times New Roman"/>
                <w:iCs/>
                <w:color w:val="auto"/>
                <w:kern w:val="13"/>
                <w:sz w:val="24"/>
                <w:highlight w:val="none"/>
              </w:rPr>
            </w:pPr>
            <w:r>
              <w:rPr>
                <w:rFonts w:hint="default" w:ascii="Times New Roman" w:hAnsi="Times New Roman" w:eastAsia="宋体" w:cs="Times New Roman"/>
                <w:iCs/>
                <w:color w:val="auto"/>
                <w:kern w:val="13"/>
                <w:sz w:val="24"/>
                <w:highlight w:val="none"/>
              </w:rPr>
              <w:t>方案一（完全避让保护区方案）：线路出光伏升压站后若向西绕行，线路长度增加至63km 左右，线路单公里造价大概为150万元，成本大概增加4950 万元，塔基大概增加100 座，塔基增加需要占用的面积随之增加，需要砍伐的树木也会增多，破坏森林生态环境，估计占用永久基本农田600m</w:t>
            </w:r>
            <w:r>
              <w:rPr>
                <w:rFonts w:hint="default" w:ascii="Times New Roman" w:hAnsi="Times New Roman" w:eastAsia="宋体" w:cs="Times New Roman"/>
                <w:iCs/>
                <w:color w:val="auto"/>
                <w:kern w:val="13"/>
                <w:sz w:val="24"/>
                <w:highlight w:val="none"/>
                <w:vertAlign w:val="superscript"/>
              </w:rPr>
              <w:t>2</w:t>
            </w:r>
            <w:r>
              <w:rPr>
                <w:rFonts w:hint="default" w:ascii="Times New Roman" w:hAnsi="Times New Roman" w:eastAsia="宋体" w:cs="Times New Roman"/>
                <w:iCs/>
                <w:color w:val="auto"/>
                <w:kern w:val="13"/>
                <w:sz w:val="24"/>
                <w:highlight w:val="none"/>
              </w:rPr>
              <w:t>。且绕行区域地形复杂，施工难度较大，安全系数较低。线路长度与22.99km相比过长，根据电压等级和导线参数，大概每10km压降1.1％，向西绕行大概会导致降压7%，影响电力输送。</w:t>
            </w:r>
          </w:p>
          <w:p w14:paraId="4DBD249A">
            <w:pPr>
              <w:tabs>
                <w:tab w:val="left" w:pos="2445"/>
              </w:tabs>
              <w:spacing w:line="360" w:lineRule="auto"/>
              <w:ind w:firstLine="480" w:firstLineChars="200"/>
              <w:rPr>
                <w:rFonts w:hint="default" w:ascii="Times New Roman" w:hAnsi="Times New Roman" w:eastAsia="宋体" w:cs="Times New Roman"/>
                <w:iCs/>
                <w:color w:val="auto"/>
                <w:kern w:val="13"/>
                <w:sz w:val="24"/>
                <w:highlight w:val="none"/>
              </w:rPr>
            </w:pPr>
            <w:r>
              <w:rPr>
                <w:rFonts w:hint="default" w:ascii="Times New Roman" w:hAnsi="Times New Roman" w:eastAsia="宋体" w:cs="Times New Roman"/>
                <w:iCs/>
                <w:color w:val="auto"/>
                <w:kern w:val="13"/>
                <w:sz w:val="24"/>
                <w:highlight w:val="none"/>
              </w:rPr>
              <w:t>方案二（最短穿越保护区方案）：线路出光伏升压站后向东避让保护区，再向东南并入路径，此方案长度22.19km，穿越保护区长度5459.90m，此方案在保护区内塔基个数减少，占地面积少，但是向东避让区域有村庄和永久基本农田，永久基本农田分布较为广泛连续，无法满足塔基设置的最远距离，若选择此方案无法避让占用永久基本农田。且多为山谷地区，山顶之间的距离过长，输电线路应充分考虑电压等级、地形地貌、安全要求等多种因素，遵循相关的规定和标准以确保线路的安全运行和减少对周围环境的影响，方案二超过塔基最长相距400m的限制，不具备设计条件和施工条件。</w:t>
            </w:r>
          </w:p>
          <w:p w14:paraId="6C3217F6">
            <w:pPr>
              <w:tabs>
                <w:tab w:val="left" w:pos="2445"/>
              </w:tabs>
              <w:spacing w:line="360" w:lineRule="auto"/>
              <w:ind w:firstLine="480" w:firstLineChars="200"/>
              <w:rPr>
                <w:rFonts w:hint="default" w:ascii="Times New Roman" w:hAnsi="Times New Roman" w:eastAsia="宋体" w:cs="Times New Roman"/>
                <w:iCs/>
                <w:color w:val="auto"/>
                <w:kern w:val="13"/>
                <w:sz w:val="24"/>
                <w:highlight w:val="none"/>
              </w:rPr>
            </w:pPr>
            <w:r>
              <w:rPr>
                <w:rFonts w:hint="default" w:ascii="Times New Roman" w:hAnsi="Times New Roman" w:eastAsia="宋体" w:cs="Times New Roman"/>
                <w:iCs/>
                <w:color w:val="auto"/>
                <w:kern w:val="13"/>
                <w:sz w:val="24"/>
                <w:highlight w:val="none"/>
              </w:rPr>
              <w:t>方案三（可行方案）：自华能围场光伏220kV 升压站出线后，向东南方向走线，跨越国有林地和永久基本农田后，至二道岔北山附近后左转向东偏北方向，跨越部分基本草原后至四道岔北山附近后右转向东南方向，跨越国有林地后，至大梁子台核心保护区最东侧边界，右转向南跨越国有林地后，左转向东南方向避让基本草原和永久基本农田后，右转跨越永久基本农田，至石人山北侧基本草原附近，跨越基本草原左转至华能200兆瓦风电升压站西侧附近后进站。此方案线路长度22.99km，穿越保护区实验区9094.58m</w:t>
            </w:r>
            <w:r>
              <w:rPr>
                <w:rFonts w:hint="default" w:ascii="Times New Roman" w:hAnsi="Times New Roman" w:eastAsia="宋体" w:cs="Times New Roman"/>
                <w:iCs/>
                <w:color w:val="auto"/>
                <w:kern w:val="13"/>
                <w:sz w:val="24"/>
                <w:highlight w:val="none"/>
                <w:lang w:eastAsia="zh-CN"/>
              </w:rPr>
              <w:t>（保护区内塔基</w:t>
            </w:r>
            <w:r>
              <w:rPr>
                <w:rFonts w:hint="default" w:ascii="Times New Roman" w:hAnsi="Times New Roman" w:eastAsia="宋体" w:cs="Times New Roman"/>
                <w:iCs/>
                <w:color w:val="auto"/>
                <w:kern w:val="13"/>
                <w:sz w:val="24"/>
                <w:highlight w:val="none"/>
                <w:lang w:val="en-US" w:eastAsia="zh-CN"/>
              </w:rPr>
              <w:t>23基</w:t>
            </w:r>
            <w:r>
              <w:rPr>
                <w:rFonts w:hint="default" w:ascii="Times New Roman" w:hAnsi="Times New Roman" w:eastAsia="宋体" w:cs="Times New Roman"/>
                <w:iCs/>
                <w:color w:val="auto"/>
                <w:kern w:val="13"/>
                <w:sz w:val="24"/>
                <w:highlight w:val="none"/>
                <w:lang w:eastAsia="zh-CN"/>
              </w:rPr>
              <w:t>）</w:t>
            </w:r>
            <w:r>
              <w:rPr>
                <w:rFonts w:hint="default" w:ascii="Times New Roman" w:hAnsi="Times New Roman" w:eastAsia="宋体" w:cs="Times New Roman"/>
                <w:iCs/>
                <w:color w:val="auto"/>
                <w:kern w:val="13"/>
                <w:sz w:val="24"/>
                <w:highlight w:val="none"/>
              </w:rPr>
              <w:t>，不占用永久基本农田和村庄，地形较为简单，满足塔基和架线的施工条件。由于进入保护区后路径东侧有规划克什克腾-承德围场高速公路，所以线路未进入保护区缓冲区。</w:t>
            </w:r>
          </w:p>
          <w:p w14:paraId="58CE2769">
            <w:pPr>
              <w:tabs>
                <w:tab w:val="left" w:pos="2445"/>
              </w:tabs>
              <w:spacing w:line="36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062220" cy="3345815"/>
                  <wp:effectExtent l="0" t="0" r="5080" b="698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9"/>
                          <a:stretch>
                            <a:fillRect/>
                          </a:stretch>
                        </pic:blipFill>
                        <pic:spPr>
                          <a:xfrm>
                            <a:off x="0" y="0"/>
                            <a:ext cx="5062220" cy="3345815"/>
                          </a:xfrm>
                          <a:prstGeom prst="rect">
                            <a:avLst/>
                          </a:prstGeom>
                          <a:noFill/>
                          <a:ln>
                            <a:noFill/>
                          </a:ln>
                        </pic:spPr>
                      </pic:pic>
                    </a:graphicData>
                  </a:graphic>
                </wp:inline>
              </w:drawing>
            </w:r>
          </w:p>
          <w:p w14:paraId="77CAC879">
            <w:pPr>
              <w:tabs>
                <w:tab w:val="left" w:pos="2445"/>
              </w:tabs>
              <w:spacing w:line="36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图4-1  线路路径比选方案</w:t>
            </w:r>
          </w:p>
          <w:p w14:paraId="3979C849">
            <w:pPr>
              <w:tabs>
                <w:tab w:val="left" w:pos="2445"/>
              </w:tabs>
              <w:spacing w:line="360" w:lineRule="auto"/>
              <w:ind w:firstLine="480" w:firstLineChars="200"/>
              <w:rPr>
                <w:rFonts w:hint="default" w:ascii="Times New Roman" w:hAnsi="Times New Roman" w:eastAsia="宋体" w:cs="Times New Roman"/>
                <w:iCs/>
                <w:color w:val="auto"/>
                <w:kern w:val="13"/>
                <w:sz w:val="24"/>
                <w:highlight w:val="none"/>
              </w:rPr>
            </w:pPr>
            <w:r>
              <w:rPr>
                <w:rFonts w:hint="default" w:ascii="Times New Roman" w:hAnsi="Times New Roman" w:eastAsia="宋体" w:cs="Times New Roman"/>
                <w:iCs/>
                <w:color w:val="auto"/>
                <w:kern w:val="13"/>
                <w:sz w:val="24"/>
                <w:highlight w:val="none"/>
              </w:rPr>
              <w:t>3、比选结果</w:t>
            </w:r>
          </w:p>
          <w:p w14:paraId="10057BF4">
            <w:pPr>
              <w:tabs>
                <w:tab w:val="left" w:pos="2445"/>
              </w:tabs>
              <w:spacing w:line="360" w:lineRule="auto"/>
              <w:ind w:firstLine="480" w:firstLineChars="200"/>
              <w:rPr>
                <w:rFonts w:hint="default" w:ascii="Times New Roman" w:hAnsi="Times New Roman" w:eastAsia="宋体" w:cs="Times New Roman"/>
                <w:iCs/>
                <w:color w:val="auto"/>
                <w:kern w:val="13"/>
                <w:sz w:val="24"/>
                <w:highlight w:val="none"/>
              </w:rPr>
            </w:pPr>
            <w:r>
              <w:rPr>
                <w:rFonts w:hint="default" w:ascii="Times New Roman" w:hAnsi="Times New Roman" w:eastAsia="宋体" w:cs="Times New Roman"/>
                <w:iCs/>
                <w:color w:val="auto"/>
                <w:kern w:val="13"/>
                <w:sz w:val="24"/>
                <w:highlight w:val="none"/>
              </w:rPr>
              <w:t>在考虑山地路径选取和地形的基础上，综合考虑架空线路路径，以最大程度减少对生态红线的占地，对永久基本农田零占地，加之考虑施工可行性等因素，最终确定选择方案三为此次项目最终路径，此方案不涉及永久基本农田和村庄，地形较为简单，满足工程施工要求，可以最大程度减少对生态红线、永久基本农田的占用，减少对森林的破坏，使本项目对环境的影响降到最低。</w:t>
            </w:r>
          </w:p>
          <w:p w14:paraId="3D70F48A">
            <w:pPr>
              <w:tabs>
                <w:tab w:val="left" w:pos="2445"/>
              </w:tabs>
              <w:spacing w:line="360" w:lineRule="auto"/>
              <w:ind w:firstLine="482" w:firstLineChars="200"/>
              <w:rPr>
                <w:rFonts w:hint="default" w:ascii="Times New Roman" w:hAnsi="Times New Roman" w:eastAsia="宋体" w:cs="Times New Roman"/>
                <w:b/>
                <w:bCs/>
                <w:iCs/>
                <w:color w:val="auto"/>
                <w:kern w:val="13"/>
                <w:sz w:val="24"/>
                <w:highlight w:val="none"/>
              </w:rPr>
            </w:pPr>
            <w:r>
              <w:rPr>
                <w:rFonts w:hint="default" w:ascii="Times New Roman" w:hAnsi="Times New Roman" w:eastAsia="宋体" w:cs="Times New Roman"/>
                <w:b/>
                <w:bCs/>
                <w:iCs/>
                <w:color w:val="auto"/>
                <w:kern w:val="13"/>
                <w:sz w:val="24"/>
                <w:highlight w:val="none"/>
              </w:rPr>
              <w:t>二、选址符合性</w:t>
            </w:r>
          </w:p>
          <w:p w14:paraId="3162351D">
            <w:pPr>
              <w:pStyle w:val="41"/>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本项目选择好线路路径方案后，</w:t>
            </w:r>
            <w:r>
              <w:rPr>
                <w:rFonts w:hint="default" w:ascii="Times New Roman" w:hAnsi="Times New Roman" w:eastAsia="宋体" w:cs="Times New Roman"/>
                <w:color w:val="auto"/>
                <w:sz w:val="24"/>
                <w:highlight w:val="none"/>
              </w:rPr>
              <w:t>国家林业和草原局、</w:t>
            </w:r>
            <w:r>
              <w:rPr>
                <w:rFonts w:hint="default" w:ascii="Times New Roman" w:hAnsi="Times New Roman" w:eastAsia="宋体" w:cs="Times New Roman"/>
                <w:color w:val="auto"/>
                <w:sz w:val="24"/>
                <w:szCs w:val="24"/>
                <w:highlight w:val="none"/>
              </w:rPr>
              <w:t>围场满族蒙古族自治县自然资源和规划局、承德市生态环境局围场满族蒙古族自治县分局、围场满族蒙古族自治县林业和草原局出具了路径意见的函，原则同意项目路径方案。协议情况见下表。</w:t>
            </w:r>
          </w:p>
          <w:p w14:paraId="1F9C715A">
            <w:pPr>
              <w:pStyle w:val="4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表4-6  本工程路径协议情况一览表</w:t>
            </w:r>
          </w:p>
          <w:tbl>
            <w:tblPr>
              <w:tblStyle w:val="32"/>
              <w:tblpPr w:leftFromText="180" w:rightFromText="180" w:vertAnchor="text" w:horzAnchor="page" w:tblpX="250" w:tblpY="45"/>
              <w:tblOverlap w:val="never"/>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01"/>
              <w:gridCol w:w="2232"/>
              <w:gridCol w:w="5644"/>
            </w:tblGrid>
            <w:tr w14:paraId="4A836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355" w:type="pct"/>
                  <w:tcBorders>
                    <w:top w:val="single" w:color="000000" w:sz="4" w:space="0"/>
                    <w:left w:val="single" w:color="000000" w:sz="4" w:space="0"/>
                    <w:bottom w:val="single" w:color="000000" w:sz="4" w:space="0"/>
                    <w:right w:val="single" w:color="000000" w:sz="4" w:space="0"/>
                  </w:tcBorders>
                  <w:vAlign w:val="center"/>
                </w:tcPr>
                <w:p w14:paraId="4FB55F0A">
                  <w:pPr>
                    <w:pStyle w:val="121"/>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1316" w:type="pct"/>
                  <w:tcBorders>
                    <w:top w:val="single" w:color="000000" w:sz="4" w:space="0"/>
                    <w:left w:val="single" w:color="000000" w:sz="4" w:space="0"/>
                    <w:bottom w:val="single" w:color="000000" w:sz="4" w:space="0"/>
                    <w:right w:val="single" w:color="000000" w:sz="4" w:space="0"/>
                  </w:tcBorders>
                  <w:vAlign w:val="center"/>
                </w:tcPr>
                <w:p w14:paraId="7C0BD833">
                  <w:pPr>
                    <w:pStyle w:val="121"/>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协议单位</w:t>
                  </w:r>
                </w:p>
              </w:tc>
              <w:tc>
                <w:tcPr>
                  <w:tcW w:w="3328" w:type="pct"/>
                  <w:tcBorders>
                    <w:top w:val="single" w:color="000000" w:sz="4" w:space="0"/>
                    <w:left w:val="single" w:color="000000" w:sz="4" w:space="0"/>
                    <w:bottom w:val="single" w:color="000000" w:sz="4" w:space="0"/>
                    <w:right w:val="single" w:color="000000" w:sz="4" w:space="0"/>
                  </w:tcBorders>
                  <w:vAlign w:val="center"/>
                </w:tcPr>
                <w:p w14:paraId="6D7206FF">
                  <w:pPr>
                    <w:pStyle w:val="121"/>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协议情况</w:t>
                  </w:r>
                </w:p>
              </w:tc>
            </w:tr>
            <w:tr w14:paraId="05493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355" w:type="pct"/>
                  <w:tcBorders>
                    <w:top w:val="single" w:color="000000" w:sz="4" w:space="0"/>
                    <w:left w:val="single" w:color="000000" w:sz="4" w:space="0"/>
                    <w:bottom w:val="single" w:color="000000" w:sz="4" w:space="0"/>
                    <w:right w:val="single" w:color="000000" w:sz="4" w:space="0"/>
                  </w:tcBorders>
                  <w:vAlign w:val="center"/>
                </w:tcPr>
                <w:p w14:paraId="2E67165A">
                  <w:pPr>
                    <w:pStyle w:val="121"/>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316" w:type="pct"/>
                  <w:tcBorders>
                    <w:top w:val="single" w:color="000000" w:sz="4" w:space="0"/>
                    <w:left w:val="single" w:color="000000" w:sz="4" w:space="0"/>
                    <w:bottom w:val="single" w:color="000000" w:sz="4" w:space="0"/>
                    <w:right w:val="single" w:color="000000" w:sz="4" w:space="0"/>
                  </w:tcBorders>
                  <w:vAlign w:val="center"/>
                </w:tcPr>
                <w:p w14:paraId="43D15236">
                  <w:pPr>
                    <w:pStyle w:val="121"/>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国家林业和草原局</w:t>
                  </w:r>
                </w:p>
              </w:tc>
              <w:tc>
                <w:tcPr>
                  <w:tcW w:w="3328" w:type="pct"/>
                  <w:tcBorders>
                    <w:top w:val="single" w:color="000000" w:sz="4" w:space="0"/>
                    <w:left w:val="single" w:color="000000" w:sz="4" w:space="0"/>
                    <w:bottom w:val="single" w:color="000000" w:sz="4" w:space="0"/>
                    <w:right w:val="single" w:color="000000" w:sz="4" w:space="0"/>
                  </w:tcBorders>
                  <w:vAlign w:val="center"/>
                </w:tcPr>
                <w:p w14:paraId="504BC173">
                  <w:pPr>
                    <w:pStyle w:val="121"/>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原则同意华能围场“风光储氢热一体化”项目（光伏200MW）项目220kV送出线路工程穿越河北滦河上游国家级自然保护区实验区，占用自然保护区实验区面积0.2438公顷。</w:t>
                  </w:r>
                </w:p>
              </w:tc>
            </w:tr>
            <w:tr w14:paraId="0F9D54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355" w:type="pct"/>
                  <w:vMerge w:val="restart"/>
                  <w:tcBorders>
                    <w:top w:val="single" w:color="000000" w:sz="4" w:space="0"/>
                    <w:left w:val="single" w:color="000000" w:sz="4" w:space="0"/>
                    <w:right w:val="single" w:color="000000" w:sz="4" w:space="0"/>
                  </w:tcBorders>
                  <w:vAlign w:val="center"/>
                </w:tcPr>
                <w:p w14:paraId="65FC33FD">
                  <w:pPr>
                    <w:pStyle w:val="121"/>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1316" w:type="pct"/>
                  <w:vMerge w:val="restart"/>
                  <w:tcBorders>
                    <w:top w:val="single" w:color="000000" w:sz="4" w:space="0"/>
                    <w:left w:val="single" w:color="000000" w:sz="4" w:space="0"/>
                    <w:right w:val="single" w:color="000000" w:sz="4" w:space="0"/>
                  </w:tcBorders>
                  <w:vAlign w:val="center"/>
                </w:tcPr>
                <w:p w14:paraId="17635D1C">
                  <w:pPr>
                    <w:pStyle w:val="121"/>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围场满族蒙古族自治县自然资源和规划局</w:t>
                  </w:r>
                </w:p>
              </w:tc>
              <w:tc>
                <w:tcPr>
                  <w:tcW w:w="3328" w:type="pct"/>
                  <w:tcBorders>
                    <w:top w:val="single" w:color="000000" w:sz="4" w:space="0"/>
                    <w:left w:val="single" w:color="000000" w:sz="4" w:space="0"/>
                    <w:bottom w:val="single" w:color="000000" w:sz="4" w:space="0"/>
                    <w:right w:val="single" w:color="000000" w:sz="4" w:space="0"/>
                  </w:tcBorders>
                  <w:vAlign w:val="center"/>
                </w:tcPr>
                <w:p w14:paraId="59F7B9BC">
                  <w:pPr>
                    <w:pStyle w:val="121"/>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认为该项目建设占用生态保护红线不可避让，《报告》提出的项目占用和穿越生态保护红线的保护措施以及相关施工措施可行，同意通过论证。</w:t>
                  </w:r>
                </w:p>
              </w:tc>
            </w:tr>
            <w:tr w14:paraId="41DD3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355" w:type="pct"/>
                  <w:vMerge w:val="continue"/>
                  <w:tcBorders>
                    <w:left w:val="single" w:color="000000" w:sz="4" w:space="0"/>
                    <w:bottom w:val="single" w:color="000000" w:sz="4" w:space="0"/>
                    <w:right w:val="single" w:color="000000" w:sz="4" w:space="0"/>
                  </w:tcBorders>
                  <w:vAlign w:val="center"/>
                </w:tcPr>
                <w:p w14:paraId="21CC7308">
                  <w:pPr>
                    <w:pStyle w:val="121"/>
                    <w:spacing w:line="240" w:lineRule="auto"/>
                    <w:ind w:firstLine="0" w:firstLineChars="0"/>
                    <w:jc w:val="center"/>
                    <w:rPr>
                      <w:rFonts w:hint="default" w:ascii="Times New Roman" w:hAnsi="Times New Roman" w:cs="Times New Roman"/>
                      <w:color w:val="auto"/>
                      <w:sz w:val="21"/>
                      <w:szCs w:val="21"/>
                      <w:highlight w:val="none"/>
                    </w:rPr>
                  </w:pPr>
                </w:p>
              </w:tc>
              <w:tc>
                <w:tcPr>
                  <w:tcW w:w="1316" w:type="pct"/>
                  <w:vMerge w:val="continue"/>
                  <w:tcBorders>
                    <w:left w:val="single" w:color="000000" w:sz="4" w:space="0"/>
                    <w:bottom w:val="single" w:color="000000" w:sz="4" w:space="0"/>
                    <w:right w:val="single" w:color="000000" w:sz="4" w:space="0"/>
                  </w:tcBorders>
                  <w:vAlign w:val="center"/>
                </w:tcPr>
                <w:p w14:paraId="3B65B2DA">
                  <w:pPr>
                    <w:pStyle w:val="121"/>
                    <w:spacing w:line="240" w:lineRule="auto"/>
                    <w:ind w:firstLine="0" w:firstLineChars="0"/>
                    <w:jc w:val="center"/>
                    <w:rPr>
                      <w:rFonts w:hint="default" w:ascii="Times New Roman" w:hAnsi="Times New Roman" w:cs="Times New Roman"/>
                      <w:color w:val="auto"/>
                      <w:sz w:val="21"/>
                      <w:szCs w:val="21"/>
                      <w:highlight w:val="none"/>
                    </w:rPr>
                  </w:pPr>
                </w:p>
              </w:tc>
              <w:tc>
                <w:tcPr>
                  <w:tcW w:w="3328" w:type="pct"/>
                  <w:tcBorders>
                    <w:top w:val="single" w:color="000000" w:sz="4" w:space="0"/>
                    <w:left w:val="single" w:color="000000" w:sz="4" w:space="0"/>
                    <w:bottom w:val="single" w:color="000000" w:sz="4" w:space="0"/>
                    <w:right w:val="single" w:color="000000" w:sz="4" w:space="0"/>
                  </w:tcBorders>
                  <w:vAlign w:val="center"/>
                </w:tcPr>
                <w:p w14:paraId="478B30D5">
                  <w:pPr>
                    <w:pStyle w:val="121"/>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华能围场“风光储氢热一体化”项目(光伏200MW)项目220kv送出线路工程</w:t>
                  </w:r>
                  <w:r>
                    <w:rPr>
                      <w:rFonts w:hint="eastAsia" w:ascii="Times New Roman" w:hAnsi="Times New Roman" w:eastAsia="宋体" w:cs="Times New Roman"/>
                      <w:color w:val="auto"/>
                      <w:sz w:val="21"/>
                      <w:szCs w:val="21"/>
                      <w:highlight w:val="none"/>
                      <w:lang w:eastAsia="zh-CN"/>
                    </w:rPr>
                    <w:t>已纳入县国土空间总体规划，</w:t>
                  </w:r>
                  <w:r>
                    <w:rPr>
                      <w:rFonts w:hint="default" w:ascii="Times New Roman" w:hAnsi="Times New Roman" w:cs="Times New Roman"/>
                      <w:color w:val="auto"/>
                      <w:sz w:val="21"/>
                      <w:szCs w:val="21"/>
                      <w:highlight w:val="none"/>
                    </w:rPr>
                    <w:t>路径</w:t>
                  </w:r>
                  <w:r>
                    <w:rPr>
                      <w:rFonts w:hint="eastAsia" w:ascii="Times New Roman" w:hAnsi="Times New Roman" w:cs="Times New Roman"/>
                      <w:color w:val="auto"/>
                      <w:sz w:val="21"/>
                      <w:szCs w:val="21"/>
                      <w:highlight w:val="none"/>
                      <w:lang w:eastAsia="zh-CN"/>
                    </w:rPr>
                    <w:t>经过</w:t>
                  </w:r>
                  <w:r>
                    <w:rPr>
                      <w:rFonts w:hint="default" w:ascii="Times New Roman" w:hAnsi="Times New Roman" w:cs="Times New Roman"/>
                      <w:color w:val="auto"/>
                      <w:sz w:val="21"/>
                      <w:szCs w:val="21"/>
                      <w:highlight w:val="none"/>
                    </w:rPr>
                    <w:t>围场县老窝铺乡、御道口镇、城子镇，</w:t>
                  </w:r>
                  <w:r>
                    <w:rPr>
                      <w:rFonts w:hint="default" w:ascii="Times New Roman" w:hAnsi="Times New Roman" w:eastAsia="宋体" w:cs="Times New Roman"/>
                      <w:color w:val="auto"/>
                      <w:sz w:val="21"/>
                      <w:szCs w:val="21"/>
                      <w:highlight w:val="none"/>
                    </w:rPr>
                    <w:t>部分</w:t>
                  </w:r>
                  <w:r>
                    <w:rPr>
                      <w:rFonts w:hint="eastAsia" w:ascii="Times New Roman" w:hAnsi="Times New Roman" w:eastAsia="宋体" w:cs="Times New Roman"/>
                      <w:color w:val="auto"/>
                      <w:sz w:val="21"/>
                      <w:szCs w:val="21"/>
                      <w:highlight w:val="none"/>
                      <w:lang w:eastAsia="zh-CN"/>
                    </w:rPr>
                    <w:t>线路</w:t>
                  </w:r>
                  <w:r>
                    <w:rPr>
                      <w:rFonts w:hint="default" w:ascii="Times New Roman" w:hAnsi="Times New Roman" w:eastAsia="宋体" w:cs="Times New Roman"/>
                      <w:color w:val="auto"/>
                      <w:sz w:val="21"/>
                      <w:szCs w:val="21"/>
                      <w:highlight w:val="none"/>
                    </w:rPr>
                    <w:t>涉及</w:t>
                  </w:r>
                  <w:r>
                    <w:rPr>
                      <w:rFonts w:hint="eastAsia" w:ascii="Times New Roman" w:hAnsi="Times New Roman" w:eastAsia="宋体" w:cs="Times New Roman"/>
                      <w:color w:val="auto"/>
                      <w:sz w:val="21"/>
                      <w:szCs w:val="21"/>
                      <w:highlight w:val="none"/>
                      <w:lang w:eastAsia="zh-CN"/>
                    </w:rPr>
                    <w:t>穿越生态保护</w:t>
                  </w:r>
                  <w:r>
                    <w:rPr>
                      <w:rFonts w:hint="default" w:ascii="Times New Roman" w:hAnsi="Times New Roman" w:eastAsia="宋体" w:cs="Times New Roman"/>
                      <w:color w:val="auto"/>
                      <w:sz w:val="21"/>
                      <w:szCs w:val="21"/>
                      <w:highlight w:val="none"/>
                    </w:rPr>
                    <w:t>红线，</w:t>
                  </w:r>
                  <w:r>
                    <w:rPr>
                      <w:rFonts w:hint="eastAsia" w:ascii="Times New Roman" w:hAnsi="Times New Roman" w:eastAsia="宋体" w:cs="Times New Roman"/>
                      <w:color w:val="auto"/>
                      <w:sz w:val="21"/>
                      <w:szCs w:val="21"/>
                      <w:highlight w:val="none"/>
                      <w:lang w:eastAsia="zh-CN"/>
                    </w:rPr>
                    <w:t>编制了不可避让论证报告并通过</w:t>
                  </w:r>
                  <w:r>
                    <w:rPr>
                      <w:rFonts w:hint="default" w:ascii="Times New Roman" w:hAnsi="Times New Roman" w:eastAsia="宋体" w:cs="Times New Roman"/>
                      <w:color w:val="auto"/>
                      <w:sz w:val="21"/>
                      <w:szCs w:val="21"/>
                      <w:highlight w:val="none"/>
                    </w:rPr>
                    <w:t>专家论证，原则同意该线路</w:t>
                  </w:r>
                  <w:r>
                    <w:rPr>
                      <w:rFonts w:hint="eastAsia" w:ascii="Times New Roman" w:hAnsi="Times New Roman" w:eastAsia="宋体" w:cs="Times New Roman"/>
                      <w:color w:val="auto"/>
                      <w:sz w:val="21"/>
                      <w:szCs w:val="21"/>
                      <w:highlight w:val="none"/>
                      <w:lang w:eastAsia="zh-CN"/>
                    </w:rPr>
                    <w:t>预</w:t>
                  </w:r>
                  <w:r>
                    <w:rPr>
                      <w:rFonts w:hint="default" w:ascii="Times New Roman" w:hAnsi="Times New Roman" w:eastAsia="宋体" w:cs="Times New Roman"/>
                      <w:color w:val="auto"/>
                      <w:sz w:val="21"/>
                      <w:szCs w:val="21"/>
                      <w:highlight w:val="none"/>
                    </w:rPr>
                    <w:t>选址</w:t>
                  </w:r>
                  <w:r>
                    <w:rPr>
                      <w:rFonts w:hint="default" w:ascii="Times New Roman" w:hAnsi="Times New Roman" w:cs="Times New Roman"/>
                      <w:color w:val="auto"/>
                      <w:sz w:val="21"/>
                      <w:szCs w:val="21"/>
                      <w:highlight w:val="none"/>
                    </w:rPr>
                    <w:t>。</w:t>
                  </w:r>
                </w:p>
              </w:tc>
            </w:tr>
            <w:tr w14:paraId="5A756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355" w:type="pct"/>
                  <w:tcBorders>
                    <w:top w:val="single" w:color="000000" w:sz="4" w:space="0"/>
                    <w:left w:val="single" w:color="000000" w:sz="4" w:space="0"/>
                    <w:bottom w:val="single" w:color="000000" w:sz="4" w:space="0"/>
                    <w:right w:val="single" w:color="000000" w:sz="4" w:space="0"/>
                  </w:tcBorders>
                  <w:vAlign w:val="center"/>
                </w:tcPr>
                <w:p w14:paraId="5F270D51">
                  <w:pPr>
                    <w:pStyle w:val="121"/>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1316" w:type="pct"/>
                  <w:tcBorders>
                    <w:top w:val="single" w:color="000000" w:sz="4" w:space="0"/>
                    <w:left w:val="single" w:color="000000" w:sz="4" w:space="0"/>
                    <w:bottom w:val="single" w:color="000000" w:sz="4" w:space="0"/>
                    <w:right w:val="single" w:color="000000" w:sz="4" w:space="0"/>
                  </w:tcBorders>
                  <w:vAlign w:val="center"/>
                </w:tcPr>
                <w:p w14:paraId="7836B3A4">
                  <w:pPr>
                    <w:pStyle w:val="121"/>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承德市生态环境局围场满族蒙古族自治县分局</w:t>
                  </w:r>
                </w:p>
              </w:tc>
              <w:tc>
                <w:tcPr>
                  <w:tcW w:w="3328" w:type="pct"/>
                  <w:tcBorders>
                    <w:top w:val="single" w:color="000000" w:sz="4" w:space="0"/>
                    <w:left w:val="single" w:color="000000" w:sz="4" w:space="0"/>
                    <w:bottom w:val="single" w:color="000000" w:sz="4" w:space="0"/>
                    <w:right w:val="single" w:color="000000" w:sz="4" w:space="0"/>
                  </w:tcBorders>
                  <w:vAlign w:val="center"/>
                </w:tcPr>
                <w:p w14:paraId="659684E6">
                  <w:pPr>
                    <w:pStyle w:val="121"/>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原则同意</w:t>
                  </w:r>
                </w:p>
              </w:tc>
            </w:tr>
            <w:tr w14:paraId="7160A6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355" w:type="pct"/>
                  <w:tcBorders>
                    <w:top w:val="single" w:color="000000" w:sz="4" w:space="0"/>
                    <w:left w:val="single" w:color="000000" w:sz="4" w:space="0"/>
                    <w:bottom w:val="single" w:color="000000" w:sz="4" w:space="0"/>
                    <w:right w:val="single" w:color="000000" w:sz="4" w:space="0"/>
                  </w:tcBorders>
                  <w:vAlign w:val="center"/>
                </w:tcPr>
                <w:p w14:paraId="6443D3B3">
                  <w:pPr>
                    <w:pStyle w:val="121"/>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1316" w:type="pct"/>
                  <w:tcBorders>
                    <w:top w:val="single" w:color="000000" w:sz="4" w:space="0"/>
                    <w:left w:val="single" w:color="000000" w:sz="4" w:space="0"/>
                    <w:bottom w:val="single" w:color="000000" w:sz="4" w:space="0"/>
                    <w:right w:val="single" w:color="000000" w:sz="4" w:space="0"/>
                  </w:tcBorders>
                  <w:vAlign w:val="center"/>
                </w:tcPr>
                <w:p w14:paraId="191D7031">
                  <w:pPr>
                    <w:pStyle w:val="121"/>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围场满族蒙古族自治县林业和草原局</w:t>
                  </w:r>
                </w:p>
              </w:tc>
              <w:tc>
                <w:tcPr>
                  <w:tcW w:w="3328" w:type="pct"/>
                  <w:tcBorders>
                    <w:top w:val="single" w:color="000000" w:sz="4" w:space="0"/>
                    <w:left w:val="single" w:color="000000" w:sz="4" w:space="0"/>
                    <w:bottom w:val="single" w:color="000000" w:sz="4" w:space="0"/>
                    <w:right w:val="single" w:color="000000" w:sz="4" w:space="0"/>
                  </w:tcBorders>
                  <w:vAlign w:val="center"/>
                </w:tcPr>
                <w:p w14:paraId="1965CC70">
                  <w:pPr>
                    <w:pStyle w:val="121"/>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原则同意，涉及林草事项及时与林草局对接、沟通</w:t>
                  </w:r>
                </w:p>
              </w:tc>
            </w:tr>
          </w:tbl>
          <w:p w14:paraId="23EDBB95">
            <w:pPr>
              <w:widowControl/>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综上所述，本项目送出线路路径确定不可避让生态红线和河北滦河上游国家级自然保护区实验区。符合现行国土空间规划，原则同意该线路选址。</w:t>
            </w:r>
          </w:p>
          <w:p w14:paraId="72421A91">
            <w:pPr>
              <w:spacing w:line="480" w:lineRule="exact"/>
              <w:ind w:firstLine="482"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三、环境影响程度分析</w:t>
            </w:r>
          </w:p>
          <w:p w14:paraId="6D022BE7">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本工程施工期加强对施工现场的管理，可开展施工期工程环境监理等，在采取有效的防护措施后，可最大限度地降低施工期间对周围环境的影响。</w:t>
            </w:r>
          </w:p>
          <w:p w14:paraId="075B273F">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工程建成后，拟建线路沿线及声环境敏感目标处周围工频电场强度、工频磁感应强度满足《电磁环境控制限值》（GB8702-2014）规定的工频电场强度公众曝露控制限值4kV/m（其中架空输电线路线下的耕地、园地、道路等场所，其频率50Hz的电场强度控制限值为10kV/m）、工频磁感应强度公众曝露控制限值100μT的要求；拟建线路沿线声环境满足《声环境质量标准》（GB3096-2008）1类及相应声环境功能区标准；本项目运行期主要为电力输送，220kV线路正常运行后对周围生态环境影响较小。</w:t>
            </w:r>
          </w:p>
          <w:p w14:paraId="4EFD45C5">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综上所述，本工程在采取一系列措施后对生态的影响能够降到最低，污染物均能合理处置，从环保角度分析，本工程选线是合理的。</w:t>
            </w:r>
          </w:p>
        </w:tc>
      </w:tr>
    </w:tbl>
    <w:p w14:paraId="3649FC9B">
      <w:pPr>
        <w:rPr>
          <w:rFonts w:hint="default" w:ascii="Times New Roman" w:hAnsi="Times New Roman" w:eastAsia="宋体" w:cs="Times New Roman"/>
          <w:color w:val="auto"/>
          <w:sz w:val="21"/>
          <w:highlight w:val="none"/>
        </w:rPr>
        <w:sectPr>
          <w:pgSz w:w="11910" w:h="16850"/>
          <w:pgMar w:top="1600" w:right="1320" w:bottom="1000" w:left="1340" w:header="0" w:footer="817" w:gutter="0"/>
          <w:cols w:space="720" w:num="1"/>
        </w:sectPr>
      </w:pPr>
    </w:p>
    <w:p w14:paraId="669F5676">
      <w:pPr>
        <w:pStyle w:val="12"/>
        <w:spacing w:before="10"/>
        <w:rPr>
          <w:rFonts w:hint="default" w:ascii="Times New Roman" w:hAnsi="Times New Roman" w:eastAsia="宋体" w:cs="Times New Roman"/>
          <w:color w:val="auto"/>
          <w:sz w:val="15"/>
          <w:highlight w:val="none"/>
        </w:rPr>
      </w:pPr>
    </w:p>
    <w:p w14:paraId="09C4D565">
      <w:pPr>
        <w:pStyle w:val="12"/>
        <w:spacing w:line="550" w:lineRule="exact"/>
        <w:ind w:left="635" w:right="652"/>
        <w:jc w:val="center"/>
        <w:outlineLvl w:val="0"/>
        <w:rPr>
          <w:rFonts w:hint="default" w:ascii="Times New Roman" w:hAnsi="Times New Roman" w:eastAsia="宋体" w:cs="Times New Roman"/>
          <w:color w:val="auto"/>
          <w:highlight w:val="none"/>
        </w:rPr>
      </w:pPr>
      <w:bookmarkStart w:id="11" w:name="_Toc150930990"/>
      <w:r>
        <w:rPr>
          <w:rFonts w:hint="default" w:ascii="Times New Roman" w:hAnsi="Times New Roman" w:eastAsia="宋体" w:cs="Times New Roman"/>
          <w:color w:val="auto"/>
          <w:highlight w:val="none"/>
        </w:rPr>
        <w:t>五、主要生态环境保护措施</w:t>
      </w:r>
      <w:bookmarkEnd w:id="11"/>
    </w:p>
    <w:tbl>
      <w:tblPr>
        <w:tblStyle w:val="33"/>
        <w:tblW w:w="94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8880"/>
      </w:tblGrid>
      <w:tr w14:paraId="55C70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tcBorders>
              <w:top w:val="single" w:color="auto" w:sz="4" w:space="0"/>
              <w:left w:val="single" w:color="auto" w:sz="4" w:space="0"/>
              <w:bottom w:val="single" w:color="auto" w:sz="4" w:space="0"/>
              <w:right w:val="single" w:color="auto" w:sz="4" w:space="0"/>
            </w:tcBorders>
            <w:vAlign w:val="center"/>
          </w:tcPr>
          <w:p w14:paraId="5F3B4614">
            <w:pPr>
              <w:pStyle w:val="12"/>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施工期生态环境保护措施</w:t>
            </w:r>
          </w:p>
        </w:tc>
        <w:tc>
          <w:tcPr>
            <w:tcW w:w="8880" w:type="dxa"/>
            <w:tcBorders>
              <w:top w:val="single" w:color="auto" w:sz="4" w:space="0"/>
              <w:left w:val="single" w:color="auto" w:sz="4" w:space="0"/>
              <w:bottom w:val="single" w:color="auto" w:sz="4" w:space="0"/>
              <w:right w:val="single" w:color="auto" w:sz="4" w:space="0"/>
            </w:tcBorders>
          </w:tcPr>
          <w:p w14:paraId="7FFC448E">
            <w:pPr>
              <w:spacing w:line="480" w:lineRule="exact"/>
              <w:ind w:firstLine="482" w:firstLineChars="20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一、生态环境保护措施</w:t>
            </w:r>
          </w:p>
          <w:p w14:paraId="0BDEECE2">
            <w:pPr>
              <w:spacing w:line="480" w:lineRule="exact"/>
              <w:ind w:firstLine="482"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1、一般段生态保护措施</w:t>
            </w:r>
          </w:p>
          <w:p w14:paraId="02323FCB">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（1）生态环境保护措施</w:t>
            </w:r>
          </w:p>
          <w:p w14:paraId="5CC6103B">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为输电工程，施工临时占地面积较小、施工分散且施工期较短，施工场地严格控制在征地范围内进行，施工人员租住线路沿线的居民房屋，不设施工营地，不会改变周围植被的生长及动物的生存环境，施工结束后恢复原有生态功能。</w:t>
            </w:r>
          </w:p>
          <w:p w14:paraId="35699E33">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在施工过程中，由于开挖土方，会引起自然地表的破坏，造成土壤疏松，原有的植被和蓄水保土作用遭到破坏，环境失去原有状态，引发水土流失。因此，工程建设过程中应严格按照《输变电建设项目环境保护技术要求》相关要求降低对生态的影响。</w:t>
            </w:r>
          </w:p>
          <w:p w14:paraId="2FE6D130">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①输电线路工程建设项目施工期临时用地应永临结合，优先利用荒地、劣地。</w:t>
            </w:r>
          </w:p>
          <w:p w14:paraId="44F3DCED">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②输电线路工程建设项目施工占地，应做好表土剥离、分类存放和回填利用。</w:t>
            </w:r>
          </w:p>
          <w:p w14:paraId="5A6F5CAB">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③施工临时道路应尽可能利用机耕路等现有道路，新建道路应严格控制道路宽度，以减少临时工程对生态环境的影响。</w:t>
            </w:r>
          </w:p>
          <w:p w14:paraId="7D42ED86">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④施工现场使用的带油料的机械器具，应采取措施防止油跑、冒、滴、漏，防止对土壤和水体造成污染。</w:t>
            </w:r>
          </w:p>
          <w:p w14:paraId="0B9F32FB">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⑤选择综合素质高、有施工经验的队伍，在施工期间对施工人员加强生态保护的宣传教育；严格按照《110kV-750kV架空输电线路设计规范》（GB50545-2010）中规定的架线高度架设输电线路。</w:t>
            </w:r>
          </w:p>
          <w:p w14:paraId="7573800D">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⑥线路架设施工时，动土工程避开雨天，避免土壤和水土流失，工程建设过程中的开挖土方、容易流失的建筑材料，做好临时的防护措施，集中堆放，并注意堆放坡度，做好施工区内的排水工作。</w:t>
            </w:r>
          </w:p>
          <w:p w14:paraId="6B046DC1">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微软雅黑" w:cs="Times New Roman"/>
                <w:color w:val="auto"/>
                <w:sz w:val="24"/>
                <w:szCs w:val="24"/>
                <w:highlight w:val="none"/>
              </w:rPr>
              <w:t>⑦</w:t>
            </w:r>
            <w:r>
              <w:rPr>
                <w:rFonts w:hint="default" w:ascii="Times New Roman" w:hAnsi="Times New Roman" w:eastAsia="宋体" w:cs="Times New Roman"/>
                <w:color w:val="auto"/>
                <w:sz w:val="24"/>
                <w:szCs w:val="24"/>
                <w:highlight w:val="none"/>
              </w:rPr>
              <w:t>施工废水须经沉淀池沉淀后回用，严禁排入附近地表水体；工程开挖土方不能随意丢弃河流中或岸边。</w:t>
            </w:r>
          </w:p>
          <w:p w14:paraId="23F368D8">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微软雅黑" w:cs="Times New Roman"/>
                <w:color w:val="auto"/>
                <w:sz w:val="24"/>
                <w:szCs w:val="24"/>
                <w:highlight w:val="none"/>
              </w:rPr>
              <w:t>⑧</w:t>
            </w:r>
            <w:r>
              <w:rPr>
                <w:rFonts w:hint="default" w:ascii="Times New Roman" w:hAnsi="Times New Roman" w:eastAsia="宋体" w:cs="Times New Roman"/>
                <w:color w:val="auto"/>
                <w:sz w:val="24"/>
                <w:szCs w:val="24"/>
                <w:highlight w:val="none"/>
              </w:rPr>
              <w:t>牵张场地等临时场地选址应远离生态红线保护范围、生态功能区、河流等生态敏感区，施工结束后，应及时清理施工现场，因地制宜进行土地功能恢复。</w:t>
            </w:r>
          </w:p>
          <w:p w14:paraId="4C09F751">
            <w:pPr>
              <w:spacing w:line="480" w:lineRule="exact"/>
              <w:ind w:firstLine="480" w:firstLineChars="20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rPr>
              <w:t>因此本工程对生态环境产生的影响较小。</w:t>
            </w:r>
          </w:p>
          <w:p w14:paraId="3561B7E4">
            <w:pPr>
              <w:spacing w:line="480" w:lineRule="exact"/>
              <w:ind w:firstLine="480" w:firstLineChars="20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rPr>
              <w:t>本项目主要为塔基施工，均在征地范围内开展，对周围区域生态环境影响可接受。</w:t>
            </w:r>
          </w:p>
          <w:p w14:paraId="00D87B07">
            <w:pPr>
              <w:widowControl/>
              <w:spacing w:line="440" w:lineRule="exact"/>
              <w:ind w:firstLine="480" w:firstLineChars="200"/>
              <w:jc w:val="both"/>
              <w:outlineLvl w:val="2"/>
              <w:rPr>
                <w:rFonts w:hint="default" w:ascii="Times New Roman" w:hAnsi="Times New Roman" w:eastAsia="宋体" w:cs="Times New Roman"/>
                <w:bCs/>
                <w:snapToGrid w:val="0"/>
                <w:color w:val="auto"/>
                <w:sz w:val="24"/>
                <w:highlight w:val="none"/>
              </w:rPr>
            </w:pPr>
            <w:bookmarkStart w:id="12" w:name="_Toc25323"/>
            <w:r>
              <w:rPr>
                <w:rFonts w:hint="default" w:ascii="Times New Roman" w:hAnsi="Times New Roman" w:eastAsia="宋体" w:cs="Times New Roman"/>
                <w:bCs/>
                <w:snapToGrid w:val="0"/>
                <w:color w:val="auto"/>
                <w:sz w:val="24"/>
                <w:highlight w:val="none"/>
              </w:rPr>
              <w:t>（2）工程占地保护措施</w:t>
            </w:r>
            <w:bookmarkEnd w:id="12"/>
          </w:p>
          <w:p w14:paraId="0BF45CD1">
            <w:pPr>
              <w:widowControl/>
              <w:spacing w:line="440" w:lineRule="exact"/>
              <w:ind w:firstLine="480" w:firstLineChars="200"/>
              <w:jc w:val="both"/>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项目临时占地对生态环境的主要影响表现在地表植被破坏、增加水土流失和影响景观。临时用地选在植被稀疏的地方，对于破坏植被的地段，在施工期或服务期满后及时在场地内种植本地区常见植物，对植被进行恢复。加强对施工人员的环境保护意识教育，要求文明施工，不得开展滥采滥挖滥伐等植被破坏活动，根据项目施工位点，划定施工范围，禁止随意扩展施工范围。</w:t>
            </w:r>
          </w:p>
          <w:p w14:paraId="389963EB">
            <w:pPr>
              <w:widowControl/>
              <w:spacing w:line="440" w:lineRule="exact"/>
              <w:ind w:firstLine="480" w:firstLineChars="200"/>
              <w:jc w:val="both"/>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项目永久占地使该区域内植被覆盖度下降，对生态环境会产生一定不利影响。项目建成后，及时对施工运输机械碾压过的土地进行恢复，并对塔基下方播撒草籽，提高土壤保水性等生态功能。</w:t>
            </w:r>
          </w:p>
          <w:p w14:paraId="6F9AF0DE">
            <w:pPr>
              <w:widowControl/>
              <w:spacing w:line="440" w:lineRule="exact"/>
              <w:ind w:firstLine="480" w:firstLineChars="200"/>
              <w:jc w:val="both"/>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（3）植被保护措施</w:t>
            </w:r>
          </w:p>
          <w:p w14:paraId="2617698A">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临时压埋的植被，一般当年就可以完全恢复；临时堆土场压埋及基础开挖造成的植被铲除、压埋，在施工完毕后及时种草进行恢复，一般完全恢复需要3年时间。同时根据项目不同特点，种植相应植物提高绿化。当被破坏的植被完全得到恢复时，拟建工程对植被的影响就可消除。</w:t>
            </w:r>
          </w:p>
          <w:p w14:paraId="6B389465">
            <w:pPr>
              <w:autoSpaceDE/>
              <w:autoSpaceDN/>
              <w:spacing w:line="440" w:lineRule="exact"/>
              <w:ind w:firstLine="480" w:firstLineChars="200"/>
              <w:jc w:val="left"/>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（4）水土流失保护措施</w:t>
            </w:r>
          </w:p>
          <w:p w14:paraId="74A1C88B">
            <w:pPr>
              <w:widowControl/>
              <w:autoSpaceDE/>
              <w:autoSpaceDN/>
              <w:spacing w:line="440" w:lineRule="exact"/>
              <w:ind w:firstLine="480" w:firstLineChars="200"/>
              <w:jc w:val="left"/>
              <w:rPr>
                <w:rFonts w:hint="default" w:ascii="Times New Roman" w:hAnsi="Times New Roman" w:eastAsia="宋体" w:cs="Times New Roman"/>
                <w:bCs/>
                <w:color w:val="auto"/>
                <w:sz w:val="24"/>
                <w:szCs w:val="24"/>
                <w:highlight w:val="none"/>
                <w:lang w:bidi="ar"/>
              </w:rPr>
            </w:pPr>
            <w:r>
              <w:rPr>
                <w:rFonts w:hint="default" w:ascii="Times New Roman" w:hAnsi="Times New Roman" w:eastAsia="宋体" w:cs="Times New Roman"/>
                <w:bCs/>
                <w:color w:val="auto"/>
                <w:sz w:val="24"/>
                <w:szCs w:val="24"/>
                <w:highlight w:val="none"/>
                <w:lang w:bidi="ar"/>
              </w:rPr>
              <w:t>根据工程布置及水土流失特点，本项目将采取的水土流失主要防治措施如下：</w:t>
            </w:r>
          </w:p>
          <w:p w14:paraId="7D978563">
            <w:pPr>
              <w:widowControl/>
              <w:autoSpaceDE/>
              <w:autoSpaceDN/>
              <w:spacing w:line="440" w:lineRule="exact"/>
              <w:ind w:firstLine="480" w:firstLineChars="200"/>
              <w:jc w:val="left"/>
              <w:rPr>
                <w:rFonts w:hint="default" w:ascii="Times New Roman" w:hAnsi="Times New Roman" w:eastAsia="宋体" w:cs="Times New Roman"/>
                <w:bCs/>
                <w:color w:val="auto"/>
                <w:sz w:val="24"/>
                <w:szCs w:val="24"/>
                <w:highlight w:val="none"/>
                <w:lang w:bidi="ar"/>
              </w:rPr>
            </w:pPr>
            <w:r>
              <w:rPr>
                <w:rFonts w:hint="default" w:ascii="Times New Roman" w:hAnsi="Times New Roman" w:eastAsia="宋体" w:cs="Times New Roman"/>
                <w:bCs/>
                <w:color w:val="auto"/>
                <w:sz w:val="24"/>
                <w:szCs w:val="24"/>
                <w:highlight w:val="none"/>
                <w:lang w:bidi="ar"/>
              </w:rPr>
              <w:t>施工临建场地施工前需先对表层土清除后进行集中堆置防护，后用于场地覆土。施工区临时堆土场采用编织袋装土防护和苫布覆盖、设置临时排水导流系统，采取植物绿化措施；临时道路采取土石方临时防护措施、边坡防护、排水导流以及绿化措施等；在主进场道路两侧种植绿化带。</w:t>
            </w:r>
          </w:p>
          <w:p w14:paraId="38E521C6">
            <w:pPr>
              <w:widowControl/>
              <w:autoSpaceDE/>
              <w:autoSpaceDN/>
              <w:spacing w:line="440" w:lineRule="exact"/>
              <w:ind w:firstLine="480" w:firstLineChars="200"/>
              <w:jc w:val="left"/>
              <w:rPr>
                <w:rFonts w:hint="default" w:ascii="Times New Roman" w:hAnsi="Times New Roman" w:eastAsia="宋体" w:cs="Times New Roman"/>
                <w:bCs/>
                <w:color w:val="auto"/>
                <w:sz w:val="24"/>
                <w:szCs w:val="24"/>
                <w:highlight w:val="none"/>
                <w:lang w:bidi="ar"/>
              </w:rPr>
            </w:pPr>
            <w:r>
              <w:rPr>
                <w:rFonts w:hint="default" w:ascii="Times New Roman" w:hAnsi="Times New Roman" w:eastAsia="宋体" w:cs="Times New Roman"/>
                <w:bCs/>
                <w:color w:val="auto"/>
                <w:sz w:val="24"/>
                <w:szCs w:val="24"/>
                <w:highlight w:val="none"/>
                <w:lang w:bidi="ar"/>
              </w:rPr>
              <w:t>道路施工结束后，及时进行路基边坡防护，并完善道路排水系统，施工应减少对工程占地以外土地的扰动，施工结束后，场地按原有土地利用功能进行恢复。</w:t>
            </w:r>
          </w:p>
          <w:p w14:paraId="494D77AE">
            <w:pPr>
              <w:widowControl/>
              <w:autoSpaceDE/>
              <w:autoSpaceDN/>
              <w:spacing w:line="440" w:lineRule="exact"/>
              <w:ind w:firstLine="480" w:firstLineChars="200"/>
              <w:jc w:val="left"/>
              <w:rPr>
                <w:rFonts w:hint="default" w:ascii="Times New Roman" w:hAnsi="Times New Roman" w:eastAsia="宋体" w:cs="Times New Roman"/>
                <w:bCs/>
                <w:color w:val="auto"/>
                <w:sz w:val="24"/>
                <w:szCs w:val="24"/>
                <w:highlight w:val="none"/>
                <w:lang w:bidi="ar"/>
              </w:rPr>
            </w:pPr>
            <w:r>
              <w:rPr>
                <w:rFonts w:hint="default" w:ascii="Times New Roman" w:hAnsi="Times New Roman" w:eastAsia="宋体" w:cs="Times New Roman"/>
                <w:bCs/>
                <w:color w:val="auto"/>
                <w:sz w:val="24"/>
                <w:szCs w:val="24"/>
                <w:highlight w:val="none"/>
                <w:lang w:bidi="ar"/>
              </w:rPr>
              <w:t>通过分析可知，本项目的建设不存在水土保持限制性因素，工程占地性质、占地类型、土石方流向及施工组织基本合理，主体工程设计分类布设水土流失防治措施考虑了水土保持的有关要求，对工程建设可能产生的水土流失能起到一定的防护作用。</w:t>
            </w:r>
          </w:p>
          <w:p w14:paraId="3BF52461">
            <w:pPr>
              <w:widowControl/>
              <w:spacing w:line="440" w:lineRule="exact"/>
              <w:ind w:left="440" w:leftChars="200"/>
              <w:jc w:val="both"/>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（5）景观保护措施</w:t>
            </w:r>
          </w:p>
          <w:p w14:paraId="468172BB">
            <w:pPr>
              <w:widowControl/>
              <w:spacing w:line="440" w:lineRule="exact"/>
              <w:ind w:firstLine="480" w:firstLineChars="200"/>
              <w:jc w:val="both"/>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通过采取围挡作业、分区施工、及时清理余方、采取防扬尘措施、集中收集施工人员生活垃圾并及时清运处理等措施，可以将施工期造成的景观影响降至最小。</w:t>
            </w:r>
          </w:p>
          <w:p w14:paraId="6F1B5370">
            <w:pPr>
              <w:widowControl/>
              <w:spacing w:line="440" w:lineRule="exact"/>
              <w:ind w:firstLine="480" w:firstLineChars="200"/>
              <w:jc w:val="both"/>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（6）防风治沙措施</w:t>
            </w:r>
          </w:p>
          <w:p w14:paraId="065CD1EC">
            <w:pPr>
              <w:widowControl/>
              <w:spacing w:line="440" w:lineRule="exact"/>
              <w:ind w:firstLine="480" w:firstLineChars="200"/>
              <w:jc w:val="both"/>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生物措施：主要包括植树造林和种草。在农田周围营造纵横交错的护田林带，以固定风沙。封草育草也是重要的方法之一，通过禁止放牧和打草，让沙荒地自然恢复植被。</w:t>
            </w:r>
          </w:p>
          <w:p w14:paraId="31EE034E">
            <w:pPr>
              <w:widowControl/>
              <w:spacing w:line="440" w:lineRule="exact"/>
              <w:ind w:firstLine="480" w:firstLineChars="200"/>
              <w:jc w:val="both"/>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工程措施：通过人为工程手段改变沙土的物理性质，减少风蚀。</w:t>
            </w:r>
          </w:p>
          <w:p w14:paraId="415D23D6">
            <w:pPr>
              <w:widowControl/>
              <w:spacing w:line="440" w:lineRule="exact"/>
              <w:ind w:firstLine="480" w:firstLineChars="200"/>
              <w:jc w:val="both"/>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监测与预警体系：加强荒漠化监测和预警体系，科学评价建设效果。</w:t>
            </w:r>
          </w:p>
          <w:p w14:paraId="5961C7E0">
            <w:pPr>
              <w:widowControl/>
              <w:spacing w:line="440" w:lineRule="exact"/>
              <w:ind w:firstLine="480" w:firstLineChars="200"/>
              <w:jc w:val="both"/>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资金投入与项目管理：积极支持防沙治沙，确保资金纳入工程预算。</w:t>
            </w:r>
          </w:p>
          <w:p w14:paraId="173DBAA3">
            <w:pPr>
              <w:widowControl/>
              <w:spacing w:line="440" w:lineRule="exact"/>
              <w:ind w:firstLine="480" w:firstLineChars="200"/>
              <w:jc w:val="both"/>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通过这些综合性的措施，控制和固定流沙，促进了沙的成土作用，改变沙地性质，使得流沙趋向固定。既可以满足环境保护的要求，又有利于与当地生态景观的协调一致，更可以起到防风固沙的作用。</w:t>
            </w:r>
          </w:p>
          <w:p w14:paraId="362DC606">
            <w:pPr>
              <w:widowControl/>
              <w:spacing w:line="440" w:lineRule="exact"/>
              <w:ind w:firstLine="480" w:firstLineChars="200"/>
              <w:jc w:val="both"/>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（7）预期效果</w:t>
            </w:r>
          </w:p>
          <w:p w14:paraId="1512A09C">
            <w:pPr>
              <w:pStyle w:val="2"/>
              <w:spacing w:after="0" w:line="480" w:lineRule="exact"/>
              <w:ind w:firstLine="480" w:firstLineChars="200"/>
              <w:jc w:val="both"/>
              <w:rPr>
                <w:rFonts w:hint="default" w:ascii="Times New Roman" w:hAnsi="Times New Roman" w:eastAsia="宋体" w:cs="Times New Roman"/>
                <w:bCs/>
                <w:color w:val="auto"/>
                <w:sz w:val="24"/>
                <w:highlight w:val="none"/>
                <w:lang w:eastAsia="zh-CN"/>
              </w:rPr>
            </w:pPr>
            <w:r>
              <w:rPr>
                <w:rFonts w:hint="default" w:ascii="Times New Roman" w:hAnsi="Times New Roman" w:eastAsia="宋体" w:cs="Times New Roman"/>
                <w:bCs/>
                <w:color w:val="auto"/>
                <w:sz w:val="24"/>
                <w:highlight w:val="none"/>
                <w:lang w:eastAsia="zh-CN"/>
              </w:rPr>
              <w:t>项目在采取以上生态保护措施后，可以有效减轻工程施工对评价区的生态影响，减少施工造成的土壤侵蚀，使本项目的建设对生态环境的影响减少到最小。施工期结束后，经过1-3年的生态恢复后，植被能够基本恢复原貌。</w:t>
            </w:r>
          </w:p>
          <w:p w14:paraId="06A83EA4">
            <w:pPr>
              <w:pStyle w:val="2"/>
              <w:spacing w:after="0" w:line="480" w:lineRule="exact"/>
              <w:ind w:firstLine="482" w:firstLineChars="200"/>
              <w:jc w:val="both"/>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eastAsia="zh-CN"/>
              </w:rPr>
              <w:t>2、河北滦河上游国家级自然保护区段和生态保护红线段</w:t>
            </w:r>
          </w:p>
          <w:p w14:paraId="7F77D55E">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经调查，项目工程占地范围无珍稀濒危的重点保护野生植物，动物以乌鸦、喜鹊、草兔、鼠类等动物为常见，工程建设对其影响轻微。植物以白桦、柞树等为主。施工过程中将直接铲除占地范围内的植被，机械和施工人员不可避免地破坏施工区域内的植被，造成植被减少，对该区域内生态系统会产生一定影响。</w:t>
            </w:r>
            <w:r>
              <w:rPr>
                <w:rFonts w:hint="default" w:ascii="Times New Roman" w:hAnsi="Times New Roman" w:eastAsia="宋体" w:cs="Times New Roman"/>
                <w:color w:val="auto"/>
                <w:sz w:val="24"/>
                <w:highlight w:val="none"/>
              </w:rPr>
              <w:t>河北滦河上游国家级自然保护区段和生态保护红线段除采取一般段生态保护措施外，还需采取以下措施</w:t>
            </w:r>
            <w:r>
              <w:rPr>
                <w:rFonts w:hint="default" w:ascii="Times New Roman" w:hAnsi="Times New Roman" w:eastAsia="宋体" w:cs="Times New Roman"/>
                <w:color w:val="auto"/>
                <w:sz w:val="24"/>
                <w:szCs w:val="24"/>
                <w:highlight w:val="none"/>
              </w:rPr>
              <w:t>减轻对动植物的影响。</w:t>
            </w:r>
          </w:p>
          <w:p w14:paraId="33417567">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（1）植物保护措施</w:t>
            </w:r>
          </w:p>
          <w:p w14:paraId="7141CCCD">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①施工期间严禁在保护区</w:t>
            </w:r>
            <w:r>
              <w:rPr>
                <w:rFonts w:hint="default" w:ascii="Times New Roman" w:hAnsi="Times New Roman" w:eastAsia="宋体" w:cs="Times New Roman"/>
                <w:color w:val="auto"/>
                <w:sz w:val="24"/>
                <w:szCs w:val="24"/>
                <w:highlight w:val="none"/>
                <w:lang w:eastAsia="zh-CN"/>
              </w:rPr>
              <w:t>、生态保护红线范围内</w:t>
            </w:r>
            <w:r>
              <w:rPr>
                <w:rFonts w:hint="default" w:ascii="Times New Roman" w:hAnsi="Times New Roman" w:eastAsia="宋体" w:cs="Times New Roman"/>
                <w:color w:val="auto"/>
                <w:sz w:val="24"/>
                <w:szCs w:val="24"/>
                <w:highlight w:val="none"/>
              </w:rPr>
              <w:t>设置施工营地。</w:t>
            </w:r>
          </w:p>
          <w:p w14:paraId="045AD341">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②河北滦河上游国家级自然保护区主要保护对象为多样完整的森林生态系统、珍稀野生动植物，对进入保护区的施工人员进行野生植物保护宣传教育，让其了解保护区的植物多样性，减少破坏保护区野生植被。</w:t>
            </w:r>
          </w:p>
          <w:p w14:paraId="2B6724FA">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③在施工前划定好塔基占地范围，按图施工，严格控制开挖范围及开挖量，每个塔基的开挖量控制在2m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，开挖的土石方应集中在塔基占地范围内堆置，严禁破坏占地区域外的植被。</w:t>
            </w:r>
          </w:p>
          <w:p w14:paraId="2F0265C9">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④塔基施工开挖时应分层开挖，分层堆放，注意表土保护，开挖土方均在塔基占地范围内合理位置填埋。</w:t>
            </w:r>
          </w:p>
          <w:p w14:paraId="0A079721">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⑤工程施工过程中强化管理，提高管理者的消防意识，注意管理巡查，严禁携带火源进入保护区，避免森林火灾的发生。</w:t>
            </w:r>
          </w:p>
          <w:p w14:paraId="603D8EEC">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（2）动物保护措施</w:t>
            </w:r>
          </w:p>
          <w:p w14:paraId="34A0EDF2">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影响评价区内共有脊椎动物19目36科76种，其中两栖动物2目2科2种，爬行类2目3科6种，鸟类10目23科55种，哺乳类5目8科13种。野生动物资源较为丰富，开工前施工单位应对施工人员开展保护野生动物宣传教育，制作一定数量的宣传标识牌，禁止干扰动物活动，禁止伤害和猎捕保护区内野生动物。</w:t>
            </w:r>
          </w:p>
          <w:p w14:paraId="1CD51A35">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②评价区繁殖鸟类主要繁殖期在3-7月，主要迁徙期在春季和秋季，施工时间不得安排在鸟类繁殖期和迁徙期，在开工前巡视因施工需要而将被移除的树木上是否筑巢繁殖，若有，须暂停施工，降低对动物的影响。</w:t>
            </w:r>
          </w:p>
          <w:p w14:paraId="365B2D0F">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③保护区内动物多在早晨和黄昏活动，一定要做好施工计划，尽量避免在这两个时间段施工。</w:t>
            </w:r>
          </w:p>
          <w:p w14:paraId="62DC6F11">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④对施工人员严格要求，禁止施工人员进入施工区域外的林区休息、游玩等。</w:t>
            </w:r>
          </w:p>
          <w:p w14:paraId="3D9DB81E">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⑤在施工现场设置警示或提示牌，警示或提示施工人员在施工过程中如果发现野生动物出没，严禁干扰野生动物的活动，严禁伤害与猎杀任何野生动物。</w:t>
            </w:r>
          </w:p>
          <w:p w14:paraId="66AD21AD">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⑥在施工场地四周设置围栏、警示杆等，避免野生动物或鸟类误入施工区造成动物或鸟类的伤亡。</w:t>
            </w:r>
          </w:p>
          <w:p w14:paraId="1AF1CE54">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⑦减少夜间作业，避免灯光、噪声对夜间动物活动的惊扰。加强建设期环境噪声监测，配备噪声测量仪器，对施工现场附近的敏感点进行定点、定时监测，根据敏感点的具体方位设置可移动的隔声屏障等保护措施。</w:t>
            </w:r>
          </w:p>
          <w:p w14:paraId="4985363F">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⑧严格控制工期。应在预期的时间内尽快完成工程，切忌拖延工期。加强施工人员管理，严格划定施工活动范围。</w:t>
            </w:r>
          </w:p>
          <w:p w14:paraId="167EDE8A">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（3）水土流失防治措施</w:t>
            </w:r>
          </w:p>
          <w:p w14:paraId="1C2C0AD5">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①施工单位在施工过程中必须按照设计要求，严格控制开挖范围及开挖量，输电线路施工限制在事先划定的施工区内，尽量减少开挖土体，减少对原有地貌的破坏。</w:t>
            </w:r>
          </w:p>
          <w:p w14:paraId="60A857C8">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②对开挖后的裸露开挖面用苫布覆盖，避免降雨时水流直接冲刷；施工时开挖的土石方不允许就地倾倒，应采取回填等方式妥善处置，堆土应采取围护拦挡措施，并在土体表面覆上苫布防止雨水冲刷水土流失。</w:t>
            </w:r>
          </w:p>
          <w:p w14:paraId="353C7BA8">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③施工尽量避开雨季施工。</w:t>
            </w:r>
          </w:p>
          <w:p w14:paraId="6C60BA5D">
            <w:pPr>
              <w:spacing w:line="480" w:lineRule="exact"/>
              <w:ind w:firstLine="480" w:firstLineChars="200"/>
              <w:jc w:val="both"/>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sz w:val="24"/>
                <w:szCs w:val="24"/>
                <w:highlight w:val="none"/>
              </w:rPr>
              <w:t>④建设期应限制施工区域，走同一道路，避免加开新路，尽量减少对地表的破坏</w:t>
            </w:r>
          </w:p>
          <w:p w14:paraId="55DA75EC">
            <w:pPr>
              <w:pStyle w:val="2"/>
              <w:spacing w:after="0" w:line="480" w:lineRule="exact"/>
              <w:ind w:firstLine="482" w:firstLineChars="200"/>
              <w:jc w:val="both"/>
              <w:rPr>
                <w:rFonts w:hint="default" w:ascii="Times New Roman" w:hAnsi="Times New Roman" w:eastAsia="宋体" w:cs="Times New Roman"/>
                <w:b/>
                <w:color w:val="auto"/>
                <w:sz w:val="24"/>
                <w:szCs w:val="24"/>
                <w:highlight w:val="none"/>
                <w:lang w:eastAsia="zh-CN"/>
              </w:rPr>
            </w:pPr>
            <w:r>
              <w:rPr>
                <w:rFonts w:hint="default" w:ascii="Times New Roman" w:hAnsi="Times New Roman" w:eastAsia="宋体" w:cs="Times New Roman"/>
                <w:b/>
                <w:color w:val="auto"/>
                <w:sz w:val="24"/>
                <w:szCs w:val="24"/>
                <w:highlight w:val="none"/>
                <w:lang w:eastAsia="zh-CN"/>
              </w:rPr>
              <w:t>二、大气环境保护措施</w:t>
            </w:r>
          </w:p>
          <w:p w14:paraId="38EACD8E">
            <w:pPr>
              <w:spacing w:line="440" w:lineRule="exact"/>
              <w:ind w:firstLine="482" w:firstLineChars="200"/>
              <w:jc w:val="left"/>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1、一般段大气环境保护措施</w:t>
            </w:r>
          </w:p>
          <w:p w14:paraId="22DC8CDD">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（1）扬尘治理措施</w:t>
            </w:r>
          </w:p>
          <w:p w14:paraId="0214D0AE">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结合《河北省扬尘污染防治办法》、《河北省建筑施工扬尘防治标准》，本项目施工期应严格执行如下扬尘治理措施：</w:t>
            </w:r>
          </w:p>
          <w:p w14:paraId="7396673E">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①施工单位必须在施工现场出入口明显位置设置扬尘防治公示牌，内容包括建设、施工、监理及监管等单位名称、扬尘防治负责人的名称、联系电话、举报电话等。</w:t>
            </w:r>
          </w:p>
          <w:p w14:paraId="6C03B307">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②施工现场设置硬质围挡，围挡应坚固、美观，严禁围挡不严或敞开式施工。本项目围挡高度应不低于1.8m。</w:t>
            </w:r>
          </w:p>
          <w:p w14:paraId="64F80DE6">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③施工现场出入口和场内施工道路、材料加工堆放区必须采用混凝土硬化或采用硬质砌块铺设，并实现硬化率达100%，硬化后的地面应清扫整洁无浮土、积土。</w:t>
            </w:r>
          </w:p>
          <w:p w14:paraId="1B3A2239">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④施工现场出入口必须配备车辆冲洗设施，设置排水、泥浆沉淀池等设施，建立冲洗制度并设专人管理，严禁车辆带泥上路。</w:t>
            </w:r>
          </w:p>
          <w:p w14:paraId="203FAD3D">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⑤施工现场集中堆放的土方和裸露场地必须采取覆盖、固化或绿化等防尘措施，严禁裸露。</w:t>
            </w:r>
          </w:p>
          <w:p w14:paraId="45E5D068">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⑥施工现场易飞扬的细颗粒建筑材料必须密闭存放或严密覆盖，严禁露天放置；搬运时应有降尘措施，余料及时回收。</w:t>
            </w:r>
          </w:p>
          <w:p w14:paraId="1C78F80E">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⑦部分施工区域距离村庄较近，为减少施工期对居民的影响，要求临近区域施工前及时通知影响范围内居民，适当增加临近居民侧围挡高度，增加临近居民处洒水抑尘次数，施工机械和车辆尽量避让居民居住区行驶，以减少施工废气对居民的影响。</w:t>
            </w:r>
          </w:p>
          <w:p w14:paraId="67D0F57E">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⑧生活垃圾应用封闭式容器存放，日产日清，严禁随意丢弃。</w:t>
            </w:r>
          </w:p>
          <w:p w14:paraId="5666DCC1">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⑨施工现场建立洒水清扫抑尘制度，配备洒水设备。非冰冻期每天洒水不少于2次，并有专人负责。重污染天气时相应增加洒水频次。遇有4级以上大风或重污染天气预警时，必须采取扬尘防治应急措施，严禁土方开挖、土方回填或其他有可能产生扬尘的作业。</w:t>
            </w:r>
          </w:p>
          <w:p w14:paraId="432FCD3A">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采取以上措施后，施工扬尘排放能够满足《施工场地扬尘排放标准》（DB13/2934-2019）表1扬尘排放浓度限值。随着施工的完成，这些影响也将消失，因此不会对周围环境产生较大的不利影响。</w:t>
            </w:r>
          </w:p>
          <w:p w14:paraId="1BE1003E">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（2）施工机械和运输车辆的尾气治理措施</w:t>
            </w:r>
          </w:p>
          <w:p w14:paraId="21D2F9A8">
            <w:pPr>
              <w:pStyle w:val="2"/>
              <w:spacing w:after="0" w:line="480" w:lineRule="exact"/>
              <w:ind w:firstLine="480" w:firstLineChars="200"/>
              <w:jc w:val="both"/>
              <w:rPr>
                <w:rFonts w:hint="default" w:ascii="Times New Roman" w:hAnsi="Times New Roman" w:eastAsia="宋体" w:cs="Times New Roman"/>
                <w:bCs/>
                <w:color w:val="auto"/>
                <w:sz w:val="24"/>
                <w:highlight w:val="none"/>
                <w:lang w:eastAsia="zh-CN"/>
              </w:rPr>
            </w:pPr>
            <w:r>
              <w:rPr>
                <w:rFonts w:hint="default" w:ascii="Times New Roman" w:hAnsi="Times New Roman" w:eastAsia="宋体" w:cs="Times New Roman"/>
                <w:bCs/>
                <w:color w:val="auto"/>
                <w:sz w:val="24"/>
                <w:highlight w:val="none"/>
                <w:lang w:eastAsia="zh-CN"/>
              </w:rPr>
              <w:t>本项目施工机械和运输车辆排放的大气污染物相对较少，对周边影响程度及范围较小，通过采取限制超载、限制超速等措施，可以大大降低运输车辆及施工机械尾气对周围环境敏感点的影响。因此，机械施工和运输车辆所排放的尾气对周围环境影响较小。</w:t>
            </w:r>
          </w:p>
          <w:p w14:paraId="35C05F2C">
            <w:pPr>
              <w:pStyle w:val="2"/>
              <w:spacing w:after="0" w:line="480" w:lineRule="exact"/>
              <w:ind w:firstLine="482" w:firstLineChars="200"/>
              <w:jc w:val="both"/>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eastAsia="zh-CN"/>
              </w:rPr>
              <w:t>2、河北滦河上游国家级自然保护区段和生态保护红线段</w:t>
            </w:r>
          </w:p>
          <w:p w14:paraId="300FFD37">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本项目对大气环境的影响主要体现在施工过程中土方挖掘与填筑、建筑材料装运等施工作业产生的扬尘，为降低项目施工对大气环境的影响，</w:t>
            </w:r>
            <w:r>
              <w:rPr>
                <w:rFonts w:hint="default" w:ascii="Times New Roman" w:hAnsi="Times New Roman" w:eastAsia="宋体" w:cs="Times New Roman"/>
                <w:color w:val="auto"/>
                <w:sz w:val="24"/>
                <w:highlight w:val="none"/>
              </w:rPr>
              <w:t>河北滦河上游国家级自然保护区段和生态保护红线段除采取一般段大气保护措施外，还需采取以下措施</w:t>
            </w:r>
            <w:r>
              <w:rPr>
                <w:rFonts w:hint="default" w:ascii="Times New Roman" w:hAnsi="Times New Roman" w:eastAsia="宋体" w:cs="Times New Roman"/>
                <w:color w:val="auto"/>
                <w:sz w:val="24"/>
                <w:szCs w:val="24"/>
                <w:highlight w:val="none"/>
              </w:rPr>
              <w:t>减轻影响。</w:t>
            </w:r>
          </w:p>
          <w:p w14:paraId="707205D6">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①施工单位必须在施工现场出入口明显位置设置扬尘防治公示牌，内容包括建设、施工、监理及监管等单位名称、扬尘防治负责人的名称、联系电话、举报电话等。</w:t>
            </w:r>
          </w:p>
          <w:p w14:paraId="6156E14B">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②施工现场必须连续设置硬质围挡，围挡应坚固、美观，严禁围挡不严或敞开式施工。本项目围挡高度应不低于1.8m。</w:t>
            </w:r>
          </w:p>
          <w:p w14:paraId="5D0DF281">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③施工现场集中堆放的土方和裸露场地必须采取覆盖、固化或绿化等防尘措施，严禁裸露。</w:t>
            </w:r>
          </w:p>
          <w:p w14:paraId="7B1D2D28">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④施工现场易飞扬的细颗粒建筑材料必须密闭存放或严密覆盖，严禁露天放置；搬运时应有降尘措施，余料及时回收。</w:t>
            </w:r>
          </w:p>
          <w:p w14:paraId="295A3FC2">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施工现场建立洒水清扫抑尘制度，配备洒水设备。非冰冻期每天洒水不少于2次，并有专人负责。重污染天气时相应增加洒水频次。遇有4级以上大风或重污染天气预警时，必须采取扬尘防治应急措施，严禁土方开挖、土方填埋或其他有可能产生扬尘的作业。</w:t>
            </w:r>
          </w:p>
          <w:p w14:paraId="064CC26F">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采取以上措施后，施工扬尘排放能够满足《施工场地扬尘排放标准》（DB13/2934-2019）扬尘排放浓度限值。</w:t>
            </w:r>
          </w:p>
          <w:p w14:paraId="49CBBE57">
            <w:pPr>
              <w:adjustRightInd w:val="0"/>
              <w:spacing w:line="480" w:lineRule="exact"/>
              <w:ind w:firstLine="482" w:firstLineChars="200"/>
              <w:jc w:val="both"/>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三、水环境保护措施</w:t>
            </w:r>
          </w:p>
          <w:p w14:paraId="2851FB47">
            <w:pPr>
              <w:spacing w:line="440" w:lineRule="exact"/>
              <w:ind w:firstLine="482" w:firstLineChars="200"/>
              <w:jc w:val="left"/>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1、一般段水环境保护措施</w:t>
            </w:r>
          </w:p>
          <w:p w14:paraId="6C21AD4E">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本项目施工期产生的施工设备清洗和水泥养护排水，水量较小，主要污染物为泥沙，对环境影响较小。施工场地应设简易沉淀池，将施工废水收集沉淀后，用于场地泼洒降尘。建设期间，施工现场施工高峰期人数为50人，产生的生活污水为职工盥洗废水，水量较小，用于场区内泼洒抑尘，同时施工区设置防渗旱厕，定期清掏用作农肥，不外排。</w:t>
            </w:r>
          </w:p>
          <w:p w14:paraId="6302735C">
            <w:pPr>
              <w:spacing w:line="480" w:lineRule="exact"/>
              <w:ind w:firstLine="482" w:firstLineChars="200"/>
              <w:jc w:val="both"/>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2、河北滦河上游国家级自然保护区段和生态保护红线段</w:t>
            </w:r>
          </w:p>
          <w:p w14:paraId="70106B28">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河北滦河上游国家级自然保护区段和生态保护红线段除采取一般段水环境保护措施外，还需采取以下措施</w:t>
            </w:r>
            <w:r>
              <w:rPr>
                <w:rFonts w:hint="default" w:ascii="Times New Roman" w:hAnsi="Times New Roman" w:eastAsia="宋体" w:cs="Times New Roman"/>
                <w:color w:val="auto"/>
                <w:sz w:val="24"/>
                <w:szCs w:val="24"/>
                <w:highlight w:val="none"/>
              </w:rPr>
              <w:t>减轻影响。</w:t>
            </w:r>
          </w:p>
          <w:p w14:paraId="40EBDC76">
            <w:pPr>
              <w:spacing w:line="480" w:lineRule="exact"/>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（1）本项目施工过程中在保护区内不设置施工驻地，施工期对水环境的影响主要是施工人员产生的生活污水，应加强对施工人员的管理，施工人员在自然保护区内施工时严禁随意排放生活污水。</w:t>
            </w:r>
          </w:p>
          <w:p w14:paraId="33756951">
            <w:pPr>
              <w:spacing w:line="480" w:lineRule="exact"/>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（2）当日施工结束后，施工设备等应随人员转移至位于保护区范围外的施工营地存放。施工单位要做好施工场地周围的拦挡措施，尽量避开雨季土石方开挖作业。</w:t>
            </w:r>
          </w:p>
          <w:p w14:paraId="3A562915">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综上，本项目施工期间无废水外排，不会对项目区水环境产生明显影响。</w:t>
            </w:r>
          </w:p>
          <w:p w14:paraId="1672F09C">
            <w:pPr>
              <w:pStyle w:val="3"/>
              <w:spacing w:before="0" w:after="0" w:line="480" w:lineRule="exact"/>
              <w:ind w:firstLine="482" w:firstLineChars="200"/>
              <w:jc w:val="both"/>
              <w:outlineLvl w:val="3"/>
              <w:rPr>
                <w:rFonts w:hint="default" w:ascii="Times New Roman" w:hAnsi="Times New Roman" w:eastAsia="宋体" w:cs="Times New Roman"/>
                <w:color w:val="auto"/>
                <w:highlight w:val="none"/>
              </w:rPr>
            </w:pPr>
            <w:r>
              <w:rPr>
                <w:rFonts w:hint="default" w:ascii="Times New Roman" w:hAnsi="Times New Roman" w:eastAsia="宋体" w:cs="Times New Roman"/>
                <w:bCs w:val="0"/>
                <w:color w:val="auto"/>
                <w:sz w:val="24"/>
                <w:szCs w:val="24"/>
                <w:highlight w:val="none"/>
              </w:rPr>
              <w:t>四、声环境保护措施</w:t>
            </w:r>
          </w:p>
          <w:p w14:paraId="52854C50">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1、一般段声环境保护措施</w:t>
            </w:r>
          </w:p>
          <w:p w14:paraId="5ECD8961">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对不同施工阶段和施工机械产生的噪声影响，建设单位应采取切实有效的防噪措施，尽可能的降低施工过程中机械设备和运输车辆产生的噪声对周边环境的影响，具体措施如下：</w:t>
            </w:r>
          </w:p>
          <w:p w14:paraId="0E1C32CC">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（1）施工单位所使用的主要施工机械应选用低噪声机械设备，并及时维修保养，严格按操作规程使用各类机械。</w:t>
            </w:r>
          </w:p>
          <w:p w14:paraId="6AD56671">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（2）对施工区外部采用围挡，减轻施工噪声对外环境的影响。压路机、挖掘机等设备运行噪声不可避免，因此基础开挖等作业必须在短期内完成。</w:t>
            </w:r>
          </w:p>
          <w:p w14:paraId="17C7EEF2">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（3）为了最大限度地减少施工噪声对外环境的影响，昼间施工限制使用高噪声施工机械施工，夜间（22：00点到6：00点）禁止施工。</w:t>
            </w:r>
          </w:p>
          <w:p w14:paraId="6C2670FC">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（4）为减少对临近居民的影响，钢筋调直机、钢筋切断机等非</w:t>
            </w:r>
            <w:r>
              <w:rPr>
                <w:rFonts w:hint="eastAsia" w:ascii="Times New Roman" w:hAnsi="Times New Roman" w:eastAsia="宋体" w:cs="Times New Roman"/>
                <w:bCs/>
                <w:color w:val="auto"/>
                <w:sz w:val="24"/>
                <w:highlight w:val="none"/>
                <w:lang w:eastAsia="zh-CN"/>
              </w:rPr>
              <w:t>必需</w:t>
            </w:r>
            <w:r>
              <w:rPr>
                <w:rFonts w:hint="default" w:ascii="Times New Roman" w:hAnsi="Times New Roman" w:eastAsia="宋体" w:cs="Times New Roman"/>
                <w:bCs/>
                <w:color w:val="auto"/>
                <w:sz w:val="24"/>
                <w:highlight w:val="none"/>
              </w:rPr>
              <w:t>固定设备远离居民区进行生产加工，不在居民区附近设置固定的加工点位。减少临近居民区域的非必要车辆行驶，不在夜间和中午进行运输，以减少车辆运输噪声对临近居民的影响。</w:t>
            </w:r>
          </w:p>
          <w:p w14:paraId="19C960CC">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（5）严格控制建筑施工过程中场界环境噪声，不得超过《建筑施工场界环境噪声排放标准》（GB12532-2011）中的标准要求，即：昼间不得超过70dB（A），夜间不得超过55dB（A）。</w:t>
            </w:r>
          </w:p>
          <w:p w14:paraId="5D931F4A">
            <w:pPr>
              <w:spacing w:line="480" w:lineRule="exact"/>
              <w:ind w:firstLine="482" w:firstLineChars="200"/>
              <w:jc w:val="both"/>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2、河北滦河上游国家级自然保护区段和生态保护红线段</w:t>
            </w:r>
          </w:p>
          <w:p w14:paraId="70244806">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河北滦河上游国家级自然保护区段和生态保护红线段除采取一般段声环境保护措施外，还需采取以下措施</w:t>
            </w:r>
            <w:r>
              <w:rPr>
                <w:rFonts w:hint="default" w:ascii="Times New Roman" w:hAnsi="Times New Roman" w:eastAsia="宋体" w:cs="Times New Roman"/>
                <w:color w:val="auto"/>
                <w:sz w:val="24"/>
                <w:szCs w:val="24"/>
                <w:highlight w:val="none"/>
              </w:rPr>
              <w:t>减轻影响。</w:t>
            </w:r>
          </w:p>
          <w:p w14:paraId="3AEC0ED5">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（1）施工单位所使用的主要施工机械应选用低噪声机械设备，并及时维修保养。</w:t>
            </w:r>
          </w:p>
          <w:p w14:paraId="0D01D693">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（2）对施工区外部采用</w:t>
            </w:r>
            <w:r>
              <w:rPr>
                <w:rFonts w:hint="eastAsia" w:ascii="Times New Roman" w:hAnsi="Times New Roman" w:eastAsia="宋体" w:cs="Times New Roman"/>
                <w:color w:val="auto"/>
                <w:sz w:val="24"/>
                <w:szCs w:val="24"/>
                <w:highlight w:val="none"/>
                <w:lang w:eastAsia="zh-CN"/>
              </w:rPr>
              <w:t>围挡</w:t>
            </w:r>
            <w:r>
              <w:rPr>
                <w:rFonts w:hint="default" w:ascii="Times New Roman" w:hAnsi="Times New Roman" w:eastAsia="宋体" w:cs="Times New Roman"/>
                <w:color w:val="auto"/>
                <w:sz w:val="24"/>
                <w:szCs w:val="24"/>
                <w:highlight w:val="none"/>
              </w:rPr>
              <w:t>，减轻施工噪声对外环境的影响，开挖作业尽量在短期内完成。</w:t>
            </w:r>
          </w:p>
          <w:p w14:paraId="1A918D09">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（3）保护区内有较多的夜行动物，比如黄鼬、艾鼬、狗獾等，为了最大限度地减少施工噪声对野生动物的影响，夜间（22：00点到6：00点）禁止施工。</w:t>
            </w:r>
          </w:p>
          <w:p w14:paraId="5CDC5E9F">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snapToGrid w:val="0"/>
                <w:color w:val="auto"/>
                <w:sz w:val="24"/>
                <w:highlight w:val="none"/>
              </w:rPr>
              <w:t>采取本评价提出的各项措施后，项目施工期产生的噪声可满足《建筑施工场界环境噪声排放标准》（GB12523-2011）的要求，对区域声环境影响较小。且随施工期结束而结束。</w:t>
            </w:r>
          </w:p>
          <w:p w14:paraId="0D26D720">
            <w:pPr>
              <w:spacing w:line="480" w:lineRule="exact"/>
              <w:ind w:firstLine="482" w:firstLineChars="200"/>
              <w:jc w:val="both"/>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五、固体废物保护措施</w:t>
            </w:r>
          </w:p>
          <w:p w14:paraId="2617A68A">
            <w:pPr>
              <w:spacing w:line="440" w:lineRule="exact"/>
              <w:ind w:firstLine="482" w:firstLineChars="200"/>
              <w:jc w:val="left"/>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1、一般线路段</w:t>
            </w:r>
          </w:p>
          <w:p w14:paraId="745CD3A5">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本项目土石方开挖和回填总土石方调配平衡，无需借方，无弃方，不设置取土场、弃渣场，所有余方全部就近平整、回填利用。</w:t>
            </w:r>
          </w:p>
          <w:p w14:paraId="28306724">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施工期间产生的固废包括施工过程中产生的建筑垃圾及施工人员生活垃圾等。</w:t>
            </w:r>
          </w:p>
          <w:p w14:paraId="63F18FD7">
            <w:pPr>
              <w:spacing w:line="480" w:lineRule="exact"/>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snapToGrid w:val="0"/>
                <w:color w:val="auto"/>
                <w:sz w:val="24"/>
                <w:highlight w:val="none"/>
              </w:rPr>
              <w:t>上述固体废物应及时收集，不得随意抛弃、转移和扩散，施工过程中产生的建筑垃圾送市政部门指定的地点堆存；生活垃圾收集后，交由环卫部门统一处理。在采取以上措施后，施工期固废均可得到妥善处置，不会对周围环境产生明显不良影响。</w:t>
            </w:r>
          </w:p>
          <w:p w14:paraId="45281B0C">
            <w:pPr>
              <w:spacing w:line="480" w:lineRule="exact"/>
              <w:ind w:firstLine="482" w:firstLineChars="200"/>
              <w:jc w:val="both"/>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2、河北滦河上游国家级自然保护区段和生态保护红线段</w:t>
            </w:r>
          </w:p>
          <w:p w14:paraId="2EA28370">
            <w:pPr>
              <w:spacing w:line="480" w:lineRule="exact"/>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河北滦河上游国家级自然保护区段和生态保护红线段除采取一般段环境保护措施外，还需采取以下措施</w:t>
            </w:r>
            <w:r>
              <w:rPr>
                <w:rFonts w:hint="default" w:ascii="Times New Roman" w:hAnsi="Times New Roman" w:eastAsia="宋体" w:cs="Times New Roman"/>
                <w:color w:val="auto"/>
                <w:sz w:val="24"/>
                <w:szCs w:val="24"/>
                <w:highlight w:val="none"/>
              </w:rPr>
              <w:t>减轻影响。</w:t>
            </w:r>
            <w:r>
              <w:rPr>
                <w:rFonts w:hint="default" w:ascii="Times New Roman" w:hAnsi="Times New Roman" w:eastAsia="宋体" w:cs="Times New Roman"/>
                <w:color w:val="auto"/>
                <w:sz w:val="24"/>
                <w:highlight w:val="none"/>
              </w:rPr>
              <w:t>固体废物主要是建筑垃圾和施工人员产生的生活垃圾。</w:t>
            </w:r>
          </w:p>
          <w:p w14:paraId="2B991EA1">
            <w:pPr>
              <w:spacing w:line="480" w:lineRule="exact"/>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（1）建筑垃圾包括废弃的建筑材料以及场址平整和施工开挖所产生的弃土弃石等。开挖土石应有组织地在占地范围内堆置，以备回填利用，建筑垃圾应收集后带出保护区，尽量减少对周围生态环境的破坏。</w:t>
            </w:r>
          </w:p>
          <w:p w14:paraId="2C38D025">
            <w:pPr>
              <w:spacing w:line="480" w:lineRule="exact"/>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（2）废旧导线、废旧塔材、绝缘子等可重复利用材料，由施工单位现场收集交由建设单位回收再利用。对于不可回收利用的建材和建筑垃圾由施工单位运送至指定的垃圾处理厂。</w:t>
            </w:r>
          </w:p>
          <w:p w14:paraId="1A95E420">
            <w:pPr>
              <w:spacing w:line="480" w:lineRule="exact"/>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（3）避开雨季施工，防止雨水冲刷。</w:t>
            </w:r>
          </w:p>
          <w:p w14:paraId="035D5A73">
            <w:pPr>
              <w:spacing w:line="480" w:lineRule="exact"/>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（4）加强出碴管理，及时清运，必须做到密闭、包扎、覆盖，不得沿途撒漏，做到工序完工后场地清洁。</w:t>
            </w:r>
          </w:p>
          <w:p w14:paraId="2F639172">
            <w:pPr>
              <w:spacing w:line="480" w:lineRule="exact"/>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（5）施工期间产生的生活垃圾集中收集，定期转运至保护区外进行无公害处理。</w:t>
            </w:r>
          </w:p>
          <w:p w14:paraId="19CF8793">
            <w:pPr>
              <w:adjustRightInd w:val="0"/>
              <w:spacing w:line="480" w:lineRule="exact"/>
              <w:ind w:firstLine="480" w:firstLineChars="200"/>
              <w:jc w:val="both"/>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sz w:val="24"/>
                <w:highlight w:val="none"/>
              </w:rPr>
              <w:t>（6）施工结束后对施工区域再次进行清理，做到“工完、料尽、场地清”。</w:t>
            </w:r>
          </w:p>
          <w:p w14:paraId="4990DEFB">
            <w:pPr>
              <w:adjustRightIn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sz w:val="24"/>
                <w:highlight w:val="none"/>
              </w:rPr>
              <w:t>综上，本项目施工期间无废水排放，不会对项目所在区域水环境造成明显不良影响。</w:t>
            </w:r>
          </w:p>
        </w:tc>
      </w:tr>
      <w:tr w14:paraId="07849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tcBorders>
              <w:top w:val="single" w:color="auto" w:sz="4" w:space="0"/>
              <w:left w:val="single" w:color="auto" w:sz="4" w:space="0"/>
              <w:bottom w:val="single" w:color="auto" w:sz="4" w:space="0"/>
              <w:right w:val="single" w:color="auto" w:sz="4" w:space="0"/>
            </w:tcBorders>
            <w:vAlign w:val="center"/>
          </w:tcPr>
          <w:p w14:paraId="509A98E8">
            <w:pPr>
              <w:pStyle w:val="12"/>
              <w:spacing w:line="360" w:lineRule="auto"/>
              <w:ind w:firstLine="480" w:firstLineChars="20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运营期生态环境保护措施</w:t>
            </w:r>
          </w:p>
        </w:tc>
        <w:tc>
          <w:tcPr>
            <w:tcW w:w="8880" w:type="dxa"/>
            <w:tcBorders>
              <w:top w:val="single" w:color="auto" w:sz="4" w:space="0"/>
              <w:left w:val="single" w:color="auto" w:sz="4" w:space="0"/>
              <w:bottom w:val="single" w:color="auto" w:sz="4" w:space="0"/>
              <w:right w:val="single" w:color="auto" w:sz="4" w:space="0"/>
            </w:tcBorders>
          </w:tcPr>
          <w:p w14:paraId="55E8D4EC">
            <w:pPr>
              <w:autoSpaceDE/>
              <w:autoSpaceDN/>
              <w:adjustRightInd w:val="0"/>
              <w:snapToGrid w:val="0"/>
              <w:spacing w:line="360" w:lineRule="auto"/>
              <w:ind w:firstLine="520" w:firstLineChars="200"/>
              <w:jc w:val="both"/>
              <w:rPr>
                <w:rFonts w:hint="default" w:ascii="Times New Roman" w:hAnsi="Times New Roman" w:eastAsia="宋体" w:cs="Times New Roman"/>
                <w:color w:val="auto"/>
                <w:spacing w:val="10"/>
                <w:kern w:val="2"/>
                <w:sz w:val="24"/>
                <w:szCs w:val="24"/>
                <w:highlight w:val="none"/>
              </w:rPr>
            </w:pPr>
            <w:r>
              <w:rPr>
                <w:rFonts w:hint="default" w:ascii="Times New Roman" w:hAnsi="Times New Roman" w:eastAsia="宋体" w:cs="Times New Roman"/>
                <w:color w:val="auto"/>
                <w:spacing w:val="10"/>
                <w:kern w:val="2"/>
                <w:sz w:val="24"/>
                <w:szCs w:val="24"/>
                <w:highlight w:val="none"/>
              </w:rPr>
              <w:t>本项目所建输电线路以架空方式穿越，只有塔基占地。正常运行期间，本项目不会对周围环境产生水、大气污染等影响。</w:t>
            </w:r>
          </w:p>
          <w:p w14:paraId="603D3700">
            <w:pPr>
              <w:autoSpaceDE/>
              <w:autoSpaceDN/>
              <w:adjustRightInd w:val="0"/>
              <w:snapToGrid w:val="0"/>
              <w:spacing w:line="360" w:lineRule="auto"/>
              <w:ind w:firstLine="522" w:firstLineChars="200"/>
              <w:jc w:val="both"/>
              <w:rPr>
                <w:rFonts w:hint="default" w:ascii="Times New Roman" w:hAnsi="Times New Roman" w:eastAsia="宋体" w:cs="Times New Roman"/>
                <w:b/>
                <w:bCs/>
                <w:color w:val="auto"/>
                <w:spacing w:val="10"/>
                <w:kern w:val="2"/>
                <w:sz w:val="24"/>
                <w:szCs w:val="24"/>
                <w:highlight w:val="none"/>
              </w:rPr>
            </w:pPr>
            <w:r>
              <w:rPr>
                <w:rFonts w:hint="default" w:ascii="Times New Roman" w:hAnsi="Times New Roman" w:eastAsia="宋体" w:cs="Times New Roman"/>
                <w:b/>
                <w:bCs/>
                <w:color w:val="auto"/>
                <w:spacing w:val="10"/>
                <w:kern w:val="2"/>
                <w:sz w:val="24"/>
                <w:szCs w:val="24"/>
                <w:highlight w:val="none"/>
              </w:rPr>
              <w:t>1、生态环境保护措施</w:t>
            </w:r>
          </w:p>
          <w:p w14:paraId="2773EFF7">
            <w:pPr>
              <w:autoSpaceDE/>
              <w:autoSpaceDN/>
              <w:adjustRightInd w:val="0"/>
              <w:snapToGrid w:val="0"/>
              <w:spacing w:line="360" w:lineRule="auto"/>
              <w:ind w:firstLine="520" w:firstLineChars="200"/>
              <w:jc w:val="both"/>
              <w:rPr>
                <w:rFonts w:hint="default" w:ascii="Times New Roman" w:hAnsi="Times New Roman" w:eastAsia="宋体" w:cs="Times New Roman"/>
                <w:color w:val="auto"/>
                <w:spacing w:val="10"/>
                <w:kern w:val="2"/>
                <w:sz w:val="24"/>
                <w:szCs w:val="24"/>
                <w:highlight w:val="none"/>
              </w:rPr>
            </w:pPr>
            <w:r>
              <w:rPr>
                <w:rFonts w:hint="default" w:ascii="Times New Roman" w:hAnsi="Times New Roman" w:eastAsia="宋体" w:cs="Times New Roman"/>
                <w:color w:val="auto"/>
                <w:spacing w:val="10"/>
                <w:kern w:val="2"/>
                <w:sz w:val="24"/>
                <w:szCs w:val="24"/>
                <w:highlight w:val="none"/>
              </w:rPr>
              <w:t>在项目运行期需对线路沿线及塔基进行定期巡查及检修，应对线路运行维护人员进行生态环境保护，尤其是野生动植物保护相关知识的培训，提高他们的环境保护意识，不对工程周边区域的动植物及生态环境造成破坏；巡查及检修时对进入的交通工具及设备进行严格的外来物种及病虫害抽样检疫，一旦发现立即清除。</w:t>
            </w:r>
          </w:p>
          <w:p w14:paraId="25C99EF7">
            <w:pPr>
              <w:autoSpaceDE/>
              <w:autoSpaceDN/>
              <w:adjustRightInd w:val="0"/>
              <w:snapToGrid w:val="0"/>
              <w:spacing w:line="360" w:lineRule="auto"/>
              <w:ind w:firstLine="522" w:firstLineChars="200"/>
              <w:jc w:val="both"/>
              <w:rPr>
                <w:rFonts w:hint="default" w:ascii="Times New Roman" w:hAnsi="Times New Roman" w:eastAsia="宋体" w:cs="Times New Roman"/>
                <w:b/>
                <w:bCs/>
                <w:color w:val="auto"/>
                <w:spacing w:val="10"/>
                <w:kern w:val="2"/>
                <w:sz w:val="24"/>
                <w:szCs w:val="24"/>
                <w:highlight w:val="none"/>
              </w:rPr>
            </w:pPr>
            <w:r>
              <w:rPr>
                <w:rFonts w:hint="default" w:ascii="Times New Roman" w:hAnsi="Times New Roman" w:eastAsia="宋体" w:cs="Times New Roman"/>
                <w:b/>
                <w:bCs/>
                <w:color w:val="auto"/>
                <w:spacing w:val="10"/>
                <w:kern w:val="2"/>
                <w:sz w:val="24"/>
                <w:szCs w:val="24"/>
                <w:highlight w:val="none"/>
              </w:rPr>
              <w:t>2、生物资源保护措施</w:t>
            </w:r>
          </w:p>
          <w:p w14:paraId="42E4211A">
            <w:pPr>
              <w:autoSpaceDE/>
              <w:autoSpaceDN/>
              <w:adjustRightInd w:val="0"/>
              <w:snapToGrid w:val="0"/>
              <w:spacing w:line="360" w:lineRule="auto"/>
              <w:ind w:firstLine="520" w:firstLineChars="200"/>
              <w:jc w:val="both"/>
              <w:rPr>
                <w:rFonts w:hint="default" w:ascii="Times New Roman" w:hAnsi="Times New Roman" w:eastAsia="宋体" w:cs="Times New Roman"/>
                <w:color w:val="auto"/>
                <w:spacing w:val="10"/>
                <w:kern w:val="2"/>
                <w:sz w:val="24"/>
                <w:szCs w:val="24"/>
                <w:highlight w:val="none"/>
              </w:rPr>
            </w:pPr>
            <w:r>
              <w:rPr>
                <w:rFonts w:hint="default" w:ascii="Times New Roman" w:hAnsi="Times New Roman" w:eastAsia="宋体" w:cs="Times New Roman"/>
                <w:color w:val="auto"/>
                <w:spacing w:val="10"/>
                <w:kern w:val="2"/>
                <w:sz w:val="24"/>
                <w:szCs w:val="24"/>
                <w:highlight w:val="none"/>
              </w:rPr>
              <w:t>在项目运行期鸟类有可能在塔基筑巢，可以在塔基关键部位安装防鸟网等防鸟装置，避免鸟类进入塔基内部筑巢，如果已经筑巢可以考虑在鸟类非繁殖期由专业人员进行人工清除，这样可以避免对鸟类及其幼雏造成伤害，定期对电线塔进行巡查，对安装的防鸟装置进行定期维护，确保其有效性。</w:t>
            </w:r>
          </w:p>
          <w:p w14:paraId="44D6C533">
            <w:pPr>
              <w:autoSpaceDE/>
              <w:autoSpaceDN/>
              <w:adjustRightInd w:val="0"/>
              <w:snapToGrid w:val="0"/>
              <w:spacing w:line="360" w:lineRule="auto"/>
              <w:ind w:firstLine="522" w:firstLineChars="200"/>
              <w:jc w:val="both"/>
              <w:rPr>
                <w:rFonts w:hint="default" w:ascii="Times New Roman" w:hAnsi="Times New Roman" w:eastAsia="宋体" w:cs="Times New Roman"/>
                <w:b/>
                <w:bCs/>
                <w:color w:val="auto"/>
                <w:spacing w:val="10"/>
                <w:kern w:val="2"/>
                <w:sz w:val="24"/>
                <w:szCs w:val="24"/>
                <w:highlight w:val="none"/>
              </w:rPr>
            </w:pPr>
            <w:r>
              <w:rPr>
                <w:rFonts w:hint="default" w:ascii="Times New Roman" w:hAnsi="Times New Roman" w:eastAsia="宋体" w:cs="Times New Roman"/>
                <w:b/>
                <w:bCs/>
                <w:color w:val="auto"/>
                <w:spacing w:val="10"/>
                <w:kern w:val="2"/>
                <w:sz w:val="24"/>
                <w:szCs w:val="24"/>
                <w:highlight w:val="none"/>
              </w:rPr>
              <w:t>3、固体废弃物影响措施</w:t>
            </w:r>
          </w:p>
          <w:p w14:paraId="7E581ECC">
            <w:pPr>
              <w:autoSpaceDE/>
              <w:autoSpaceDN/>
              <w:adjustRightInd w:val="0"/>
              <w:snapToGrid w:val="0"/>
              <w:spacing w:line="360" w:lineRule="auto"/>
              <w:ind w:firstLine="520" w:firstLineChars="200"/>
              <w:jc w:val="both"/>
              <w:rPr>
                <w:rFonts w:hint="default" w:ascii="Times New Roman" w:hAnsi="Times New Roman" w:eastAsia="宋体" w:cs="Times New Roman"/>
                <w:color w:val="auto"/>
                <w:spacing w:val="10"/>
                <w:kern w:val="2"/>
                <w:sz w:val="24"/>
                <w:szCs w:val="24"/>
                <w:highlight w:val="none"/>
              </w:rPr>
            </w:pPr>
            <w:r>
              <w:rPr>
                <w:rFonts w:hint="default" w:ascii="Times New Roman" w:hAnsi="Times New Roman" w:eastAsia="宋体" w:cs="Times New Roman"/>
                <w:color w:val="auto"/>
                <w:spacing w:val="10"/>
                <w:kern w:val="2"/>
                <w:sz w:val="24"/>
                <w:szCs w:val="24"/>
                <w:highlight w:val="none"/>
              </w:rPr>
              <w:t>在输电线路运行期，定期巡线过程中，线路的检修可能产生少量固体废物，运行维护过程中产生的废弃绝缘子、生活垃圾等废物不得随意丢弃，线路运</w:t>
            </w:r>
            <w:r>
              <w:rPr>
                <w:rFonts w:hint="eastAsia" w:ascii="Times New Roman" w:hAnsi="Times New Roman" w:eastAsia="宋体" w:cs="Times New Roman"/>
                <w:color w:val="auto"/>
                <w:spacing w:val="10"/>
                <w:kern w:val="2"/>
                <w:sz w:val="24"/>
                <w:szCs w:val="24"/>
                <w:highlight w:val="none"/>
                <w:lang w:val="en-US" w:eastAsia="zh-CN"/>
              </w:rPr>
              <w:t>行</w:t>
            </w:r>
            <w:r>
              <w:rPr>
                <w:rFonts w:hint="default" w:ascii="Times New Roman" w:hAnsi="Times New Roman" w:eastAsia="宋体" w:cs="Times New Roman"/>
                <w:color w:val="auto"/>
                <w:spacing w:val="10"/>
                <w:kern w:val="2"/>
                <w:sz w:val="24"/>
                <w:szCs w:val="24"/>
                <w:highlight w:val="none"/>
              </w:rPr>
              <w:t>维护人员应将生活垃圾带至垃圾集中收集点妥善处置，废弃绝缘子等废物回收处理。</w:t>
            </w:r>
          </w:p>
          <w:p w14:paraId="15A2802F">
            <w:pPr>
              <w:autoSpaceDE/>
              <w:autoSpaceDN/>
              <w:adjustRightInd w:val="0"/>
              <w:snapToGrid w:val="0"/>
              <w:spacing w:line="360" w:lineRule="auto"/>
              <w:ind w:firstLine="522" w:firstLineChars="200"/>
              <w:jc w:val="both"/>
              <w:rPr>
                <w:rFonts w:hint="default" w:ascii="Times New Roman" w:hAnsi="Times New Roman" w:eastAsia="宋体" w:cs="Times New Roman"/>
                <w:b/>
                <w:bCs/>
                <w:color w:val="auto"/>
                <w:spacing w:val="10"/>
                <w:kern w:val="2"/>
                <w:sz w:val="24"/>
                <w:szCs w:val="24"/>
                <w:highlight w:val="none"/>
              </w:rPr>
            </w:pPr>
            <w:r>
              <w:rPr>
                <w:rFonts w:hint="default" w:ascii="Times New Roman" w:hAnsi="Times New Roman" w:eastAsia="宋体" w:cs="Times New Roman"/>
                <w:b/>
                <w:bCs/>
                <w:color w:val="auto"/>
                <w:spacing w:val="10"/>
                <w:kern w:val="2"/>
                <w:sz w:val="24"/>
                <w:szCs w:val="24"/>
                <w:highlight w:val="none"/>
              </w:rPr>
              <w:t>4、电磁辐射影响措施</w:t>
            </w:r>
          </w:p>
          <w:p w14:paraId="161C3928">
            <w:pPr>
              <w:autoSpaceDE/>
              <w:autoSpaceDN/>
              <w:adjustRightInd w:val="0"/>
              <w:snapToGrid w:val="0"/>
              <w:spacing w:line="360" w:lineRule="auto"/>
              <w:ind w:firstLine="520" w:firstLineChars="200"/>
              <w:jc w:val="both"/>
              <w:rPr>
                <w:rFonts w:hint="default" w:ascii="Times New Roman" w:hAnsi="Times New Roman" w:eastAsia="宋体" w:cs="Times New Roman"/>
                <w:color w:val="auto"/>
                <w:spacing w:val="10"/>
                <w:kern w:val="2"/>
                <w:sz w:val="24"/>
                <w:szCs w:val="24"/>
                <w:highlight w:val="none"/>
              </w:rPr>
            </w:pPr>
            <w:r>
              <w:rPr>
                <w:rFonts w:hint="default" w:ascii="Times New Roman" w:hAnsi="Times New Roman" w:eastAsia="宋体" w:cs="Times New Roman"/>
                <w:color w:val="auto"/>
                <w:spacing w:val="10"/>
                <w:kern w:val="2"/>
                <w:sz w:val="24"/>
                <w:szCs w:val="24"/>
                <w:highlight w:val="none"/>
              </w:rPr>
              <w:t>本项目为线路工程，输电线路的电磁辐射可能会影响鸟类，可以使用高压线路用绝缘子，运行期间做到及时</w:t>
            </w:r>
            <w:r>
              <w:rPr>
                <w:rFonts w:hint="eastAsia" w:ascii="Times New Roman" w:hAnsi="Times New Roman" w:eastAsia="宋体" w:cs="Times New Roman"/>
                <w:color w:val="auto"/>
                <w:spacing w:val="10"/>
                <w:kern w:val="2"/>
                <w:sz w:val="24"/>
                <w:szCs w:val="24"/>
                <w:highlight w:val="none"/>
                <w:lang w:eastAsia="zh-CN"/>
              </w:rPr>
              <w:t>清扫</w:t>
            </w:r>
            <w:r>
              <w:rPr>
                <w:rFonts w:hint="default" w:ascii="Times New Roman" w:hAnsi="Times New Roman" w:eastAsia="宋体" w:cs="Times New Roman"/>
                <w:color w:val="auto"/>
                <w:spacing w:val="10"/>
                <w:kern w:val="2"/>
                <w:sz w:val="24"/>
                <w:szCs w:val="24"/>
                <w:highlight w:val="none"/>
              </w:rPr>
              <w:t>，特别是鸟类活动频繁的地区绝缘子更要多次清扫，以保证绝缘良好，防止对鸟类产生电磁辐射；在塔基上安装带有反光镜惊鸟装置、惊鸟旗等，避免鸟类飞行过程中发生碰撞。</w:t>
            </w:r>
          </w:p>
          <w:p w14:paraId="53C98234">
            <w:pPr>
              <w:autoSpaceDE/>
              <w:autoSpaceDN/>
              <w:adjustRightInd w:val="0"/>
              <w:snapToGrid w:val="0"/>
              <w:spacing w:line="360" w:lineRule="auto"/>
              <w:ind w:firstLine="520" w:firstLineChars="200"/>
              <w:jc w:val="both"/>
              <w:rPr>
                <w:rFonts w:hint="default" w:ascii="Times New Roman" w:hAnsi="Times New Roman" w:eastAsia="宋体" w:cs="Times New Roman"/>
                <w:color w:val="auto"/>
                <w:spacing w:val="10"/>
                <w:kern w:val="2"/>
                <w:sz w:val="24"/>
                <w:szCs w:val="24"/>
                <w:highlight w:val="none"/>
              </w:rPr>
            </w:pPr>
            <w:r>
              <w:rPr>
                <w:rFonts w:hint="default" w:ascii="Times New Roman" w:hAnsi="Times New Roman" w:eastAsia="宋体" w:cs="Times New Roman"/>
                <w:color w:val="auto"/>
                <w:spacing w:val="10"/>
                <w:kern w:val="2"/>
                <w:sz w:val="24"/>
                <w:szCs w:val="24"/>
                <w:highlight w:val="none"/>
              </w:rPr>
              <w:t>输电线路运行阶段在沿线杆塔上设置高压及警示标志，标明有关注意事项；运维单位加强输电线路巡线工作，确保输电线路的正常运行，确保输电线路周围电磁环境达标；对沿线居民进行有关高压输电方面的环境宣传工作，提高沿线居民环境保护意识和自我安全防护意识。</w:t>
            </w:r>
          </w:p>
          <w:p w14:paraId="7494FA73">
            <w:pPr>
              <w:autoSpaceDE/>
              <w:autoSpaceDN/>
              <w:adjustRightInd w:val="0"/>
              <w:snapToGrid w:val="0"/>
              <w:spacing w:line="360" w:lineRule="auto"/>
              <w:ind w:firstLine="522" w:firstLineChars="200"/>
              <w:jc w:val="both"/>
              <w:rPr>
                <w:rFonts w:hint="default" w:ascii="Times New Roman" w:hAnsi="Times New Roman" w:eastAsia="宋体" w:cs="Times New Roman"/>
                <w:b/>
                <w:bCs/>
                <w:color w:val="auto"/>
                <w:spacing w:val="10"/>
                <w:kern w:val="2"/>
                <w:sz w:val="24"/>
                <w:szCs w:val="24"/>
                <w:highlight w:val="none"/>
              </w:rPr>
            </w:pPr>
            <w:r>
              <w:rPr>
                <w:rFonts w:hint="default" w:ascii="Times New Roman" w:hAnsi="Times New Roman" w:eastAsia="宋体" w:cs="Times New Roman"/>
                <w:b/>
                <w:bCs/>
                <w:color w:val="auto"/>
                <w:spacing w:val="10"/>
                <w:kern w:val="2"/>
                <w:sz w:val="24"/>
                <w:szCs w:val="24"/>
                <w:highlight w:val="none"/>
              </w:rPr>
              <w:t>5、动态监测</w:t>
            </w:r>
          </w:p>
          <w:p w14:paraId="12590DC2">
            <w:pPr>
              <w:autoSpaceDE/>
              <w:autoSpaceDN/>
              <w:adjustRightInd w:val="0"/>
              <w:snapToGrid w:val="0"/>
              <w:spacing w:line="360" w:lineRule="auto"/>
              <w:ind w:firstLine="520" w:firstLineChars="200"/>
              <w:jc w:val="both"/>
              <w:rPr>
                <w:rFonts w:hint="default" w:ascii="Times New Roman" w:hAnsi="Times New Roman" w:eastAsia="宋体" w:cs="Times New Roman"/>
                <w:color w:val="auto"/>
                <w:spacing w:val="10"/>
                <w:kern w:val="2"/>
                <w:sz w:val="24"/>
                <w:szCs w:val="24"/>
                <w:highlight w:val="none"/>
              </w:rPr>
            </w:pPr>
            <w:r>
              <w:rPr>
                <w:rFonts w:hint="default" w:ascii="Times New Roman" w:hAnsi="Times New Roman" w:eastAsia="宋体" w:cs="Times New Roman"/>
                <w:color w:val="auto"/>
                <w:spacing w:val="10"/>
                <w:kern w:val="2"/>
                <w:sz w:val="24"/>
                <w:szCs w:val="24"/>
                <w:highlight w:val="none"/>
              </w:rPr>
              <w:t>在运营期需做好自然资源与生态环境的保护与动态监测，做好野生动植物的监测，开展高压输电工程对保护区兽类、鸟类等野生动物影响的监测研究，以及时掌握评价范围内生态环境和保护物种的种群动态变化，为自然保护区保护管理提供决策依据。项目建设方要加强与保护区管理部门的协调与联系，并配合保护区做好相应的生态宣教、生态管护和生态监测等方面的工作，认真落实生态保护与恢复措施。</w:t>
            </w:r>
          </w:p>
          <w:p w14:paraId="7D71883D">
            <w:pPr>
              <w:autoSpaceDE/>
              <w:autoSpaceDN/>
              <w:adjustRightInd w:val="0"/>
              <w:snapToGrid w:val="0"/>
              <w:spacing w:line="360" w:lineRule="auto"/>
              <w:ind w:firstLine="52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pacing w:val="10"/>
                <w:kern w:val="2"/>
                <w:sz w:val="24"/>
                <w:szCs w:val="24"/>
                <w:highlight w:val="none"/>
              </w:rPr>
              <w:t>制定并实施电磁环境管理和监测计划，建立电磁环境监测的数据档案。加强线路沿线巡查和检查，定期开展环境监测，确保电磁符合GB8702国家标准要求，并及时解决公众合理的环境保护诉求。保护区管理部门应参与监督生态安全与输电线路运行安全的管理工作，制定监测、监督及跟踪管理计划，若因工程建设和运营发生突发事件或较大变化的事件，应及时上报上级主管部门，并采取相应的对策降低影响程度。</w:t>
            </w:r>
          </w:p>
        </w:tc>
      </w:tr>
      <w:tr w14:paraId="373C2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tcBorders>
              <w:top w:val="single" w:color="auto" w:sz="4" w:space="0"/>
              <w:left w:val="single" w:color="auto" w:sz="4" w:space="0"/>
              <w:bottom w:val="single" w:color="auto" w:sz="4" w:space="0"/>
              <w:right w:val="single" w:color="auto" w:sz="4" w:space="0"/>
            </w:tcBorders>
            <w:vAlign w:val="center"/>
          </w:tcPr>
          <w:p w14:paraId="04D2A90C">
            <w:pPr>
              <w:pStyle w:val="12"/>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其他</w:t>
            </w:r>
          </w:p>
        </w:tc>
        <w:tc>
          <w:tcPr>
            <w:tcW w:w="8880" w:type="dxa"/>
            <w:tcBorders>
              <w:top w:val="single" w:color="auto" w:sz="4" w:space="0"/>
              <w:left w:val="single" w:color="auto" w:sz="4" w:space="0"/>
              <w:bottom w:val="single" w:color="auto" w:sz="4" w:space="0"/>
              <w:right w:val="single" w:color="auto" w:sz="4" w:space="0"/>
            </w:tcBorders>
          </w:tcPr>
          <w:p w14:paraId="20ABEF41">
            <w:pPr>
              <w:adjustRightInd w:val="0"/>
              <w:spacing w:line="480" w:lineRule="exact"/>
              <w:ind w:firstLine="482" w:firstLineChars="200"/>
              <w:jc w:val="both"/>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1、环境管理</w:t>
            </w:r>
          </w:p>
          <w:p w14:paraId="7F06456F">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从前述分析评价可知，本项目在施工期和运营期都会对周围的生态环境、自然环境带来一定的影响，为了及时有效的减轻或消除不利影响，需要在项目施工建设期和运营期制定必要的环境保护管理制度。其主要目的是准确监测项目给环境带来的真实影响；监督工程的各项环保措施得以实施。</w:t>
            </w:r>
          </w:p>
          <w:p w14:paraId="2EA2B5B3">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（1）施工期生态保护环境管理</w:t>
            </w:r>
          </w:p>
          <w:p w14:paraId="33216FF7">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项目施工期的环境管理机构由建设单位和工程监理机构共同组成，由环保相关主管部门进行监督，共同进行施工期的环境管理。</w:t>
            </w:r>
          </w:p>
          <w:p w14:paraId="24D12BB3">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重点环境</w:t>
            </w:r>
            <w:r>
              <w:rPr>
                <w:rFonts w:hint="eastAsia" w:ascii="Times New Roman" w:hAnsi="Times New Roman" w:eastAsia="宋体" w:cs="Times New Roman"/>
                <w:color w:val="auto"/>
                <w:sz w:val="24"/>
                <w:szCs w:val="24"/>
                <w:highlight w:val="none"/>
                <w:lang w:eastAsia="zh-CN"/>
              </w:rPr>
              <w:t>管</w:t>
            </w:r>
            <w:r>
              <w:rPr>
                <w:rFonts w:hint="default" w:ascii="Times New Roman" w:hAnsi="Times New Roman" w:eastAsia="宋体" w:cs="Times New Roman"/>
                <w:color w:val="auto"/>
                <w:sz w:val="24"/>
                <w:szCs w:val="24"/>
                <w:highlight w:val="none"/>
              </w:rPr>
              <w:t>理点位：环境管理人员应随着主体工程的开展，选择具有代表性的部位（保护区段和生态红线段）进行全程管理。</w:t>
            </w:r>
          </w:p>
          <w:p w14:paraId="07864B1F">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（2）环境管理内容：</w:t>
            </w:r>
          </w:p>
          <w:p w14:paraId="45FC969D">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影响水土流失因子：主要包括地形地貌、土壤性质、植被覆盖率和降水、风等因子。</w:t>
            </w:r>
          </w:p>
          <w:p w14:paraId="062AE147">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水土流失动态管理：包括水土流失类型、面积、强度和流失量变化，对下游及周边地区造成的危害和趋势。</w:t>
            </w:r>
          </w:p>
          <w:p w14:paraId="361104E9">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生态环境管理：包括地形、地貌和水系变化情况，项目建设占地和扰动地表面积，挖填方数量和占地面积，渣土堆放形态和面积，临时堆土数量、时间、形态和面积，项目区林草覆盖率。</w:t>
            </w:r>
          </w:p>
          <w:p w14:paraId="45F62740">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生态措施成效管理：各类生态措施的数量和质量，林草成活率、保存率、生长情况和覆盖率，工程措施的稳定性、完好程度和运行情况及效果。</w:t>
            </w:r>
          </w:p>
          <w:p w14:paraId="0F4C9C78">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（3）环保管理与监测机构</w:t>
            </w:r>
          </w:p>
          <w:p w14:paraId="091B4F62">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1）本项目应设置专门的环境保护管理机构，主要负责项目施工期的环境保护管理工作，其主要职责为：</w:t>
            </w:r>
          </w:p>
          <w:p w14:paraId="77C12762">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①负责工程的环境管理。</w:t>
            </w:r>
          </w:p>
          <w:p w14:paraId="4810D110">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②督促和落实环保工程设计与实施及正常运营。</w:t>
            </w:r>
          </w:p>
          <w:p w14:paraId="48313365">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③在承包合同中落实环保条款，提供施工中环保执行信息。</w:t>
            </w:r>
          </w:p>
          <w:p w14:paraId="228D88B4">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④负责受影响公众的环保投诉。</w:t>
            </w:r>
          </w:p>
          <w:p w14:paraId="2AC22128">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⑤积极配合、支持地方环保主管部门的工作，并接受其监督与检查。</w:t>
            </w:r>
          </w:p>
          <w:p w14:paraId="747EC51C">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2）项目运营期的环境管理工作建议由本项目的管理部门承担，并设专人管理，主要负责项目一切环保工作。</w:t>
            </w:r>
          </w:p>
          <w:p w14:paraId="3E5CAB3F">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3）项目施工与运营期的环境监测工作建议委托有关地方环境监测机构承担。</w:t>
            </w:r>
          </w:p>
          <w:p w14:paraId="04227545">
            <w:pPr>
              <w:autoSpaceDE/>
              <w:autoSpaceDN/>
              <w:spacing w:line="480" w:lineRule="exact"/>
              <w:ind w:firstLine="482" w:firstLineChars="200"/>
              <w:jc w:val="both"/>
              <w:rPr>
                <w:rFonts w:hint="default" w:ascii="Times New Roman" w:hAnsi="Times New Roman" w:eastAsia="宋体" w:cs="Times New Roman"/>
                <w:b/>
                <w:bCs/>
                <w:color w:val="auto"/>
                <w:kern w:val="2"/>
                <w:sz w:val="24"/>
                <w:szCs w:val="24"/>
                <w:highlight w:val="none"/>
              </w:rPr>
            </w:pPr>
            <w:r>
              <w:rPr>
                <w:rFonts w:hint="default" w:ascii="Times New Roman" w:hAnsi="Times New Roman" w:eastAsia="宋体" w:cs="Times New Roman"/>
                <w:b/>
                <w:bCs/>
                <w:color w:val="auto"/>
                <w:kern w:val="2"/>
                <w:sz w:val="24"/>
                <w:szCs w:val="24"/>
                <w:highlight w:val="none"/>
              </w:rPr>
              <w:t>2、监测计划</w:t>
            </w:r>
          </w:p>
          <w:p w14:paraId="38F98254">
            <w:pPr>
              <w:autoSpaceDE/>
              <w:autoSpaceDN/>
              <w:spacing w:line="480" w:lineRule="exact"/>
              <w:ind w:firstLine="480" w:firstLineChars="20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根据《输变电建设项目环境保护技术要求》（HJ1113-2020），线路周围电磁环境和声环境需要定期监测，及时了解电磁设备对周围环境的影响，监测记录包括监测位置、监测时间、监测人员和监测结果，并保存监测记录。</w:t>
            </w:r>
          </w:p>
          <w:p w14:paraId="57099513">
            <w:pPr>
              <w:autoSpaceDE/>
              <w:autoSpaceDN/>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表5-1  环境监测计划一览表</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
              <w:gridCol w:w="2236"/>
              <w:gridCol w:w="1225"/>
              <w:gridCol w:w="1895"/>
              <w:gridCol w:w="2315"/>
            </w:tblGrid>
            <w:tr w14:paraId="00706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pct"/>
                  <w:vAlign w:val="center"/>
                </w:tcPr>
                <w:p w14:paraId="25A8DB7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w:t>
                  </w:r>
                </w:p>
              </w:tc>
              <w:tc>
                <w:tcPr>
                  <w:tcW w:w="1292" w:type="pct"/>
                  <w:vAlign w:val="center"/>
                </w:tcPr>
                <w:p w14:paraId="59F8046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监测方法</w:t>
                  </w:r>
                </w:p>
              </w:tc>
              <w:tc>
                <w:tcPr>
                  <w:tcW w:w="708" w:type="pct"/>
                  <w:vAlign w:val="center"/>
                </w:tcPr>
                <w:p w14:paraId="1ACCADC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监测因子</w:t>
                  </w:r>
                </w:p>
              </w:tc>
              <w:tc>
                <w:tcPr>
                  <w:tcW w:w="1095" w:type="pct"/>
                  <w:vAlign w:val="center"/>
                </w:tcPr>
                <w:p w14:paraId="3934133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监测点位</w:t>
                  </w:r>
                </w:p>
              </w:tc>
              <w:tc>
                <w:tcPr>
                  <w:tcW w:w="1338" w:type="pct"/>
                  <w:vAlign w:val="center"/>
                </w:tcPr>
                <w:p w14:paraId="1DD145D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监测周期</w:t>
                  </w:r>
                </w:p>
              </w:tc>
            </w:tr>
            <w:tr w14:paraId="35D2A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pct"/>
                  <w:vAlign w:val="center"/>
                </w:tcPr>
                <w:p w14:paraId="746965B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电磁环境</w:t>
                  </w:r>
                </w:p>
              </w:tc>
              <w:tc>
                <w:tcPr>
                  <w:tcW w:w="1292" w:type="pct"/>
                  <w:vAlign w:val="center"/>
                </w:tcPr>
                <w:p w14:paraId="0A6FC11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《交流输变电工程电磁环境监测方法（试行）》（HJ681-2013）</w:t>
                  </w:r>
                </w:p>
              </w:tc>
              <w:tc>
                <w:tcPr>
                  <w:tcW w:w="708" w:type="pct"/>
                  <w:vAlign w:val="center"/>
                </w:tcPr>
                <w:p w14:paraId="7C4EBFB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工频电场、工频磁场</w:t>
                  </w:r>
                </w:p>
              </w:tc>
              <w:tc>
                <w:tcPr>
                  <w:tcW w:w="1095" w:type="pct"/>
                  <w:vAlign w:val="center"/>
                </w:tcPr>
                <w:p w14:paraId="741D595E">
                  <w:pPr>
                    <w:spacing w:line="0" w:lineRule="atLeas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架空线路沿线及保护区段</w:t>
                  </w:r>
                </w:p>
              </w:tc>
              <w:tc>
                <w:tcPr>
                  <w:tcW w:w="1338" w:type="pct"/>
                  <w:vAlign w:val="center"/>
                </w:tcPr>
                <w:p w14:paraId="24FA6A74">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验收监测一次，突发环境事件时进行监测，公众发生投诉情况时进行监测</w:t>
                  </w:r>
                </w:p>
              </w:tc>
            </w:tr>
            <w:tr w14:paraId="3A40B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pct"/>
                  <w:vAlign w:val="center"/>
                </w:tcPr>
                <w:p w14:paraId="6E9031B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1292" w:type="pct"/>
                  <w:vAlign w:val="center"/>
                </w:tcPr>
                <w:p w14:paraId="2CD04BD1">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《声环境质量标准》（GB3096-2008）</w:t>
                  </w:r>
                </w:p>
              </w:tc>
              <w:tc>
                <w:tcPr>
                  <w:tcW w:w="708" w:type="pct"/>
                  <w:vAlign w:val="center"/>
                </w:tcPr>
                <w:p w14:paraId="4DF9610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等效连续A声级</w:t>
                  </w:r>
                </w:p>
              </w:tc>
              <w:tc>
                <w:tcPr>
                  <w:tcW w:w="1095" w:type="pct"/>
                  <w:vAlign w:val="center"/>
                </w:tcPr>
                <w:p w14:paraId="730C03AF">
                  <w:pPr>
                    <w:spacing w:line="0" w:lineRule="atLeas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架空线路沿线及保护区段</w:t>
                  </w:r>
                </w:p>
              </w:tc>
              <w:tc>
                <w:tcPr>
                  <w:tcW w:w="1338" w:type="pct"/>
                  <w:vAlign w:val="center"/>
                </w:tcPr>
                <w:p w14:paraId="2EF64EFB">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验收监测一次，突发环境事件时进行监测，公众发生投诉情况时进行监测</w:t>
                  </w:r>
                </w:p>
              </w:tc>
            </w:tr>
          </w:tbl>
          <w:p w14:paraId="5FBED69D">
            <w:pPr>
              <w:autoSpaceDE/>
              <w:autoSpaceDN/>
              <w:adjustRightInd w:val="0"/>
              <w:snapToGrid w:val="0"/>
              <w:spacing w:line="480" w:lineRule="exact"/>
              <w:jc w:val="both"/>
              <w:rPr>
                <w:rFonts w:hint="default" w:ascii="Times New Roman" w:hAnsi="Times New Roman" w:eastAsia="宋体" w:cs="Times New Roman"/>
                <w:b/>
                <w:bCs/>
                <w:color w:val="auto"/>
                <w:spacing w:val="10"/>
                <w:kern w:val="2"/>
                <w:sz w:val="24"/>
                <w:szCs w:val="24"/>
                <w:highlight w:val="none"/>
              </w:rPr>
            </w:pPr>
          </w:p>
        </w:tc>
      </w:tr>
      <w:tr w14:paraId="021AC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tcBorders>
              <w:top w:val="single" w:color="auto" w:sz="4" w:space="0"/>
              <w:left w:val="single" w:color="auto" w:sz="4" w:space="0"/>
              <w:bottom w:val="single" w:color="auto" w:sz="4" w:space="0"/>
              <w:right w:val="single" w:color="auto" w:sz="4" w:space="0"/>
            </w:tcBorders>
            <w:vAlign w:val="center"/>
          </w:tcPr>
          <w:p w14:paraId="1A847183">
            <w:pPr>
              <w:pStyle w:val="12"/>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w:t>
            </w:r>
          </w:p>
        </w:tc>
        <w:tc>
          <w:tcPr>
            <w:tcW w:w="8880" w:type="dxa"/>
            <w:tcBorders>
              <w:top w:val="single" w:color="auto" w:sz="4" w:space="0"/>
              <w:left w:val="single" w:color="auto" w:sz="4" w:space="0"/>
              <w:bottom w:val="single" w:color="auto" w:sz="4" w:space="0"/>
              <w:right w:val="single" w:color="auto" w:sz="4" w:space="0"/>
            </w:tcBorders>
          </w:tcPr>
          <w:p w14:paraId="660372D9">
            <w:pPr>
              <w:autoSpaceDE/>
              <w:autoSpaceDN/>
              <w:adjustRightInd w:val="0"/>
              <w:snapToGrid w:val="0"/>
              <w:spacing w:line="480" w:lineRule="exact"/>
              <w:ind w:firstLine="520" w:firstLineChars="200"/>
              <w:jc w:val="both"/>
              <w:rPr>
                <w:rFonts w:hint="default" w:ascii="Times New Roman" w:hAnsi="Times New Roman" w:eastAsia="宋体" w:cs="Times New Roman"/>
                <w:bCs/>
                <w:color w:val="auto"/>
                <w:spacing w:val="10"/>
                <w:kern w:val="2"/>
                <w:sz w:val="24"/>
                <w:szCs w:val="24"/>
                <w:highlight w:val="none"/>
              </w:rPr>
            </w:pPr>
            <w:r>
              <w:rPr>
                <w:rFonts w:hint="default" w:ascii="Times New Roman" w:hAnsi="Times New Roman" w:eastAsia="宋体" w:cs="Times New Roman"/>
                <w:bCs/>
                <w:color w:val="auto"/>
                <w:spacing w:val="10"/>
                <w:kern w:val="2"/>
                <w:sz w:val="24"/>
                <w:szCs w:val="24"/>
                <w:highlight w:val="none"/>
              </w:rPr>
              <w:t>针对本项目施工期、运行期可能产生的环境问题，估算环保投资为</w:t>
            </w:r>
            <w:r>
              <w:rPr>
                <w:rFonts w:hint="default" w:ascii="Times New Roman" w:hAnsi="Times New Roman" w:eastAsia="宋体" w:cs="Times New Roman"/>
                <w:bCs/>
                <w:color w:val="auto"/>
                <w:spacing w:val="10"/>
                <w:kern w:val="2"/>
                <w:sz w:val="24"/>
                <w:szCs w:val="24"/>
                <w:highlight w:val="none"/>
                <w:lang w:val="en-US" w:eastAsia="zh-CN"/>
              </w:rPr>
              <w:t>24</w:t>
            </w:r>
            <w:r>
              <w:rPr>
                <w:rFonts w:hint="default" w:ascii="Times New Roman" w:hAnsi="Times New Roman" w:eastAsia="宋体" w:cs="Times New Roman"/>
                <w:bCs/>
                <w:color w:val="auto"/>
                <w:spacing w:val="10"/>
                <w:kern w:val="2"/>
                <w:sz w:val="24"/>
                <w:szCs w:val="24"/>
                <w:highlight w:val="none"/>
              </w:rPr>
              <w:t>0万元，具体明细见下表。</w:t>
            </w:r>
          </w:p>
          <w:p w14:paraId="2D59DAE1">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b/>
                <w:bCs/>
                <w:color w:val="auto"/>
                <w:kern w:val="2"/>
                <w:sz w:val="21"/>
                <w:szCs w:val="21"/>
                <w:highlight w:val="none"/>
              </w:rPr>
              <w:t>表5-2  项目环保投资一览表</w:t>
            </w:r>
          </w:p>
          <w:tbl>
            <w:tblPr>
              <w:tblStyle w:val="32"/>
              <w:tblW w:w="8628"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535"/>
              <w:gridCol w:w="554"/>
              <w:gridCol w:w="1962"/>
              <w:gridCol w:w="4429"/>
              <w:gridCol w:w="1148"/>
            </w:tblGrid>
            <w:tr w14:paraId="1C8AC5D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6" w:hRule="atLeast"/>
                <w:jc w:val="center"/>
              </w:trPr>
              <w:tc>
                <w:tcPr>
                  <w:tcW w:w="3051" w:type="dxa"/>
                  <w:gridSpan w:val="3"/>
                  <w:tcBorders>
                    <w:bottom w:val="single" w:color="000000" w:sz="4" w:space="0"/>
                    <w:right w:val="single" w:color="000000" w:sz="4" w:space="0"/>
                  </w:tcBorders>
                  <w:vAlign w:val="center"/>
                </w:tcPr>
                <w:p w14:paraId="6B2EC0BA">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w:t>
                  </w:r>
                </w:p>
              </w:tc>
              <w:tc>
                <w:tcPr>
                  <w:tcW w:w="4429" w:type="dxa"/>
                  <w:tcBorders>
                    <w:left w:val="single" w:color="000000" w:sz="4" w:space="0"/>
                    <w:bottom w:val="single" w:color="000000" w:sz="4" w:space="0"/>
                    <w:right w:val="single" w:color="000000" w:sz="4" w:space="0"/>
                  </w:tcBorders>
                  <w:vAlign w:val="center"/>
                </w:tcPr>
                <w:p w14:paraId="7BA49B59">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环保措施</w:t>
                  </w:r>
                </w:p>
              </w:tc>
              <w:tc>
                <w:tcPr>
                  <w:tcW w:w="1148" w:type="dxa"/>
                  <w:tcBorders>
                    <w:left w:val="single" w:color="000000" w:sz="4" w:space="0"/>
                    <w:bottom w:val="single" w:color="auto" w:sz="4" w:space="0"/>
                  </w:tcBorders>
                  <w:vAlign w:val="center"/>
                </w:tcPr>
                <w:p w14:paraId="74E8A83B">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投资（万元）</w:t>
                  </w:r>
                </w:p>
              </w:tc>
            </w:tr>
            <w:tr w14:paraId="434A5D0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6" w:hRule="atLeast"/>
                <w:jc w:val="center"/>
              </w:trPr>
              <w:tc>
                <w:tcPr>
                  <w:tcW w:w="535" w:type="dxa"/>
                  <w:vMerge w:val="restart"/>
                  <w:tcBorders>
                    <w:top w:val="single" w:color="000000" w:sz="4" w:space="0"/>
                    <w:right w:val="single" w:color="000000" w:sz="4" w:space="0"/>
                  </w:tcBorders>
                  <w:vAlign w:val="center"/>
                </w:tcPr>
                <w:p w14:paraId="12D56E74">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施工期</w:t>
                  </w:r>
                </w:p>
              </w:tc>
              <w:tc>
                <w:tcPr>
                  <w:tcW w:w="554" w:type="dxa"/>
                  <w:tcBorders>
                    <w:top w:val="single" w:color="000000" w:sz="4" w:space="0"/>
                    <w:right w:val="single" w:color="000000" w:sz="4" w:space="0"/>
                  </w:tcBorders>
                  <w:vAlign w:val="center"/>
                </w:tcPr>
                <w:p w14:paraId="20FB1057">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1962" w:type="dxa"/>
                  <w:tcBorders>
                    <w:top w:val="single" w:color="000000" w:sz="4" w:space="0"/>
                    <w:left w:val="single" w:color="000000" w:sz="4" w:space="0"/>
                    <w:bottom w:val="single" w:color="000000" w:sz="4" w:space="0"/>
                    <w:right w:val="single" w:color="000000" w:sz="4" w:space="0"/>
                  </w:tcBorders>
                  <w:vAlign w:val="center"/>
                </w:tcPr>
                <w:p w14:paraId="5AAE95EC">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施工扬尘</w:t>
                  </w:r>
                </w:p>
              </w:tc>
              <w:tc>
                <w:tcPr>
                  <w:tcW w:w="4429" w:type="dxa"/>
                  <w:tcBorders>
                    <w:top w:val="single" w:color="000000" w:sz="4" w:space="0"/>
                    <w:left w:val="single" w:color="000000" w:sz="4" w:space="0"/>
                    <w:bottom w:val="single" w:color="000000" w:sz="4" w:space="0"/>
                    <w:right w:val="single" w:color="auto" w:sz="4" w:space="0"/>
                  </w:tcBorders>
                  <w:vAlign w:val="center"/>
                </w:tcPr>
                <w:p w14:paraId="76BA610A">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出入车辆清洗、加强遮盖、及时清扫；洒水抑尘等</w:t>
                  </w:r>
                </w:p>
              </w:tc>
              <w:tc>
                <w:tcPr>
                  <w:tcW w:w="1148" w:type="dxa"/>
                  <w:tcBorders>
                    <w:top w:val="single" w:color="auto" w:sz="4" w:space="0"/>
                    <w:left w:val="single" w:color="auto" w:sz="4" w:space="0"/>
                    <w:bottom w:val="single" w:color="auto" w:sz="4" w:space="0"/>
                  </w:tcBorders>
                  <w:vAlign w:val="center"/>
                </w:tcPr>
                <w:p w14:paraId="6729A275">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r>
            <w:tr w14:paraId="2829B02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6" w:hRule="atLeast"/>
                <w:jc w:val="center"/>
              </w:trPr>
              <w:tc>
                <w:tcPr>
                  <w:tcW w:w="535" w:type="dxa"/>
                  <w:vMerge w:val="continue"/>
                  <w:tcBorders>
                    <w:right w:val="single" w:color="000000" w:sz="4" w:space="0"/>
                  </w:tcBorders>
                  <w:vAlign w:val="center"/>
                </w:tcPr>
                <w:p w14:paraId="16DF1542">
                  <w:pPr>
                    <w:autoSpaceDE/>
                    <w:autoSpaceDN/>
                    <w:spacing w:line="320" w:lineRule="exact"/>
                    <w:jc w:val="center"/>
                    <w:rPr>
                      <w:rFonts w:hint="default" w:ascii="Times New Roman" w:hAnsi="Times New Roman" w:eastAsia="宋体" w:cs="Times New Roman"/>
                      <w:color w:val="auto"/>
                      <w:sz w:val="21"/>
                      <w:szCs w:val="21"/>
                      <w:highlight w:val="none"/>
                    </w:rPr>
                  </w:pPr>
                </w:p>
              </w:tc>
              <w:tc>
                <w:tcPr>
                  <w:tcW w:w="554" w:type="dxa"/>
                  <w:tcBorders>
                    <w:top w:val="single" w:color="000000" w:sz="4" w:space="0"/>
                    <w:right w:val="single" w:color="000000" w:sz="4" w:space="0"/>
                  </w:tcBorders>
                  <w:vAlign w:val="center"/>
                </w:tcPr>
                <w:p w14:paraId="073F3E4D">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1962" w:type="dxa"/>
                  <w:tcBorders>
                    <w:top w:val="single" w:color="000000" w:sz="4" w:space="0"/>
                    <w:left w:val="single" w:color="000000" w:sz="4" w:space="0"/>
                    <w:bottom w:val="single" w:color="000000" w:sz="4" w:space="0"/>
                    <w:right w:val="single" w:color="000000" w:sz="4" w:space="0"/>
                  </w:tcBorders>
                  <w:vAlign w:val="center"/>
                </w:tcPr>
                <w:p w14:paraId="2045C1BA">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生活污水、生产废水</w:t>
                  </w:r>
                </w:p>
              </w:tc>
              <w:tc>
                <w:tcPr>
                  <w:tcW w:w="4429" w:type="dxa"/>
                  <w:tcBorders>
                    <w:top w:val="single" w:color="000000" w:sz="4" w:space="0"/>
                    <w:left w:val="single" w:color="000000" w:sz="4" w:space="0"/>
                    <w:bottom w:val="single" w:color="000000" w:sz="4" w:space="0"/>
                    <w:right w:val="single" w:color="auto" w:sz="4" w:space="0"/>
                  </w:tcBorders>
                  <w:vAlign w:val="center"/>
                </w:tcPr>
                <w:p w14:paraId="2F25C76D">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临时旱厕、沉淀池</w:t>
                  </w:r>
                </w:p>
              </w:tc>
              <w:tc>
                <w:tcPr>
                  <w:tcW w:w="1148" w:type="dxa"/>
                  <w:tcBorders>
                    <w:top w:val="single" w:color="auto" w:sz="4" w:space="0"/>
                    <w:left w:val="single" w:color="auto" w:sz="4" w:space="0"/>
                    <w:bottom w:val="single" w:color="auto" w:sz="4" w:space="0"/>
                  </w:tcBorders>
                  <w:vAlign w:val="center"/>
                </w:tcPr>
                <w:p w14:paraId="576065AE">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r>
            <w:tr w14:paraId="3AACACE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6" w:hRule="atLeast"/>
                <w:jc w:val="center"/>
              </w:trPr>
              <w:tc>
                <w:tcPr>
                  <w:tcW w:w="535" w:type="dxa"/>
                  <w:vMerge w:val="continue"/>
                  <w:tcBorders>
                    <w:right w:val="single" w:color="000000" w:sz="4" w:space="0"/>
                  </w:tcBorders>
                  <w:vAlign w:val="center"/>
                </w:tcPr>
                <w:p w14:paraId="6258CB19">
                  <w:pPr>
                    <w:autoSpaceDE/>
                    <w:autoSpaceDN/>
                    <w:spacing w:line="320" w:lineRule="exact"/>
                    <w:jc w:val="center"/>
                    <w:rPr>
                      <w:rFonts w:hint="default" w:ascii="Times New Roman" w:hAnsi="Times New Roman" w:eastAsia="宋体" w:cs="Times New Roman"/>
                      <w:color w:val="auto"/>
                      <w:sz w:val="21"/>
                      <w:szCs w:val="21"/>
                      <w:highlight w:val="none"/>
                    </w:rPr>
                  </w:pPr>
                </w:p>
              </w:tc>
              <w:tc>
                <w:tcPr>
                  <w:tcW w:w="554" w:type="dxa"/>
                  <w:tcBorders>
                    <w:top w:val="single" w:color="000000" w:sz="4" w:space="0"/>
                    <w:right w:val="single" w:color="000000" w:sz="4" w:space="0"/>
                  </w:tcBorders>
                  <w:vAlign w:val="center"/>
                </w:tcPr>
                <w:p w14:paraId="037457A0">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1962" w:type="dxa"/>
                  <w:tcBorders>
                    <w:top w:val="single" w:color="000000" w:sz="4" w:space="0"/>
                    <w:left w:val="single" w:color="000000" w:sz="4" w:space="0"/>
                    <w:bottom w:val="single" w:color="000000" w:sz="4" w:space="0"/>
                    <w:right w:val="single" w:color="000000" w:sz="4" w:space="0"/>
                  </w:tcBorders>
                  <w:vAlign w:val="center"/>
                </w:tcPr>
                <w:p w14:paraId="21524AED">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建筑垃圾、生活垃圾</w:t>
                  </w:r>
                </w:p>
              </w:tc>
              <w:tc>
                <w:tcPr>
                  <w:tcW w:w="4429" w:type="dxa"/>
                  <w:tcBorders>
                    <w:top w:val="single" w:color="000000" w:sz="4" w:space="0"/>
                    <w:left w:val="single" w:color="000000" w:sz="4" w:space="0"/>
                    <w:bottom w:val="single" w:color="000000" w:sz="4" w:space="0"/>
                    <w:right w:val="single" w:color="auto" w:sz="4" w:space="0"/>
                  </w:tcBorders>
                  <w:vAlign w:val="center"/>
                </w:tcPr>
                <w:p w14:paraId="6D11299B">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建筑垃圾送市政部门指定的地点堆存；生活垃圾收集后，交由环卫部门统一处理。</w:t>
                  </w:r>
                </w:p>
              </w:tc>
              <w:tc>
                <w:tcPr>
                  <w:tcW w:w="1148" w:type="dxa"/>
                  <w:tcBorders>
                    <w:top w:val="single" w:color="auto" w:sz="4" w:space="0"/>
                    <w:left w:val="single" w:color="auto" w:sz="4" w:space="0"/>
                    <w:bottom w:val="single" w:color="auto" w:sz="4" w:space="0"/>
                  </w:tcBorders>
                  <w:vAlign w:val="center"/>
                </w:tcPr>
                <w:p w14:paraId="46761266">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r>
            <w:tr w14:paraId="0222FA9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6" w:hRule="atLeast"/>
                <w:jc w:val="center"/>
              </w:trPr>
              <w:tc>
                <w:tcPr>
                  <w:tcW w:w="535" w:type="dxa"/>
                  <w:vMerge w:val="continue"/>
                  <w:tcBorders>
                    <w:right w:val="single" w:color="000000" w:sz="4" w:space="0"/>
                  </w:tcBorders>
                  <w:vAlign w:val="center"/>
                </w:tcPr>
                <w:p w14:paraId="0D719EDE">
                  <w:pPr>
                    <w:autoSpaceDE/>
                    <w:autoSpaceDN/>
                    <w:spacing w:line="320" w:lineRule="exact"/>
                    <w:jc w:val="center"/>
                    <w:rPr>
                      <w:rFonts w:hint="default" w:ascii="Times New Roman" w:hAnsi="Times New Roman" w:eastAsia="宋体" w:cs="Times New Roman"/>
                      <w:color w:val="auto"/>
                      <w:sz w:val="21"/>
                      <w:szCs w:val="21"/>
                      <w:highlight w:val="none"/>
                    </w:rPr>
                  </w:pPr>
                </w:p>
              </w:tc>
              <w:tc>
                <w:tcPr>
                  <w:tcW w:w="554" w:type="dxa"/>
                  <w:vMerge w:val="restart"/>
                  <w:tcBorders>
                    <w:top w:val="single" w:color="000000" w:sz="4" w:space="0"/>
                    <w:right w:val="single" w:color="000000" w:sz="4" w:space="0"/>
                  </w:tcBorders>
                  <w:vAlign w:val="center"/>
                </w:tcPr>
                <w:p w14:paraId="5AE85DAC">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生态治理</w:t>
                  </w:r>
                </w:p>
              </w:tc>
              <w:tc>
                <w:tcPr>
                  <w:tcW w:w="1962" w:type="dxa"/>
                  <w:vMerge w:val="restart"/>
                  <w:tcBorders>
                    <w:top w:val="single" w:color="000000" w:sz="4" w:space="0"/>
                    <w:left w:val="single" w:color="000000" w:sz="4" w:space="0"/>
                    <w:right w:val="single" w:color="000000" w:sz="4" w:space="0"/>
                  </w:tcBorders>
                  <w:vAlign w:val="center"/>
                </w:tcPr>
                <w:p w14:paraId="1F5E8413">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水土保持、植被恢复</w:t>
                  </w:r>
                </w:p>
              </w:tc>
              <w:tc>
                <w:tcPr>
                  <w:tcW w:w="4429" w:type="dxa"/>
                  <w:tcBorders>
                    <w:top w:val="single" w:color="000000" w:sz="4" w:space="0"/>
                    <w:left w:val="single" w:color="000000" w:sz="4" w:space="0"/>
                    <w:bottom w:val="single" w:color="000000" w:sz="4" w:space="0"/>
                    <w:right w:val="single" w:color="auto" w:sz="4" w:space="0"/>
                  </w:tcBorders>
                  <w:vAlign w:val="center"/>
                </w:tcPr>
                <w:p w14:paraId="07FD98A9">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工程措施、植被措施、临时措施</w:t>
                  </w:r>
                </w:p>
              </w:tc>
              <w:tc>
                <w:tcPr>
                  <w:tcW w:w="1148" w:type="dxa"/>
                  <w:vMerge w:val="restart"/>
                  <w:tcBorders>
                    <w:top w:val="single" w:color="auto" w:sz="4" w:space="0"/>
                    <w:left w:val="single" w:color="auto" w:sz="4" w:space="0"/>
                  </w:tcBorders>
                  <w:vAlign w:val="center"/>
                </w:tcPr>
                <w:p w14:paraId="26D63103">
                  <w:pPr>
                    <w:autoSpaceDE/>
                    <w:autoSpaceDN/>
                    <w:spacing w:line="320" w:lineRule="exact"/>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170</w:t>
                  </w:r>
                </w:p>
              </w:tc>
            </w:tr>
            <w:tr w14:paraId="039A5E2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6" w:hRule="atLeast"/>
                <w:jc w:val="center"/>
              </w:trPr>
              <w:tc>
                <w:tcPr>
                  <w:tcW w:w="535" w:type="dxa"/>
                  <w:vMerge w:val="continue"/>
                  <w:tcBorders>
                    <w:right w:val="single" w:color="000000" w:sz="4" w:space="0"/>
                  </w:tcBorders>
                  <w:vAlign w:val="center"/>
                </w:tcPr>
                <w:p w14:paraId="12F50732">
                  <w:pPr>
                    <w:autoSpaceDE/>
                    <w:autoSpaceDN/>
                    <w:spacing w:line="320" w:lineRule="exact"/>
                    <w:jc w:val="center"/>
                    <w:rPr>
                      <w:rFonts w:hint="default" w:ascii="Times New Roman" w:hAnsi="Times New Roman" w:eastAsia="宋体" w:cs="Times New Roman"/>
                      <w:color w:val="auto"/>
                      <w:sz w:val="21"/>
                      <w:szCs w:val="21"/>
                      <w:highlight w:val="none"/>
                    </w:rPr>
                  </w:pPr>
                </w:p>
              </w:tc>
              <w:tc>
                <w:tcPr>
                  <w:tcW w:w="554" w:type="dxa"/>
                  <w:vMerge w:val="continue"/>
                  <w:tcBorders>
                    <w:right w:val="single" w:color="000000" w:sz="4" w:space="0"/>
                  </w:tcBorders>
                  <w:vAlign w:val="center"/>
                </w:tcPr>
                <w:p w14:paraId="5D21B872">
                  <w:pPr>
                    <w:autoSpaceDE/>
                    <w:autoSpaceDN/>
                    <w:spacing w:line="320" w:lineRule="exact"/>
                    <w:jc w:val="center"/>
                    <w:rPr>
                      <w:rFonts w:hint="default" w:ascii="Times New Roman" w:hAnsi="Times New Roman" w:eastAsia="宋体" w:cs="Times New Roman"/>
                      <w:color w:val="auto"/>
                      <w:sz w:val="21"/>
                      <w:szCs w:val="21"/>
                      <w:highlight w:val="none"/>
                    </w:rPr>
                  </w:pPr>
                </w:p>
              </w:tc>
              <w:tc>
                <w:tcPr>
                  <w:tcW w:w="1962" w:type="dxa"/>
                  <w:vMerge w:val="continue"/>
                  <w:tcBorders>
                    <w:left w:val="single" w:color="000000" w:sz="4" w:space="0"/>
                    <w:bottom w:val="single" w:color="000000" w:sz="4" w:space="0"/>
                    <w:right w:val="single" w:color="000000" w:sz="4" w:space="0"/>
                  </w:tcBorders>
                  <w:vAlign w:val="center"/>
                </w:tcPr>
                <w:p w14:paraId="71ADCF7E">
                  <w:pPr>
                    <w:autoSpaceDE/>
                    <w:autoSpaceDN/>
                    <w:spacing w:line="320" w:lineRule="exact"/>
                    <w:jc w:val="center"/>
                    <w:rPr>
                      <w:rFonts w:hint="default" w:ascii="Times New Roman" w:hAnsi="Times New Roman" w:eastAsia="宋体" w:cs="Times New Roman"/>
                      <w:color w:val="auto"/>
                      <w:kern w:val="2"/>
                      <w:sz w:val="21"/>
                      <w:szCs w:val="21"/>
                      <w:highlight w:val="none"/>
                    </w:rPr>
                  </w:pPr>
                </w:p>
              </w:tc>
              <w:tc>
                <w:tcPr>
                  <w:tcW w:w="4429" w:type="dxa"/>
                  <w:tcBorders>
                    <w:top w:val="single" w:color="000000" w:sz="4" w:space="0"/>
                    <w:left w:val="single" w:color="000000" w:sz="4" w:space="0"/>
                    <w:bottom w:val="single" w:color="000000" w:sz="4" w:space="0"/>
                    <w:right w:val="single" w:color="auto" w:sz="4" w:space="0"/>
                  </w:tcBorders>
                  <w:vAlign w:val="center"/>
                </w:tcPr>
                <w:p w14:paraId="33FE0C0F">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施工区、牵张场、施工道路等的植被恢复</w:t>
                  </w:r>
                </w:p>
              </w:tc>
              <w:tc>
                <w:tcPr>
                  <w:tcW w:w="1148" w:type="dxa"/>
                  <w:vMerge w:val="continue"/>
                  <w:tcBorders>
                    <w:left w:val="single" w:color="auto" w:sz="4" w:space="0"/>
                    <w:bottom w:val="single" w:color="auto" w:sz="4" w:space="0"/>
                  </w:tcBorders>
                  <w:vAlign w:val="center"/>
                </w:tcPr>
                <w:p w14:paraId="34217BE2">
                  <w:pPr>
                    <w:autoSpaceDE/>
                    <w:autoSpaceDN/>
                    <w:spacing w:line="320" w:lineRule="exact"/>
                    <w:jc w:val="center"/>
                    <w:rPr>
                      <w:rFonts w:hint="default" w:ascii="Times New Roman" w:hAnsi="Times New Roman" w:eastAsia="宋体" w:cs="Times New Roman"/>
                      <w:color w:val="auto"/>
                      <w:kern w:val="2"/>
                      <w:sz w:val="21"/>
                      <w:szCs w:val="21"/>
                      <w:highlight w:val="none"/>
                    </w:rPr>
                  </w:pPr>
                </w:p>
              </w:tc>
            </w:tr>
            <w:tr w14:paraId="404413B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6" w:hRule="atLeast"/>
                <w:jc w:val="center"/>
              </w:trPr>
              <w:tc>
                <w:tcPr>
                  <w:tcW w:w="535" w:type="dxa"/>
                  <w:vMerge w:val="restart"/>
                  <w:tcBorders>
                    <w:top w:val="single" w:color="000000" w:sz="4" w:space="0"/>
                    <w:right w:val="single" w:color="000000" w:sz="4" w:space="0"/>
                  </w:tcBorders>
                  <w:vAlign w:val="center"/>
                </w:tcPr>
                <w:p w14:paraId="541BAC5A">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运营期</w:t>
                  </w:r>
                </w:p>
              </w:tc>
              <w:tc>
                <w:tcPr>
                  <w:tcW w:w="554" w:type="dxa"/>
                  <w:tcBorders>
                    <w:top w:val="single" w:color="000000" w:sz="4" w:space="0"/>
                    <w:right w:val="single" w:color="000000" w:sz="4" w:space="0"/>
                  </w:tcBorders>
                  <w:vAlign w:val="center"/>
                </w:tcPr>
                <w:p w14:paraId="44AFE7E4">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电磁环境、噪声</w:t>
                  </w:r>
                </w:p>
              </w:tc>
              <w:tc>
                <w:tcPr>
                  <w:tcW w:w="1962" w:type="dxa"/>
                  <w:tcBorders>
                    <w:top w:val="single" w:color="000000" w:sz="4" w:space="0"/>
                    <w:left w:val="single" w:color="000000" w:sz="4" w:space="0"/>
                    <w:bottom w:val="single" w:color="000000" w:sz="4" w:space="0"/>
                    <w:right w:val="single" w:color="000000" w:sz="4" w:space="0"/>
                  </w:tcBorders>
                  <w:vAlign w:val="center"/>
                </w:tcPr>
                <w:p w14:paraId="2B5FDE96">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工频电场、工频磁场，等效连续A声级</w:t>
                  </w:r>
                </w:p>
              </w:tc>
              <w:tc>
                <w:tcPr>
                  <w:tcW w:w="4429" w:type="dxa"/>
                  <w:tcBorders>
                    <w:top w:val="single" w:color="000000" w:sz="4" w:space="0"/>
                    <w:left w:val="single" w:color="000000" w:sz="4" w:space="0"/>
                    <w:bottom w:val="single" w:color="000000" w:sz="4" w:space="0"/>
                    <w:right w:val="single" w:color="auto" w:sz="4" w:space="0"/>
                  </w:tcBorders>
                  <w:vAlign w:val="center"/>
                </w:tcPr>
                <w:p w14:paraId="17EAE248">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验收监测一次，突发环境事件时进行监测，公众发生投诉情况时进行监测</w:t>
                  </w:r>
                </w:p>
              </w:tc>
              <w:tc>
                <w:tcPr>
                  <w:tcW w:w="1148" w:type="dxa"/>
                  <w:tcBorders>
                    <w:top w:val="single" w:color="auto" w:sz="4" w:space="0"/>
                    <w:left w:val="single" w:color="auto" w:sz="4" w:space="0"/>
                    <w:bottom w:val="single" w:color="auto" w:sz="4" w:space="0"/>
                  </w:tcBorders>
                  <w:vAlign w:val="center"/>
                </w:tcPr>
                <w:p w14:paraId="28F7AA11">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r>
            <w:tr w14:paraId="77C6AB1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6" w:hRule="atLeast"/>
                <w:jc w:val="center"/>
              </w:trPr>
              <w:tc>
                <w:tcPr>
                  <w:tcW w:w="535" w:type="dxa"/>
                  <w:vMerge w:val="continue"/>
                  <w:tcBorders>
                    <w:right w:val="single" w:color="000000" w:sz="4" w:space="0"/>
                  </w:tcBorders>
                  <w:vAlign w:val="center"/>
                </w:tcPr>
                <w:p w14:paraId="6325AC97">
                  <w:pPr>
                    <w:autoSpaceDE/>
                    <w:autoSpaceDN/>
                    <w:spacing w:line="320" w:lineRule="exact"/>
                    <w:jc w:val="center"/>
                    <w:rPr>
                      <w:rFonts w:hint="default" w:ascii="Times New Roman" w:hAnsi="Times New Roman" w:eastAsia="宋体" w:cs="Times New Roman"/>
                      <w:color w:val="auto"/>
                      <w:sz w:val="21"/>
                      <w:szCs w:val="21"/>
                      <w:highlight w:val="none"/>
                    </w:rPr>
                  </w:pPr>
                </w:p>
              </w:tc>
              <w:tc>
                <w:tcPr>
                  <w:tcW w:w="554" w:type="dxa"/>
                  <w:tcBorders>
                    <w:top w:val="single" w:color="000000" w:sz="4" w:space="0"/>
                    <w:right w:val="single" w:color="000000" w:sz="4" w:space="0"/>
                  </w:tcBorders>
                  <w:vAlign w:val="center"/>
                </w:tcPr>
                <w:p w14:paraId="45377A3E">
                  <w:pPr>
                    <w:autoSpaceDE/>
                    <w:autoSpaceDN/>
                    <w:spacing w:line="32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生态环境</w:t>
                  </w:r>
                </w:p>
              </w:tc>
              <w:tc>
                <w:tcPr>
                  <w:tcW w:w="1962" w:type="dxa"/>
                  <w:tcBorders>
                    <w:top w:val="single" w:color="000000" w:sz="4" w:space="0"/>
                    <w:left w:val="single" w:color="000000" w:sz="4" w:space="0"/>
                    <w:bottom w:val="single" w:color="000000" w:sz="4" w:space="0"/>
                    <w:right w:val="single" w:color="000000" w:sz="4" w:space="0"/>
                  </w:tcBorders>
                  <w:vAlign w:val="center"/>
                </w:tcPr>
                <w:p w14:paraId="6970E774">
                  <w:pPr>
                    <w:autoSpaceDE/>
                    <w:autoSpaceDN/>
                    <w:spacing w:line="32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生态监测</w:t>
                  </w:r>
                </w:p>
              </w:tc>
              <w:tc>
                <w:tcPr>
                  <w:tcW w:w="4429" w:type="dxa"/>
                  <w:tcBorders>
                    <w:top w:val="single" w:color="000000" w:sz="4" w:space="0"/>
                    <w:left w:val="single" w:color="000000" w:sz="4" w:space="0"/>
                    <w:bottom w:val="single" w:color="000000" w:sz="4" w:space="0"/>
                    <w:right w:val="single" w:color="auto" w:sz="4" w:space="0"/>
                  </w:tcBorders>
                  <w:vAlign w:val="center"/>
                </w:tcPr>
                <w:p w14:paraId="69A606E8">
                  <w:pPr>
                    <w:autoSpaceDE/>
                    <w:autoSpaceDN/>
                    <w:spacing w:line="32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对植被恢复养护、野生动物进行监测</w:t>
                  </w:r>
                </w:p>
              </w:tc>
              <w:tc>
                <w:tcPr>
                  <w:tcW w:w="1148" w:type="dxa"/>
                  <w:tcBorders>
                    <w:top w:val="single" w:color="auto" w:sz="4" w:space="0"/>
                    <w:left w:val="single" w:color="auto" w:sz="4" w:space="0"/>
                    <w:bottom w:val="single" w:color="auto" w:sz="4" w:space="0"/>
                  </w:tcBorders>
                  <w:vAlign w:val="center"/>
                </w:tcPr>
                <w:p w14:paraId="3E42D7F7">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w:t>
                  </w:r>
                </w:p>
              </w:tc>
            </w:tr>
            <w:tr w14:paraId="04483CB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6" w:hRule="atLeast"/>
                <w:jc w:val="center"/>
              </w:trPr>
              <w:tc>
                <w:tcPr>
                  <w:tcW w:w="7480" w:type="dxa"/>
                  <w:gridSpan w:val="4"/>
                  <w:tcBorders>
                    <w:top w:val="single" w:color="000000" w:sz="4" w:space="0"/>
                    <w:right w:val="single" w:color="000000" w:sz="4" w:space="0"/>
                  </w:tcBorders>
                  <w:vAlign w:val="center"/>
                </w:tcPr>
                <w:p w14:paraId="0EB4F62D">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合计</w:t>
                  </w:r>
                </w:p>
              </w:tc>
              <w:tc>
                <w:tcPr>
                  <w:tcW w:w="1148" w:type="dxa"/>
                  <w:tcBorders>
                    <w:top w:val="single" w:color="000000" w:sz="4" w:space="0"/>
                    <w:left w:val="single" w:color="000000" w:sz="4" w:space="0"/>
                  </w:tcBorders>
                  <w:vAlign w:val="center"/>
                </w:tcPr>
                <w:p w14:paraId="4F54D3A5">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240</w:t>
                  </w:r>
                </w:p>
              </w:tc>
            </w:tr>
          </w:tbl>
          <w:p w14:paraId="624E98F7">
            <w:pPr>
              <w:adjustRightInd w:val="0"/>
              <w:jc w:val="both"/>
              <w:rPr>
                <w:rFonts w:hint="default" w:ascii="Times New Roman" w:hAnsi="Times New Roman" w:eastAsia="宋体" w:cs="Times New Roman"/>
                <w:b/>
                <w:color w:val="auto"/>
                <w:sz w:val="24"/>
                <w:szCs w:val="24"/>
                <w:highlight w:val="none"/>
              </w:rPr>
            </w:pPr>
          </w:p>
          <w:p w14:paraId="7C4F1D0F">
            <w:pPr>
              <w:adjustRightInd w:val="0"/>
              <w:jc w:val="both"/>
              <w:rPr>
                <w:rFonts w:hint="default" w:ascii="Times New Roman" w:hAnsi="Times New Roman" w:eastAsia="宋体" w:cs="Times New Roman"/>
                <w:b/>
                <w:color w:val="auto"/>
                <w:sz w:val="24"/>
                <w:szCs w:val="24"/>
                <w:highlight w:val="none"/>
              </w:rPr>
            </w:pPr>
          </w:p>
        </w:tc>
      </w:tr>
    </w:tbl>
    <w:p w14:paraId="5D211F6B">
      <w:pPr>
        <w:pStyle w:val="12"/>
        <w:spacing w:line="550" w:lineRule="exact"/>
        <w:ind w:right="652"/>
        <w:rPr>
          <w:rFonts w:hint="default" w:ascii="Times New Roman" w:hAnsi="Times New Roman" w:eastAsia="宋体" w:cs="Times New Roman"/>
          <w:color w:val="auto"/>
          <w:highlight w:val="none"/>
        </w:rPr>
        <w:sectPr>
          <w:pgSz w:w="11910" w:h="16840"/>
          <w:pgMar w:top="1580" w:right="1320" w:bottom="1000" w:left="1340" w:header="0" w:footer="817" w:gutter="0"/>
          <w:cols w:space="720" w:num="1"/>
        </w:sectPr>
      </w:pPr>
    </w:p>
    <w:p w14:paraId="75BDCB78">
      <w:pPr>
        <w:pStyle w:val="12"/>
        <w:spacing w:line="550" w:lineRule="exact"/>
        <w:ind w:left="635" w:right="652"/>
        <w:jc w:val="center"/>
        <w:outlineLvl w:val="0"/>
        <w:rPr>
          <w:rFonts w:hint="default" w:ascii="Times New Roman" w:hAnsi="Times New Roman" w:eastAsia="宋体" w:cs="Times New Roman"/>
          <w:color w:val="auto"/>
          <w:highlight w:val="none"/>
        </w:rPr>
      </w:pPr>
      <w:bookmarkStart w:id="13" w:name="_Toc150930991"/>
      <w:r>
        <w:rPr>
          <w:rFonts w:hint="default" w:ascii="Times New Roman" w:hAnsi="Times New Roman" w:eastAsia="宋体" w:cs="Times New Roman"/>
          <w:color w:val="auto"/>
          <w:highlight w:val="none"/>
        </w:rPr>
        <w:t>六、环境保护措施监督检查清单</w:t>
      </w:r>
      <w:bookmarkEnd w:id="13"/>
    </w:p>
    <w:p w14:paraId="0D33B495">
      <w:pPr>
        <w:pStyle w:val="12"/>
        <w:spacing w:before="3"/>
        <w:rPr>
          <w:rFonts w:hint="default" w:ascii="Times New Roman" w:hAnsi="Times New Roman" w:eastAsia="宋体" w:cs="Times New Roman"/>
          <w:color w:val="auto"/>
          <w:sz w:val="8"/>
          <w:highlight w:val="none"/>
        </w:rPr>
      </w:pPr>
    </w:p>
    <w:tbl>
      <w:tblPr>
        <w:tblStyle w:val="32"/>
        <w:tblW w:w="144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4671"/>
        <w:gridCol w:w="1985"/>
        <w:gridCol w:w="3690"/>
        <w:gridCol w:w="2881"/>
      </w:tblGrid>
      <w:tr w14:paraId="1353FD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9" w:type="dxa"/>
            <w:vMerge w:val="restart"/>
            <w:tcBorders>
              <w:top w:val="single" w:color="auto" w:sz="8" w:space="0"/>
              <w:left w:val="single" w:color="auto" w:sz="8" w:space="0"/>
              <w:bottom w:val="single" w:color="auto" w:sz="4" w:space="0"/>
              <w:right w:val="single" w:color="auto" w:sz="4" w:space="0"/>
              <w:tl2br w:val="single" w:color="auto" w:sz="4" w:space="0"/>
            </w:tcBorders>
            <w:vAlign w:val="center"/>
          </w:tcPr>
          <w:p w14:paraId="13A36085">
            <w:pPr>
              <w:widowControl/>
              <w:autoSpaceDE/>
              <w:autoSpaceDN/>
              <w:adjustRightInd w:val="0"/>
              <w:snapToGrid w:val="0"/>
              <w:spacing w:before="72" w:beforeLines="30"/>
              <w:jc w:val="center"/>
              <w:rPr>
                <w:rFonts w:hint="default" w:ascii="Times New Roman" w:hAnsi="Times New Roman" w:eastAsia="宋体" w:cs="Times New Roman"/>
                <w:color w:val="auto"/>
                <w:kern w:val="2"/>
                <w:sz w:val="24"/>
                <w:szCs w:val="24"/>
                <w:highlight w:val="none"/>
              </w:rPr>
            </w:pPr>
          </w:p>
          <w:p w14:paraId="7DBA7E1E">
            <w:pPr>
              <w:widowControl/>
              <w:autoSpaceDE/>
              <w:autoSpaceDN/>
              <w:adjustRightInd w:val="0"/>
              <w:snapToGrid w:val="0"/>
              <w:jc w:val="center"/>
              <w:rPr>
                <w:rFonts w:hint="default" w:ascii="Times New Roman" w:hAnsi="Times New Roman" w:eastAsia="宋体" w:cs="Times New Roman"/>
                <w:color w:val="auto"/>
                <w:kern w:val="2"/>
                <w:sz w:val="24"/>
                <w:szCs w:val="24"/>
                <w:highlight w:val="none"/>
              </w:rPr>
            </w:pPr>
            <w:bookmarkStart w:id="14" w:name="_Toc457"/>
            <w:r>
              <w:rPr>
                <w:rFonts w:hint="default" w:ascii="Times New Roman" w:hAnsi="Times New Roman" w:eastAsia="宋体" w:cs="Times New Roman"/>
                <w:color w:val="auto"/>
                <w:kern w:val="2"/>
                <w:sz w:val="24"/>
                <w:szCs w:val="24"/>
                <w:highlight w:val="none"/>
              </w:rPr>
              <w:t xml:space="preserve">         要素</w:t>
            </w:r>
          </w:p>
          <w:p w14:paraId="768540C0">
            <w:pPr>
              <w:widowControl/>
              <w:autoSpaceDE/>
              <w:autoSpaceDN/>
              <w:adjustRightInd w:val="0"/>
              <w:snapToGrid w:val="0"/>
              <w:jc w:val="center"/>
              <w:rPr>
                <w:rFonts w:hint="default" w:ascii="Times New Roman" w:hAnsi="Times New Roman" w:eastAsia="宋体" w:cs="Times New Roman"/>
                <w:color w:val="auto"/>
                <w:kern w:val="2"/>
                <w:sz w:val="24"/>
                <w:szCs w:val="24"/>
                <w:highlight w:val="none"/>
              </w:rPr>
            </w:pPr>
          </w:p>
          <w:p w14:paraId="71120FB1">
            <w:pPr>
              <w:widowControl/>
              <w:autoSpaceDE/>
              <w:autoSpaceDN/>
              <w:adjustRightInd w:val="0"/>
              <w:snapToGrid w:val="0"/>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内容</w:t>
            </w:r>
            <w:bookmarkEnd w:id="14"/>
          </w:p>
        </w:tc>
        <w:tc>
          <w:tcPr>
            <w:tcW w:w="6656" w:type="dxa"/>
            <w:gridSpan w:val="2"/>
            <w:tcBorders>
              <w:top w:val="single" w:color="auto" w:sz="8" w:space="0"/>
              <w:left w:val="single" w:color="auto" w:sz="4" w:space="0"/>
              <w:bottom w:val="single" w:color="auto" w:sz="4" w:space="0"/>
              <w:right w:val="single" w:color="auto" w:sz="4" w:space="0"/>
            </w:tcBorders>
            <w:vAlign w:val="center"/>
          </w:tcPr>
          <w:p w14:paraId="5CF0E293">
            <w:pPr>
              <w:widowControl/>
              <w:autoSpaceDE/>
              <w:autoSpaceDN/>
              <w:adjustRightInd w:val="0"/>
              <w:snapToGrid w:val="0"/>
              <w:jc w:val="center"/>
              <w:rPr>
                <w:rFonts w:hint="default" w:ascii="Times New Roman" w:hAnsi="Times New Roman" w:eastAsia="宋体" w:cs="Times New Roman"/>
                <w:color w:val="auto"/>
                <w:kern w:val="2"/>
                <w:sz w:val="24"/>
                <w:szCs w:val="24"/>
                <w:highlight w:val="none"/>
              </w:rPr>
            </w:pPr>
            <w:bookmarkStart w:id="15" w:name="_Toc9512"/>
            <w:r>
              <w:rPr>
                <w:rFonts w:hint="default" w:ascii="Times New Roman" w:hAnsi="Times New Roman" w:eastAsia="宋体" w:cs="Times New Roman"/>
                <w:color w:val="auto"/>
                <w:kern w:val="2"/>
                <w:sz w:val="24"/>
                <w:szCs w:val="24"/>
                <w:highlight w:val="none"/>
              </w:rPr>
              <w:t>施工期</w:t>
            </w:r>
            <w:bookmarkEnd w:id="15"/>
          </w:p>
        </w:tc>
        <w:tc>
          <w:tcPr>
            <w:tcW w:w="6571" w:type="dxa"/>
            <w:gridSpan w:val="2"/>
            <w:tcBorders>
              <w:top w:val="single" w:color="auto" w:sz="8" w:space="0"/>
              <w:left w:val="single" w:color="auto" w:sz="4" w:space="0"/>
              <w:bottom w:val="single" w:color="auto" w:sz="4" w:space="0"/>
              <w:right w:val="single" w:color="auto" w:sz="8" w:space="0"/>
            </w:tcBorders>
            <w:vAlign w:val="center"/>
          </w:tcPr>
          <w:p w14:paraId="20310330">
            <w:pPr>
              <w:widowControl/>
              <w:autoSpaceDE/>
              <w:autoSpaceDN/>
              <w:adjustRightInd w:val="0"/>
              <w:snapToGrid w:val="0"/>
              <w:jc w:val="center"/>
              <w:rPr>
                <w:rFonts w:hint="default" w:ascii="Times New Roman" w:hAnsi="Times New Roman" w:eastAsia="宋体" w:cs="Times New Roman"/>
                <w:color w:val="auto"/>
                <w:kern w:val="2"/>
                <w:sz w:val="24"/>
                <w:szCs w:val="24"/>
                <w:highlight w:val="none"/>
              </w:rPr>
            </w:pPr>
            <w:bookmarkStart w:id="16" w:name="_Toc28342"/>
            <w:r>
              <w:rPr>
                <w:rFonts w:hint="default" w:ascii="Times New Roman" w:hAnsi="Times New Roman" w:eastAsia="宋体" w:cs="Times New Roman"/>
                <w:color w:val="auto"/>
                <w:kern w:val="2"/>
                <w:sz w:val="24"/>
                <w:szCs w:val="24"/>
                <w:highlight w:val="none"/>
              </w:rPr>
              <w:t>运营期</w:t>
            </w:r>
            <w:bookmarkEnd w:id="16"/>
          </w:p>
        </w:tc>
      </w:tr>
      <w:tr w14:paraId="3CFA85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9" w:type="dxa"/>
            <w:vMerge w:val="continue"/>
            <w:tcBorders>
              <w:top w:val="single" w:color="auto" w:sz="8" w:space="0"/>
              <w:left w:val="single" w:color="auto" w:sz="8" w:space="0"/>
              <w:bottom w:val="single" w:color="auto" w:sz="4" w:space="0"/>
              <w:right w:val="single" w:color="auto" w:sz="4" w:space="0"/>
              <w:tl2br w:val="single" w:color="auto" w:sz="4" w:space="0"/>
            </w:tcBorders>
            <w:vAlign w:val="center"/>
          </w:tcPr>
          <w:p w14:paraId="18306EF7">
            <w:pPr>
              <w:widowControl/>
              <w:autoSpaceDE/>
              <w:autoSpaceDN/>
              <w:rPr>
                <w:rFonts w:hint="default" w:ascii="Times New Roman" w:hAnsi="Times New Roman" w:eastAsia="宋体" w:cs="Times New Roman"/>
                <w:color w:val="auto"/>
                <w:kern w:val="2"/>
                <w:sz w:val="24"/>
                <w:szCs w:val="24"/>
                <w:highlight w:val="none"/>
              </w:rPr>
            </w:pPr>
          </w:p>
        </w:tc>
        <w:tc>
          <w:tcPr>
            <w:tcW w:w="4671" w:type="dxa"/>
            <w:tcBorders>
              <w:top w:val="single" w:color="auto" w:sz="4" w:space="0"/>
              <w:left w:val="single" w:color="auto" w:sz="4" w:space="0"/>
              <w:bottom w:val="single" w:color="auto" w:sz="4" w:space="0"/>
              <w:right w:val="single" w:color="auto" w:sz="4" w:space="0"/>
            </w:tcBorders>
            <w:vAlign w:val="center"/>
          </w:tcPr>
          <w:p w14:paraId="151DC94F">
            <w:pPr>
              <w:widowControl/>
              <w:autoSpaceDE/>
              <w:autoSpaceDN/>
              <w:adjustRightInd w:val="0"/>
              <w:snapToGrid w:val="0"/>
              <w:jc w:val="center"/>
              <w:rPr>
                <w:rFonts w:hint="default" w:ascii="Times New Roman" w:hAnsi="Times New Roman" w:eastAsia="宋体" w:cs="Times New Roman"/>
                <w:color w:val="auto"/>
                <w:kern w:val="2"/>
                <w:sz w:val="24"/>
                <w:szCs w:val="24"/>
                <w:highlight w:val="none"/>
              </w:rPr>
            </w:pPr>
            <w:bookmarkStart w:id="17" w:name="_Toc23993"/>
            <w:r>
              <w:rPr>
                <w:rFonts w:hint="default" w:ascii="Times New Roman" w:hAnsi="Times New Roman" w:eastAsia="宋体" w:cs="Times New Roman"/>
                <w:color w:val="auto"/>
                <w:kern w:val="2"/>
                <w:sz w:val="24"/>
                <w:szCs w:val="24"/>
                <w:highlight w:val="none"/>
              </w:rPr>
              <w:t>环境保护措施</w:t>
            </w:r>
            <w:bookmarkEnd w:id="17"/>
          </w:p>
        </w:tc>
        <w:tc>
          <w:tcPr>
            <w:tcW w:w="1985" w:type="dxa"/>
            <w:tcBorders>
              <w:top w:val="single" w:color="auto" w:sz="4" w:space="0"/>
              <w:left w:val="single" w:color="auto" w:sz="4" w:space="0"/>
              <w:bottom w:val="single" w:color="auto" w:sz="4" w:space="0"/>
              <w:right w:val="single" w:color="auto" w:sz="4" w:space="0"/>
            </w:tcBorders>
            <w:vAlign w:val="center"/>
          </w:tcPr>
          <w:p w14:paraId="32C08B6E">
            <w:pPr>
              <w:widowControl/>
              <w:autoSpaceDE/>
              <w:autoSpaceDN/>
              <w:adjustRightInd w:val="0"/>
              <w:snapToGrid w:val="0"/>
              <w:jc w:val="center"/>
              <w:rPr>
                <w:rFonts w:hint="default" w:ascii="Times New Roman" w:hAnsi="Times New Roman" w:eastAsia="宋体" w:cs="Times New Roman"/>
                <w:color w:val="auto"/>
                <w:kern w:val="2"/>
                <w:sz w:val="24"/>
                <w:szCs w:val="24"/>
                <w:highlight w:val="none"/>
              </w:rPr>
            </w:pPr>
            <w:bookmarkStart w:id="18" w:name="_Toc601"/>
            <w:r>
              <w:rPr>
                <w:rFonts w:hint="default" w:ascii="Times New Roman" w:hAnsi="Times New Roman" w:eastAsia="宋体" w:cs="Times New Roman"/>
                <w:color w:val="auto"/>
                <w:kern w:val="2"/>
                <w:sz w:val="24"/>
                <w:szCs w:val="24"/>
                <w:highlight w:val="none"/>
              </w:rPr>
              <w:t>验收要求</w:t>
            </w:r>
            <w:bookmarkEnd w:id="18"/>
          </w:p>
        </w:tc>
        <w:tc>
          <w:tcPr>
            <w:tcW w:w="3690" w:type="dxa"/>
            <w:tcBorders>
              <w:top w:val="single" w:color="auto" w:sz="4" w:space="0"/>
              <w:left w:val="single" w:color="auto" w:sz="4" w:space="0"/>
              <w:bottom w:val="single" w:color="auto" w:sz="4" w:space="0"/>
              <w:right w:val="single" w:color="auto" w:sz="4" w:space="0"/>
            </w:tcBorders>
            <w:vAlign w:val="center"/>
          </w:tcPr>
          <w:p w14:paraId="1FB1C97D">
            <w:pPr>
              <w:widowControl/>
              <w:autoSpaceDE/>
              <w:autoSpaceDN/>
              <w:adjustRightInd w:val="0"/>
              <w:snapToGrid w:val="0"/>
              <w:jc w:val="center"/>
              <w:rPr>
                <w:rFonts w:hint="default" w:ascii="Times New Roman" w:hAnsi="Times New Roman" w:eastAsia="宋体" w:cs="Times New Roman"/>
                <w:color w:val="auto"/>
                <w:kern w:val="2"/>
                <w:sz w:val="24"/>
                <w:szCs w:val="24"/>
                <w:highlight w:val="none"/>
              </w:rPr>
            </w:pPr>
            <w:bookmarkStart w:id="19" w:name="_Toc369"/>
            <w:r>
              <w:rPr>
                <w:rFonts w:hint="default" w:ascii="Times New Roman" w:hAnsi="Times New Roman" w:eastAsia="宋体" w:cs="Times New Roman"/>
                <w:color w:val="auto"/>
                <w:kern w:val="2"/>
                <w:sz w:val="24"/>
                <w:szCs w:val="24"/>
                <w:highlight w:val="none"/>
              </w:rPr>
              <w:t>环境保护措施</w:t>
            </w:r>
            <w:bookmarkEnd w:id="19"/>
          </w:p>
        </w:tc>
        <w:tc>
          <w:tcPr>
            <w:tcW w:w="2881" w:type="dxa"/>
            <w:tcBorders>
              <w:top w:val="single" w:color="auto" w:sz="4" w:space="0"/>
              <w:left w:val="single" w:color="auto" w:sz="4" w:space="0"/>
              <w:bottom w:val="single" w:color="auto" w:sz="4" w:space="0"/>
              <w:right w:val="single" w:color="auto" w:sz="8" w:space="0"/>
            </w:tcBorders>
            <w:vAlign w:val="center"/>
          </w:tcPr>
          <w:p w14:paraId="028B81AD">
            <w:pPr>
              <w:widowControl/>
              <w:autoSpaceDE/>
              <w:autoSpaceDN/>
              <w:adjustRightInd w:val="0"/>
              <w:snapToGrid w:val="0"/>
              <w:jc w:val="center"/>
              <w:rPr>
                <w:rFonts w:hint="default" w:ascii="Times New Roman" w:hAnsi="Times New Roman" w:eastAsia="宋体" w:cs="Times New Roman"/>
                <w:color w:val="auto"/>
                <w:kern w:val="2"/>
                <w:sz w:val="24"/>
                <w:szCs w:val="24"/>
                <w:highlight w:val="none"/>
              </w:rPr>
            </w:pPr>
            <w:bookmarkStart w:id="20" w:name="_Toc14192"/>
            <w:r>
              <w:rPr>
                <w:rFonts w:hint="default" w:ascii="Times New Roman" w:hAnsi="Times New Roman" w:eastAsia="宋体" w:cs="Times New Roman"/>
                <w:color w:val="auto"/>
                <w:kern w:val="2"/>
                <w:sz w:val="24"/>
                <w:szCs w:val="24"/>
                <w:highlight w:val="none"/>
              </w:rPr>
              <w:t>验收要求</w:t>
            </w:r>
            <w:bookmarkEnd w:id="20"/>
          </w:p>
        </w:tc>
      </w:tr>
      <w:tr w14:paraId="4E169C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9" w:type="dxa"/>
            <w:tcBorders>
              <w:top w:val="single" w:color="auto" w:sz="4" w:space="0"/>
              <w:left w:val="single" w:color="auto" w:sz="8" w:space="0"/>
              <w:bottom w:val="single" w:color="auto" w:sz="4" w:space="0"/>
              <w:right w:val="single" w:color="auto" w:sz="4" w:space="0"/>
            </w:tcBorders>
            <w:vAlign w:val="center"/>
          </w:tcPr>
          <w:p w14:paraId="71DA3CFC">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陆生生态</w:t>
            </w:r>
          </w:p>
        </w:tc>
        <w:tc>
          <w:tcPr>
            <w:tcW w:w="4671" w:type="dxa"/>
            <w:tcBorders>
              <w:top w:val="single" w:color="auto" w:sz="4" w:space="0"/>
              <w:left w:val="single" w:color="auto" w:sz="4" w:space="0"/>
              <w:bottom w:val="single" w:color="auto" w:sz="4" w:space="0"/>
              <w:right w:val="single" w:color="auto" w:sz="4" w:space="0"/>
            </w:tcBorders>
            <w:vAlign w:val="center"/>
          </w:tcPr>
          <w:p w14:paraId="5C629358">
            <w:pPr>
              <w:autoSpaceDE/>
              <w:autoSpaceDN/>
              <w:adjustRightInd w:val="0"/>
              <w:snapToGrid w:val="0"/>
              <w:spacing w:line="0" w:lineRule="atLeast"/>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sz w:val="24"/>
                <w:szCs w:val="24"/>
                <w:highlight w:val="none"/>
              </w:rPr>
              <w:t>施工过程中采取严格的水土保持措施以及植被恢复措施；现场施工机械和人员活动范围严格限制在作业带范围内，同时避免在大风天气下进行施工作业，保护区内不设牵张场地、搅拌站等临时工程</w:t>
            </w:r>
          </w:p>
        </w:tc>
        <w:tc>
          <w:tcPr>
            <w:tcW w:w="1985" w:type="dxa"/>
            <w:tcBorders>
              <w:top w:val="single" w:color="auto" w:sz="4" w:space="0"/>
              <w:left w:val="single" w:color="auto" w:sz="4" w:space="0"/>
              <w:bottom w:val="single" w:color="auto" w:sz="4" w:space="0"/>
              <w:right w:val="single" w:color="auto" w:sz="4" w:space="0"/>
            </w:tcBorders>
            <w:vAlign w:val="center"/>
          </w:tcPr>
          <w:p w14:paraId="4CBB844A">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清理施工现场，恢复原有土地使用功能。</w:t>
            </w:r>
          </w:p>
        </w:tc>
        <w:tc>
          <w:tcPr>
            <w:tcW w:w="3690" w:type="dxa"/>
            <w:tcBorders>
              <w:top w:val="single" w:color="auto" w:sz="4" w:space="0"/>
              <w:left w:val="single" w:color="auto" w:sz="4" w:space="0"/>
              <w:bottom w:val="single" w:color="auto" w:sz="4" w:space="0"/>
              <w:right w:val="single" w:color="auto" w:sz="4" w:space="0"/>
            </w:tcBorders>
            <w:vAlign w:val="center"/>
          </w:tcPr>
          <w:p w14:paraId="50CEE53F">
            <w:pPr>
              <w:autoSpaceDE/>
              <w:autoSpaceDN/>
              <w:adjustRightInd w:val="0"/>
              <w:snapToGrid w:val="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对恢复植被进行定期养护，确保成活率和生物量，安装防护鸟刺。</w:t>
            </w:r>
          </w:p>
        </w:tc>
        <w:tc>
          <w:tcPr>
            <w:tcW w:w="2881" w:type="dxa"/>
            <w:tcBorders>
              <w:top w:val="single" w:color="auto" w:sz="4" w:space="0"/>
              <w:left w:val="single" w:color="auto" w:sz="4" w:space="0"/>
              <w:bottom w:val="single" w:color="auto" w:sz="4" w:space="0"/>
              <w:right w:val="single" w:color="auto" w:sz="8" w:space="0"/>
            </w:tcBorders>
            <w:vAlign w:val="center"/>
          </w:tcPr>
          <w:p w14:paraId="2C3D7DFA">
            <w:pPr>
              <w:autoSpaceDE/>
              <w:autoSpaceDN/>
              <w:adjustRightInd w:val="0"/>
              <w:snapToGrid w:val="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植被成活率、恢复措施效果、植被覆盖率、恢复面积、恢复植被种类，安装防护鸟刺。</w:t>
            </w:r>
          </w:p>
        </w:tc>
      </w:tr>
      <w:tr w14:paraId="66FFFD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9" w:type="dxa"/>
            <w:tcBorders>
              <w:top w:val="single" w:color="auto" w:sz="4" w:space="0"/>
              <w:left w:val="single" w:color="auto" w:sz="8" w:space="0"/>
              <w:bottom w:val="single" w:color="auto" w:sz="4" w:space="0"/>
              <w:right w:val="single" w:color="auto" w:sz="4" w:space="0"/>
            </w:tcBorders>
            <w:vAlign w:val="center"/>
          </w:tcPr>
          <w:p w14:paraId="54796CA2">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水生生态</w:t>
            </w:r>
          </w:p>
        </w:tc>
        <w:tc>
          <w:tcPr>
            <w:tcW w:w="4671" w:type="dxa"/>
            <w:tcBorders>
              <w:top w:val="single" w:color="auto" w:sz="4" w:space="0"/>
              <w:left w:val="single" w:color="auto" w:sz="4" w:space="0"/>
              <w:bottom w:val="single" w:color="auto" w:sz="4" w:space="0"/>
              <w:right w:val="single" w:color="auto" w:sz="4" w:space="0"/>
            </w:tcBorders>
            <w:vAlign w:val="center"/>
          </w:tcPr>
          <w:p w14:paraId="51495C51">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w:t>
            </w:r>
          </w:p>
        </w:tc>
        <w:tc>
          <w:tcPr>
            <w:tcW w:w="1985" w:type="dxa"/>
            <w:tcBorders>
              <w:top w:val="single" w:color="auto" w:sz="4" w:space="0"/>
              <w:left w:val="single" w:color="auto" w:sz="4" w:space="0"/>
              <w:bottom w:val="single" w:color="auto" w:sz="4" w:space="0"/>
              <w:right w:val="single" w:color="auto" w:sz="4" w:space="0"/>
            </w:tcBorders>
            <w:vAlign w:val="center"/>
          </w:tcPr>
          <w:p w14:paraId="066764A0">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w:t>
            </w:r>
          </w:p>
        </w:tc>
        <w:tc>
          <w:tcPr>
            <w:tcW w:w="3690" w:type="dxa"/>
            <w:tcBorders>
              <w:top w:val="single" w:color="auto" w:sz="4" w:space="0"/>
              <w:left w:val="single" w:color="auto" w:sz="4" w:space="0"/>
              <w:bottom w:val="single" w:color="auto" w:sz="4" w:space="0"/>
              <w:right w:val="single" w:color="auto" w:sz="4" w:space="0"/>
            </w:tcBorders>
            <w:vAlign w:val="center"/>
          </w:tcPr>
          <w:p w14:paraId="478BEF65">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w:t>
            </w:r>
          </w:p>
        </w:tc>
        <w:tc>
          <w:tcPr>
            <w:tcW w:w="2881" w:type="dxa"/>
            <w:tcBorders>
              <w:top w:val="single" w:color="auto" w:sz="4" w:space="0"/>
              <w:left w:val="single" w:color="auto" w:sz="4" w:space="0"/>
              <w:bottom w:val="single" w:color="auto" w:sz="4" w:space="0"/>
              <w:right w:val="single" w:color="auto" w:sz="8" w:space="0"/>
            </w:tcBorders>
            <w:vAlign w:val="center"/>
          </w:tcPr>
          <w:p w14:paraId="5E6BC20B">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w:t>
            </w:r>
          </w:p>
        </w:tc>
      </w:tr>
      <w:tr w14:paraId="43E975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9" w:type="dxa"/>
            <w:tcBorders>
              <w:top w:val="single" w:color="auto" w:sz="4" w:space="0"/>
              <w:left w:val="single" w:color="auto" w:sz="8" w:space="0"/>
              <w:bottom w:val="single" w:color="auto" w:sz="4" w:space="0"/>
              <w:right w:val="single" w:color="auto" w:sz="4" w:space="0"/>
            </w:tcBorders>
            <w:vAlign w:val="center"/>
          </w:tcPr>
          <w:p w14:paraId="05A77257">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地表水环境</w:t>
            </w:r>
          </w:p>
        </w:tc>
        <w:tc>
          <w:tcPr>
            <w:tcW w:w="4671" w:type="dxa"/>
            <w:tcBorders>
              <w:top w:val="single" w:color="auto" w:sz="4" w:space="0"/>
              <w:left w:val="single" w:color="auto" w:sz="4" w:space="0"/>
              <w:bottom w:val="single" w:color="auto" w:sz="4" w:space="0"/>
              <w:right w:val="single" w:color="auto" w:sz="4" w:space="0"/>
            </w:tcBorders>
            <w:vAlign w:val="center"/>
          </w:tcPr>
          <w:p w14:paraId="03DA24C3">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施工场地生产废水：在施工场区设置沉淀池，废水经沉淀池沉淀处理后，用于施工机械清洗及道路浇洒。</w:t>
            </w:r>
          </w:p>
          <w:p w14:paraId="62C1064F">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施工生活污水：盥洗废水全部用于地面抑尘；施工现场设防渗旱厕，定期清掏，用作农肥。</w:t>
            </w:r>
          </w:p>
        </w:tc>
        <w:tc>
          <w:tcPr>
            <w:tcW w:w="1985" w:type="dxa"/>
            <w:tcBorders>
              <w:top w:val="single" w:color="auto" w:sz="4" w:space="0"/>
              <w:left w:val="single" w:color="auto" w:sz="4" w:space="0"/>
              <w:bottom w:val="single" w:color="auto" w:sz="4" w:space="0"/>
              <w:right w:val="single" w:color="auto" w:sz="4" w:space="0"/>
            </w:tcBorders>
            <w:vAlign w:val="center"/>
          </w:tcPr>
          <w:p w14:paraId="221BEAC1">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废水不外排</w:t>
            </w:r>
          </w:p>
        </w:tc>
        <w:tc>
          <w:tcPr>
            <w:tcW w:w="3690" w:type="dxa"/>
            <w:tcBorders>
              <w:top w:val="single" w:color="auto" w:sz="4" w:space="0"/>
              <w:left w:val="single" w:color="auto" w:sz="4" w:space="0"/>
              <w:bottom w:val="single" w:color="auto" w:sz="4" w:space="0"/>
              <w:right w:val="single" w:color="auto" w:sz="4" w:space="0"/>
            </w:tcBorders>
            <w:vAlign w:val="center"/>
          </w:tcPr>
          <w:p w14:paraId="2409B0BA">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2881" w:type="dxa"/>
            <w:tcBorders>
              <w:top w:val="single" w:color="auto" w:sz="4" w:space="0"/>
              <w:left w:val="single" w:color="auto" w:sz="4" w:space="0"/>
              <w:bottom w:val="single" w:color="auto" w:sz="4" w:space="0"/>
              <w:right w:val="single" w:color="auto" w:sz="8" w:space="0"/>
            </w:tcBorders>
            <w:vAlign w:val="center"/>
          </w:tcPr>
          <w:p w14:paraId="22CD9568">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r>
      <w:tr w14:paraId="6B896F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9" w:type="dxa"/>
            <w:tcBorders>
              <w:top w:val="single" w:color="auto" w:sz="4" w:space="0"/>
              <w:left w:val="single" w:color="auto" w:sz="8" w:space="0"/>
              <w:right w:val="single" w:color="auto" w:sz="4" w:space="0"/>
            </w:tcBorders>
            <w:vAlign w:val="center"/>
          </w:tcPr>
          <w:p w14:paraId="6E47A481">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地下水及土壤环境</w:t>
            </w:r>
          </w:p>
        </w:tc>
        <w:tc>
          <w:tcPr>
            <w:tcW w:w="4671" w:type="dxa"/>
            <w:tcBorders>
              <w:top w:val="single" w:color="auto" w:sz="4" w:space="0"/>
              <w:left w:val="single" w:color="auto" w:sz="4" w:space="0"/>
              <w:right w:val="single" w:color="auto" w:sz="4" w:space="0"/>
            </w:tcBorders>
            <w:vAlign w:val="center"/>
          </w:tcPr>
          <w:p w14:paraId="4D7EEC83">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w:t>
            </w:r>
          </w:p>
        </w:tc>
        <w:tc>
          <w:tcPr>
            <w:tcW w:w="1985" w:type="dxa"/>
            <w:tcBorders>
              <w:top w:val="single" w:color="auto" w:sz="4" w:space="0"/>
              <w:left w:val="single" w:color="auto" w:sz="4" w:space="0"/>
              <w:right w:val="single" w:color="auto" w:sz="4" w:space="0"/>
            </w:tcBorders>
            <w:vAlign w:val="center"/>
          </w:tcPr>
          <w:p w14:paraId="19443CFA">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w:t>
            </w:r>
          </w:p>
        </w:tc>
        <w:tc>
          <w:tcPr>
            <w:tcW w:w="3690" w:type="dxa"/>
            <w:tcBorders>
              <w:top w:val="single" w:color="auto" w:sz="4" w:space="0"/>
              <w:left w:val="single" w:color="auto" w:sz="4" w:space="0"/>
              <w:bottom w:val="single" w:color="auto" w:sz="4" w:space="0"/>
              <w:right w:val="single" w:color="auto" w:sz="4" w:space="0"/>
            </w:tcBorders>
            <w:vAlign w:val="center"/>
          </w:tcPr>
          <w:p w14:paraId="69E3FF0F">
            <w:pPr>
              <w:autoSpaceDE/>
              <w:autoSpaceDN/>
              <w:spacing w:line="32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2881" w:type="dxa"/>
            <w:tcBorders>
              <w:top w:val="single" w:color="auto" w:sz="4" w:space="0"/>
              <w:left w:val="single" w:color="auto" w:sz="4" w:space="0"/>
              <w:bottom w:val="single" w:color="auto" w:sz="4" w:space="0"/>
              <w:right w:val="single" w:color="auto" w:sz="8" w:space="0"/>
            </w:tcBorders>
            <w:vAlign w:val="center"/>
          </w:tcPr>
          <w:p w14:paraId="6ABCE426">
            <w:pPr>
              <w:autoSpaceDE/>
              <w:autoSpaceDN/>
              <w:spacing w:line="32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r>
      <w:tr w14:paraId="5BBAA8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9" w:type="dxa"/>
            <w:tcBorders>
              <w:top w:val="single" w:color="auto" w:sz="4" w:space="0"/>
              <w:left w:val="single" w:color="auto" w:sz="8" w:space="0"/>
              <w:bottom w:val="single" w:color="auto" w:sz="4" w:space="0"/>
              <w:right w:val="single" w:color="auto" w:sz="4" w:space="0"/>
            </w:tcBorders>
            <w:vAlign w:val="center"/>
          </w:tcPr>
          <w:p w14:paraId="129112D0">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声环境</w:t>
            </w:r>
          </w:p>
        </w:tc>
        <w:tc>
          <w:tcPr>
            <w:tcW w:w="4671" w:type="dxa"/>
            <w:tcBorders>
              <w:top w:val="single" w:color="auto" w:sz="4" w:space="0"/>
              <w:left w:val="single" w:color="auto" w:sz="4" w:space="0"/>
              <w:bottom w:val="single" w:color="auto" w:sz="4" w:space="0"/>
              <w:right w:val="single" w:color="auto" w:sz="4" w:space="0"/>
            </w:tcBorders>
            <w:vAlign w:val="center"/>
          </w:tcPr>
          <w:p w14:paraId="628B64FE">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选用低噪声设备，四周设置围挡，控制施工时间等措施，远离居民区设置施工场地。</w:t>
            </w:r>
          </w:p>
        </w:tc>
        <w:tc>
          <w:tcPr>
            <w:tcW w:w="1985" w:type="dxa"/>
            <w:tcBorders>
              <w:top w:val="single" w:color="auto" w:sz="4" w:space="0"/>
              <w:left w:val="single" w:color="auto" w:sz="4" w:space="0"/>
              <w:bottom w:val="single" w:color="auto" w:sz="4" w:space="0"/>
              <w:right w:val="single" w:color="auto" w:sz="4" w:space="0"/>
            </w:tcBorders>
            <w:vAlign w:val="center"/>
          </w:tcPr>
          <w:p w14:paraId="18AE3D4A">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《建筑施工场界环境噪声排放标准》（GB12532-2011）中的标准要求。</w:t>
            </w:r>
          </w:p>
        </w:tc>
        <w:tc>
          <w:tcPr>
            <w:tcW w:w="3690" w:type="dxa"/>
            <w:tcBorders>
              <w:top w:val="single" w:color="auto" w:sz="4" w:space="0"/>
              <w:left w:val="single" w:color="auto" w:sz="4" w:space="0"/>
              <w:bottom w:val="single" w:color="auto" w:sz="4" w:space="0"/>
              <w:right w:val="single" w:color="auto" w:sz="4" w:space="0"/>
            </w:tcBorders>
            <w:vAlign w:val="center"/>
          </w:tcPr>
          <w:p w14:paraId="6F7211A1">
            <w:pPr>
              <w:pStyle w:val="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运行期加强输电线路运行维护检查，保证正常运行；开展运行期环境监测和管理工作，切实减少对周围环境的影响；建立健全环保管理机构，做好项目的环保竣工验收工作；科学设置导线排列方式、选购光洁度高的导线，确保噪声达标排放。</w:t>
            </w:r>
          </w:p>
        </w:tc>
        <w:tc>
          <w:tcPr>
            <w:tcW w:w="2881" w:type="dxa"/>
            <w:tcBorders>
              <w:top w:val="single" w:color="auto" w:sz="4" w:space="0"/>
              <w:left w:val="single" w:color="auto" w:sz="4" w:space="0"/>
              <w:bottom w:val="single" w:color="auto" w:sz="4" w:space="0"/>
              <w:right w:val="single" w:color="auto" w:sz="8" w:space="0"/>
            </w:tcBorders>
            <w:vAlign w:val="center"/>
          </w:tcPr>
          <w:p w14:paraId="061B2DDA">
            <w:pPr>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2"/>
                <w:sz w:val="24"/>
                <w:szCs w:val="24"/>
                <w:highlight w:val="none"/>
                <w:lang w:bidi="ar"/>
              </w:rPr>
              <w:t>线路周围声环境执行《声环境质量标准》（GB3096-2008）相应声功能区标准</w:t>
            </w:r>
          </w:p>
        </w:tc>
      </w:tr>
      <w:tr w14:paraId="538264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9" w:type="dxa"/>
            <w:tcBorders>
              <w:top w:val="single" w:color="auto" w:sz="4" w:space="0"/>
              <w:left w:val="single" w:color="auto" w:sz="8" w:space="0"/>
              <w:bottom w:val="single" w:color="auto" w:sz="4" w:space="0"/>
              <w:right w:val="single" w:color="auto" w:sz="4" w:space="0"/>
            </w:tcBorders>
            <w:vAlign w:val="center"/>
          </w:tcPr>
          <w:p w14:paraId="22CF2E0F">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振动</w:t>
            </w:r>
          </w:p>
        </w:tc>
        <w:tc>
          <w:tcPr>
            <w:tcW w:w="4671" w:type="dxa"/>
            <w:tcBorders>
              <w:top w:val="single" w:color="auto" w:sz="4" w:space="0"/>
              <w:left w:val="single" w:color="auto" w:sz="4" w:space="0"/>
              <w:bottom w:val="single" w:color="auto" w:sz="4" w:space="0"/>
              <w:right w:val="single" w:color="auto" w:sz="4" w:space="0"/>
            </w:tcBorders>
            <w:vAlign w:val="center"/>
          </w:tcPr>
          <w:p w14:paraId="0126B5AB">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w:t>
            </w:r>
          </w:p>
        </w:tc>
        <w:tc>
          <w:tcPr>
            <w:tcW w:w="1985" w:type="dxa"/>
            <w:tcBorders>
              <w:top w:val="single" w:color="auto" w:sz="4" w:space="0"/>
              <w:left w:val="single" w:color="auto" w:sz="4" w:space="0"/>
              <w:bottom w:val="single" w:color="auto" w:sz="4" w:space="0"/>
              <w:right w:val="single" w:color="auto" w:sz="4" w:space="0"/>
            </w:tcBorders>
            <w:vAlign w:val="center"/>
          </w:tcPr>
          <w:p w14:paraId="451407C9">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w:t>
            </w:r>
          </w:p>
        </w:tc>
        <w:tc>
          <w:tcPr>
            <w:tcW w:w="3690" w:type="dxa"/>
            <w:tcBorders>
              <w:top w:val="single" w:color="auto" w:sz="4" w:space="0"/>
              <w:left w:val="single" w:color="auto" w:sz="4" w:space="0"/>
              <w:bottom w:val="single" w:color="auto" w:sz="4" w:space="0"/>
              <w:right w:val="single" w:color="auto" w:sz="4" w:space="0"/>
            </w:tcBorders>
            <w:vAlign w:val="center"/>
          </w:tcPr>
          <w:p w14:paraId="2C7B795F">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w:t>
            </w:r>
          </w:p>
        </w:tc>
        <w:tc>
          <w:tcPr>
            <w:tcW w:w="2881" w:type="dxa"/>
            <w:tcBorders>
              <w:top w:val="single" w:color="auto" w:sz="4" w:space="0"/>
              <w:left w:val="single" w:color="auto" w:sz="4" w:space="0"/>
              <w:bottom w:val="single" w:color="auto" w:sz="4" w:space="0"/>
              <w:right w:val="single" w:color="auto" w:sz="8" w:space="0"/>
            </w:tcBorders>
            <w:vAlign w:val="center"/>
          </w:tcPr>
          <w:p w14:paraId="17EBFE2B">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w:t>
            </w:r>
          </w:p>
        </w:tc>
      </w:tr>
      <w:tr w14:paraId="2406FF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9" w:type="dxa"/>
            <w:tcBorders>
              <w:top w:val="single" w:color="auto" w:sz="4" w:space="0"/>
              <w:left w:val="single" w:color="auto" w:sz="8" w:space="0"/>
              <w:bottom w:val="single" w:color="auto" w:sz="4" w:space="0"/>
              <w:right w:val="single" w:color="auto" w:sz="4" w:space="0"/>
            </w:tcBorders>
            <w:vAlign w:val="center"/>
          </w:tcPr>
          <w:p w14:paraId="4C481BC8">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大气环境</w:t>
            </w:r>
          </w:p>
        </w:tc>
        <w:tc>
          <w:tcPr>
            <w:tcW w:w="4671" w:type="dxa"/>
            <w:tcBorders>
              <w:top w:val="single" w:color="auto" w:sz="4" w:space="0"/>
              <w:left w:val="single" w:color="auto" w:sz="4" w:space="0"/>
              <w:bottom w:val="single" w:color="auto" w:sz="4" w:space="0"/>
              <w:right w:val="single" w:color="auto" w:sz="4" w:space="0"/>
            </w:tcBorders>
            <w:vAlign w:val="center"/>
          </w:tcPr>
          <w:p w14:paraId="055EA0AD">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前及时通知周边居民，设置硬质围挡、出入车辆清洗、加强遮盖、及时清扫抑尘等措施；离村庄较近区域不在有风天气施工，适当增加临近居民侧围挡高度，增加临近居民处洒水抑尘次数，施工机械和车辆尽量避让居民居住区行驶，以减</w:t>
            </w:r>
            <w:r>
              <w:rPr>
                <w:rFonts w:hint="default" w:ascii="Times New Roman" w:hAnsi="Times New Roman" w:eastAsia="宋体" w:cs="Times New Roman"/>
                <w:color w:val="auto"/>
                <w:spacing w:val="-6"/>
                <w:sz w:val="24"/>
                <w:szCs w:val="24"/>
                <w:highlight w:val="none"/>
              </w:rPr>
              <w:t>少施工废气对居民的影响。</w:t>
            </w:r>
          </w:p>
        </w:tc>
        <w:tc>
          <w:tcPr>
            <w:tcW w:w="1985" w:type="dxa"/>
            <w:tcBorders>
              <w:top w:val="single" w:color="auto" w:sz="4" w:space="0"/>
              <w:left w:val="nil"/>
              <w:bottom w:val="single" w:color="auto" w:sz="4" w:space="0"/>
              <w:right w:val="single" w:color="auto" w:sz="4" w:space="0"/>
            </w:tcBorders>
            <w:vAlign w:val="center"/>
          </w:tcPr>
          <w:p w14:paraId="1A46B83C">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《施工场地扬尘排放标准》（DB13/2934-2019）表1扬尘排放浓度限值。</w:t>
            </w:r>
          </w:p>
        </w:tc>
        <w:tc>
          <w:tcPr>
            <w:tcW w:w="3690" w:type="dxa"/>
            <w:tcBorders>
              <w:top w:val="single" w:color="auto" w:sz="4" w:space="0"/>
              <w:left w:val="single" w:color="auto" w:sz="4" w:space="0"/>
              <w:bottom w:val="single" w:color="auto" w:sz="4" w:space="0"/>
              <w:right w:val="single" w:color="auto" w:sz="4" w:space="0"/>
            </w:tcBorders>
            <w:vAlign w:val="center"/>
          </w:tcPr>
          <w:p w14:paraId="26168FCB">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2881" w:type="dxa"/>
            <w:tcBorders>
              <w:top w:val="single" w:color="auto" w:sz="4" w:space="0"/>
              <w:left w:val="single" w:color="auto" w:sz="4" w:space="0"/>
              <w:bottom w:val="single" w:color="auto" w:sz="4" w:space="0"/>
              <w:right w:val="single" w:color="auto" w:sz="8" w:space="0"/>
            </w:tcBorders>
            <w:vAlign w:val="center"/>
          </w:tcPr>
          <w:p w14:paraId="4A9728DA">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r>
      <w:tr w14:paraId="60F241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9" w:type="dxa"/>
            <w:tcBorders>
              <w:top w:val="single" w:color="auto" w:sz="4" w:space="0"/>
              <w:left w:val="single" w:color="auto" w:sz="8" w:space="0"/>
              <w:bottom w:val="single" w:color="auto" w:sz="4" w:space="0"/>
              <w:right w:val="single" w:color="auto" w:sz="4" w:space="0"/>
            </w:tcBorders>
            <w:vAlign w:val="center"/>
          </w:tcPr>
          <w:p w14:paraId="3B7DDB9C">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固体废物</w:t>
            </w:r>
          </w:p>
        </w:tc>
        <w:tc>
          <w:tcPr>
            <w:tcW w:w="4671" w:type="dxa"/>
            <w:tcBorders>
              <w:top w:val="single" w:color="auto" w:sz="4" w:space="0"/>
              <w:left w:val="single" w:color="auto" w:sz="4" w:space="0"/>
              <w:bottom w:val="single" w:color="auto" w:sz="4" w:space="0"/>
              <w:right w:val="single" w:color="auto" w:sz="4" w:space="0"/>
            </w:tcBorders>
            <w:vAlign w:val="center"/>
          </w:tcPr>
          <w:p w14:paraId="665EBBF2">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建筑垃圾送市政部门指定的地点堆存；生活垃圾收集后，交由环卫部门统一处理。</w:t>
            </w:r>
          </w:p>
        </w:tc>
        <w:tc>
          <w:tcPr>
            <w:tcW w:w="1985" w:type="dxa"/>
            <w:tcBorders>
              <w:top w:val="single" w:color="auto" w:sz="4" w:space="0"/>
              <w:left w:val="nil"/>
              <w:bottom w:val="single" w:color="auto" w:sz="4" w:space="0"/>
              <w:right w:val="single" w:color="auto" w:sz="4" w:space="0"/>
            </w:tcBorders>
            <w:vAlign w:val="center"/>
          </w:tcPr>
          <w:p w14:paraId="5B5D2FAB">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妥善处理</w:t>
            </w:r>
          </w:p>
        </w:tc>
        <w:tc>
          <w:tcPr>
            <w:tcW w:w="3690" w:type="dxa"/>
            <w:tcBorders>
              <w:top w:val="single" w:color="auto" w:sz="4" w:space="0"/>
              <w:left w:val="single" w:color="auto" w:sz="4" w:space="0"/>
              <w:bottom w:val="single" w:color="auto" w:sz="4" w:space="0"/>
              <w:right w:val="single" w:color="auto" w:sz="4" w:space="0"/>
            </w:tcBorders>
            <w:vAlign w:val="center"/>
          </w:tcPr>
          <w:p w14:paraId="20FA9D86">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2881" w:type="dxa"/>
            <w:tcBorders>
              <w:top w:val="single" w:color="auto" w:sz="4" w:space="0"/>
              <w:left w:val="single" w:color="auto" w:sz="4" w:space="0"/>
              <w:bottom w:val="single" w:color="auto" w:sz="4" w:space="0"/>
              <w:right w:val="single" w:color="auto" w:sz="8" w:space="0"/>
            </w:tcBorders>
            <w:vAlign w:val="center"/>
          </w:tcPr>
          <w:p w14:paraId="4979CE75">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r>
      <w:tr w14:paraId="66455C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9" w:type="dxa"/>
            <w:tcBorders>
              <w:top w:val="single" w:color="auto" w:sz="4" w:space="0"/>
              <w:left w:val="single" w:color="auto" w:sz="8" w:space="0"/>
              <w:bottom w:val="single" w:color="auto" w:sz="4" w:space="0"/>
              <w:right w:val="single" w:color="auto" w:sz="4" w:space="0"/>
            </w:tcBorders>
            <w:vAlign w:val="center"/>
          </w:tcPr>
          <w:p w14:paraId="48D56937">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电磁环境</w:t>
            </w:r>
          </w:p>
        </w:tc>
        <w:tc>
          <w:tcPr>
            <w:tcW w:w="4671" w:type="dxa"/>
            <w:tcBorders>
              <w:top w:val="single" w:color="auto" w:sz="4" w:space="0"/>
              <w:left w:val="single" w:color="auto" w:sz="4" w:space="0"/>
              <w:bottom w:val="single" w:color="auto" w:sz="4" w:space="0"/>
              <w:right w:val="single" w:color="auto" w:sz="4" w:space="0"/>
            </w:tcBorders>
            <w:vAlign w:val="center"/>
          </w:tcPr>
          <w:p w14:paraId="3E324A15">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w:t>
            </w:r>
          </w:p>
        </w:tc>
        <w:tc>
          <w:tcPr>
            <w:tcW w:w="1985" w:type="dxa"/>
            <w:tcBorders>
              <w:top w:val="single" w:color="auto" w:sz="4" w:space="0"/>
              <w:left w:val="nil"/>
              <w:bottom w:val="single" w:color="auto" w:sz="4" w:space="0"/>
              <w:right w:val="single" w:color="auto" w:sz="4" w:space="0"/>
            </w:tcBorders>
            <w:vAlign w:val="center"/>
          </w:tcPr>
          <w:p w14:paraId="2A50DF12">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w:t>
            </w:r>
          </w:p>
        </w:tc>
        <w:tc>
          <w:tcPr>
            <w:tcW w:w="3690" w:type="dxa"/>
            <w:tcBorders>
              <w:top w:val="single" w:color="auto" w:sz="4" w:space="0"/>
              <w:left w:val="single" w:color="auto" w:sz="4" w:space="0"/>
              <w:bottom w:val="single" w:color="auto" w:sz="4" w:space="0"/>
              <w:right w:val="single" w:color="000000" w:sz="4" w:space="0"/>
            </w:tcBorders>
            <w:vAlign w:val="center"/>
          </w:tcPr>
          <w:p w14:paraId="7B8A8E67">
            <w:pPr>
              <w:adjustRightInd w:val="0"/>
              <w:snapToGrid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运行期加强输电线路运行维护检查，保证正常运行；开展运行期环境监测和管理工作，切实减少对周围环境的影响；建立健全环保管理机构，做好项目的环保竣工验收工作；科学设置导线排列方式、选购光洁度高的导线，确保电磁达标排放</w:t>
            </w:r>
            <w:r>
              <w:rPr>
                <w:rFonts w:hint="default" w:ascii="Times New Roman" w:hAnsi="Times New Roman" w:eastAsia="宋体" w:cs="Times New Roman"/>
                <w:color w:val="auto"/>
                <w:kern w:val="2"/>
                <w:sz w:val="24"/>
                <w:szCs w:val="24"/>
                <w:highlight w:val="none"/>
                <w:lang w:bidi="ar"/>
              </w:rPr>
              <w:t>。</w:t>
            </w:r>
          </w:p>
        </w:tc>
        <w:tc>
          <w:tcPr>
            <w:tcW w:w="2881" w:type="dxa"/>
            <w:tcBorders>
              <w:top w:val="single" w:color="auto" w:sz="4" w:space="0"/>
              <w:left w:val="nil"/>
              <w:bottom w:val="single" w:color="auto" w:sz="4" w:space="0"/>
              <w:right w:val="single" w:color="auto" w:sz="8" w:space="0"/>
            </w:tcBorders>
            <w:vAlign w:val="center"/>
          </w:tcPr>
          <w:p w14:paraId="0D85EF98">
            <w:pPr>
              <w:adjustRightInd w:val="0"/>
              <w:snapToGrid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2"/>
                <w:sz w:val="24"/>
                <w:szCs w:val="24"/>
                <w:highlight w:val="none"/>
                <w:lang w:bidi="ar"/>
              </w:rPr>
              <w:t>《电磁环境控制限值》（GB8702-2014）</w:t>
            </w:r>
          </w:p>
        </w:tc>
      </w:tr>
      <w:tr w14:paraId="5F3EDD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9" w:type="dxa"/>
            <w:tcBorders>
              <w:top w:val="single" w:color="auto" w:sz="4" w:space="0"/>
              <w:left w:val="single" w:color="auto" w:sz="8" w:space="0"/>
              <w:bottom w:val="single" w:color="auto" w:sz="4" w:space="0"/>
              <w:right w:val="single" w:color="auto" w:sz="4" w:space="0"/>
            </w:tcBorders>
            <w:vAlign w:val="center"/>
          </w:tcPr>
          <w:p w14:paraId="0DFB9DBC">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环境风险</w:t>
            </w:r>
          </w:p>
        </w:tc>
        <w:tc>
          <w:tcPr>
            <w:tcW w:w="4671" w:type="dxa"/>
            <w:tcBorders>
              <w:top w:val="single" w:color="auto" w:sz="4" w:space="0"/>
              <w:left w:val="single" w:color="auto" w:sz="4" w:space="0"/>
              <w:bottom w:val="single" w:color="auto" w:sz="4" w:space="0"/>
              <w:right w:val="single" w:color="000000" w:sz="4" w:space="0"/>
            </w:tcBorders>
            <w:vAlign w:val="center"/>
          </w:tcPr>
          <w:p w14:paraId="08DEDDFD">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w:t>
            </w:r>
          </w:p>
        </w:tc>
        <w:tc>
          <w:tcPr>
            <w:tcW w:w="1985" w:type="dxa"/>
            <w:tcBorders>
              <w:top w:val="single" w:color="auto" w:sz="4" w:space="0"/>
              <w:left w:val="nil"/>
              <w:bottom w:val="single" w:color="auto" w:sz="4" w:space="0"/>
              <w:right w:val="single" w:color="auto" w:sz="4" w:space="0"/>
            </w:tcBorders>
            <w:vAlign w:val="center"/>
          </w:tcPr>
          <w:p w14:paraId="68F6D839">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w:t>
            </w:r>
          </w:p>
        </w:tc>
        <w:tc>
          <w:tcPr>
            <w:tcW w:w="3690" w:type="dxa"/>
            <w:tcBorders>
              <w:top w:val="single" w:color="auto" w:sz="4" w:space="0"/>
              <w:left w:val="single" w:color="auto" w:sz="4" w:space="0"/>
              <w:bottom w:val="single" w:color="auto" w:sz="4" w:space="0"/>
              <w:right w:val="single" w:color="000000" w:sz="4" w:space="0"/>
            </w:tcBorders>
            <w:vAlign w:val="center"/>
          </w:tcPr>
          <w:p w14:paraId="60D1EE14">
            <w:pPr>
              <w:autoSpaceDE/>
              <w:autoSpaceDN/>
              <w:adjustRightInd w:val="0"/>
              <w:snapToGrid w:val="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本项目不涉及环境风险物质</w:t>
            </w:r>
          </w:p>
        </w:tc>
        <w:tc>
          <w:tcPr>
            <w:tcW w:w="2881" w:type="dxa"/>
            <w:tcBorders>
              <w:top w:val="single" w:color="auto" w:sz="4" w:space="0"/>
              <w:left w:val="nil"/>
              <w:bottom w:val="single" w:color="auto" w:sz="4" w:space="0"/>
              <w:right w:val="single" w:color="auto" w:sz="8" w:space="0"/>
            </w:tcBorders>
            <w:vAlign w:val="center"/>
          </w:tcPr>
          <w:p w14:paraId="70A75A44">
            <w:pPr>
              <w:autoSpaceDE/>
              <w:autoSpaceDN/>
              <w:adjustRightInd w:val="0"/>
              <w:snapToGrid w:val="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w:t>
            </w:r>
          </w:p>
        </w:tc>
      </w:tr>
      <w:tr w14:paraId="1218E8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4" w:hRule="atLeast"/>
          <w:jc w:val="center"/>
        </w:trPr>
        <w:tc>
          <w:tcPr>
            <w:tcW w:w="1249" w:type="dxa"/>
            <w:vMerge w:val="restart"/>
            <w:tcBorders>
              <w:top w:val="single" w:color="auto" w:sz="4" w:space="0"/>
              <w:left w:val="single" w:color="auto" w:sz="8" w:space="0"/>
              <w:right w:val="single" w:color="auto" w:sz="4" w:space="0"/>
            </w:tcBorders>
            <w:vAlign w:val="center"/>
          </w:tcPr>
          <w:p w14:paraId="09B939DC">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环境监测</w:t>
            </w:r>
          </w:p>
        </w:tc>
        <w:tc>
          <w:tcPr>
            <w:tcW w:w="4671" w:type="dxa"/>
            <w:tcBorders>
              <w:top w:val="single" w:color="auto" w:sz="4" w:space="0"/>
              <w:left w:val="single" w:color="auto" w:sz="4" w:space="0"/>
              <w:right w:val="single" w:color="000000" w:sz="4" w:space="0"/>
            </w:tcBorders>
            <w:vAlign w:val="center"/>
          </w:tcPr>
          <w:p w14:paraId="21ED6D36">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环境空气</w:t>
            </w:r>
          </w:p>
        </w:tc>
        <w:tc>
          <w:tcPr>
            <w:tcW w:w="1985" w:type="dxa"/>
            <w:tcBorders>
              <w:top w:val="single" w:color="auto" w:sz="4" w:space="0"/>
              <w:left w:val="nil"/>
              <w:right w:val="single" w:color="auto" w:sz="4" w:space="0"/>
            </w:tcBorders>
            <w:vAlign w:val="center"/>
          </w:tcPr>
          <w:p w14:paraId="2C83849D">
            <w:pPr>
              <w:autoSpaceDE/>
              <w:autoSpaceDN/>
              <w:adjustRightInd w:val="0"/>
              <w:snapToGrid w:val="0"/>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PM</w:t>
            </w:r>
            <w:r>
              <w:rPr>
                <w:rFonts w:hint="default" w:ascii="Times New Roman" w:hAnsi="Times New Roman" w:eastAsia="宋体" w:cs="Times New Roman"/>
                <w:color w:val="auto"/>
                <w:kern w:val="2"/>
                <w:sz w:val="24"/>
                <w:szCs w:val="24"/>
                <w:highlight w:val="none"/>
                <w:vertAlign w:val="subscript"/>
              </w:rPr>
              <w:t>10</w:t>
            </w:r>
            <w:r>
              <w:rPr>
                <w:rFonts w:hint="default" w:ascii="Times New Roman" w:hAnsi="Times New Roman" w:eastAsia="宋体" w:cs="Times New Roman"/>
                <w:color w:val="auto"/>
                <w:kern w:val="2"/>
                <w:sz w:val="24"/>
                <w:szCs w:val="24"/>
                <w:highlight w:val="none"/>
              </w:rPr>
              <w:t>符合《施工场地扬尘排放标准》（DB13/2934-2019）表1扬尘排放浓度限值</w:t>
            </w:r>
          </w:p>
        </w:tc>
        <w:tc>
          <w:tcPr>
            <w:tcW w:w="3690" w:type="dxa"/>
            <w:tcBorders>
              <w:top w:val="single" w:color="auto" w:sz="4" w:space="0"/>
              <w:left w:val="single" w:color="auto" w:sz="4" w:space="0"/>
              <w:right w:val="single" w:color="000000" w:sz="4" w:space="0"/>
            </w:tcBorders>
            <w:vAlign w:val="center"/>
          </w:tcPr>
          <w:p w14:paraId="4C834643">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2"/>
                <w:sz w:val="24"/>
                <w:szCs w:val="24"/>
                <w:highlight w:val="none"/>
                <w:lang w:bidi="ar"/>
              </w:rPr>
              <w:t>电磁环境</w:t>
            </w:r>
          </w:p>
        </w:tc>
        <w:tc>
          <w:tcPr>
            <w:tcW w:w="2881" w:type="dxa"/>
            <w:tcBorders>
              <w:top w:val="single" w:color="auto" w:sz="4" w:space="0"/>
              <w:left w:val="nil"/>
              <w:right w:val="single" w:color="auto" w:sz="8" w:space="0"/>
            </w:tcBorders>
            <w:vAlign w:val="center"/>
          </w:tcPr>
          <w:p w14:paraId="632B6043">
            <w:pPr>
              <w:adjustRightInd w:val="0"/>
              <w:snapToGrid w:val="0"/>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2"/>
                <w:sz w:val="24"/>
                <w:szCs w:val="24"/>
                <w:highlight w:val="none"/>
                <w:lang w:bidi="ar"/>
              </w:rPr>
              <w:t>电磁环境满足《电磁环境控制限值》（GB8702-2014）中规定的4kV/m（</w:t>
            </w:r>
            <w:r>
              <w:rPr>
                <w:rFonts w:hint="default" w:ascii="Times New Roman" w:hAnsi="Times New Roman" w:eastAsia="宋体" w:cs="Times New Roman"/>
                <w:color w:val="auto"/>
                <w:sz w:val="24"/>
                <w:szCs w:val="24"/>
                <w:highlight w:val="none"/>
              </w:rPr>
              <w:t>其中架空输电线路线下的耕地、园地、道路等场所，其频率50Hz的电场强度控制限值为10kV/m</w:t>
            </w:r>
            <w:r>
              <w:rPr>
                <w:rFonts w:hint="default" w:ascii="Times New Roman" w:hAnsi="Times New Roman" w:eastAsia="宋体" w:cs="Times New Roman"/>
                <w:color w:val="auto"/>
                <w:kern w:val="2"/>
                <w:sz w:val="24"/>
                <w:szCs w:val="24"/>
                <w:highlight w:val="none"/>
                <w:lang w:bidi="ar"/>
              </w:rPr>
              <w:t>）和100μT公众曝露控制限值要求。</w:t>
            </w:r>
          </w:p>
        </w:tc>
      </w:tr>
      <w:tr w14:paraId="5DA384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4" w:hRule="atLeast"/>
          <w:jc w:val="center"/>
        </w:trPr>
        <w:tc>
          <w:tcPr>
            <w:tcW w:w="1249" w:type="dxa"/>
            <w:vMerge w:val="continue"/>
            <w:tcBorders>
              <w:left w:val="single" w:color="auto" w:sz="8" w:space="0"/>
              <w:right w:val="single" w:color="auto" w:sz="4" w:space="0"/>
            </w:tcBorders>
            <w:vAlign w:val="center"/>
          </w:tcPr>
          <w:p w14:paraId="608BCC6F">
            <w:pPr>
              <w:autoSpaceDE/>
              <w:autoSpaceDN/>
              <w:adjustRightInd w:val="0"/>
              <w:snapToGrid w:val="0"/>
              <w:jc w:val="center"/>
              <w:rPr>
                <w:rFonts w:hint="default" w:ascii="Times New Roman" w:hAnsi="Times New Roman" w:eastAsia="宋体" w:cs="Times New Roman"/>
                <w:color w:val="auto"/>
                <w:kern w:val="2"/>
                <w:sz w:val="24"/>
                <w:szCs w:val="24"/>
                <w:highlight w:val="none"/>
              </w:rPr>
            </w:pPr>
          </w:p>
        </w:tc>
        <w:tc>
          <w:tcPr>
            <w:tcW w:w="4671" w:type="dxa"/>
            <w:tcBorders>
              <w:top w:val="single" w:color="auto" w:sz="4" w:space="0"/>
              <w:left w:val="single" w:color="auto" w:sz="4" w:space="0"/>
              <w:right w:val="single" w:color="000000" w:sz="4" w:space="0"/>
            </w:tcBorders>
            <w:vAlign w:val="center"/>
          </w:tcPr>
          <w:p w14:paraId="6E2EAC9E">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噪声</w:t>
            </w:r>
          </w:p>
        </w:tc>
        <w:tc>
          <w:tcPr>
            <w:tcW w:w="1985" w:type="dxa"/>
            <w:tcBorders>
              <w:left w:val="nil"/>
              <w:right w:val="single" w:color="auto" w:sz="4" w:space="0"/>
            </w:tcBorders>
            <w:vAlign w:val="center"/>
          </w:tcPr>
          <w:p w14:paraId="0FA111A1">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施工噪声满足《建筑施工场界环境噪声排放标准》（GB12523-2011）</w:t>
            </w:r>
          </w:p>
        </w:tc>
        <w:tc>
          <w:tcPr>
            <w:tcW w:w="3690" w:type="dxa"/>
            <w:tcBorders>
              <w:left w:val="single" w:color="auto" w:sz="4" w:space="0"/>
              <w:bottom w:val="single" w:color="auto" w:sz="4" w:space="0"/>
              <w:right w:val="single" w:color="000000" w:sz="4" w:space="0"/>
            </w:tcBorders>
            <w:vAlign w:val="center"/>
          </w:tcPr>
          <w:p w14:paraId="312DF414">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bidi="ar"/>
              </w:rPr>
              <w:t>噪声</w:t>
            </w:r>
          </w:p>
        </w:tc>
        <w:tc>
          <w:tcPr>
            <w:tcW w:w="2881" w:type="dxa"/>
            <w:tcBorders>
              <w:left w:val="nil"/>
              <w:bottom w:val="single" w:color="auto" w:sz="4" w:space="0"/>
              <w:right w:val="single" w:color="auto" w:sz="8" w:space="0"/>
            </w:tcBorders>
            <w:vAlign w:val="center"/>
          </w:tcPr>
          <w:p w14:paraId="4AF96BA5">
            <w:pPr>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bidi="ar"/>
              </w:rPr>
              <w:t>线路周围声环境执行《声环境质量标准》（GB3096-2008）1类声功能区标准</w:t>
            </w:r>
          </w:p>
        </w:tc>
      </w:tr>
      <w:tr w14:paraId="0D3E62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9" w:type="dxa"/>
            <w:tcBorders>
              <w:top w:val="single" w:color="auto" w:sz="4" w:space="0"/>
              <w:left w:val="single" w:color="auto" w:sz="8" w:space="0"/>
              <w:bottom w:val="single" w:color="auto" w:sz="8" w:space="0"/>
              <w:right w:val="single" w:color="auto" w:sz="4" w:space="0"/>
            </w:tcBorders>
            <w:vAlign w:val="center"/>
          </w:tcPr>
          <w:p w14:paraId="6523558C">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其他</w:t>
            </w:r>
          </w:p>
        </w:tc>
        <w:tc>
          <w:tcPr>
            <w:tcW w:w="4671" w:type="dxa"/>
            <w:tcBorders>
              <w:top w:val="single" w:color="auto" w:sz="4" w:space="0"/>
              <w:left w:val="single" w:color="auto" w:sz="4" w:space="0"/>
              <w:bottom w:val="single" w:color="auto" w:sz="8" w:space="0"/>
              <w:right w:val="single" w:color="000000" w:sz="4" w:space="0"/>
            </w:tcBorders>
            <w:vAlign w:val="center"/>
          </w:tcPr>
          <w:p w14:paraId="1795C5E3">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1985" w:type="dxa"/>
            <w:tcBorders>
              <w:top w:val="single" w:color="auto" w:sz="4" w:space="0"/>
              <w:left w:val="nil"/>
              <w:bottom w:val="single" w:color="auto" w:sz="8" w:space="0"/>
              <w:right w:val="single" w:color="auto" w:sz="4" w:space="0"/>
            </w:tcBorders>
            <w:vAlign w:val="center"/>
          </w:tcPr>
          <w:p w14:paraId="67D549C3">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3690" w:type="dxa"/>
            <w:tcBorders>
              <w:top w:val="single" w:color="auto" w:sz="4" w:space="0"/>
              <w:left w:val="single" w:color="auto" w:sz="4" w:space="0"/>
              <w:bottom w:val="single" w:color="auto" w:sz="8" w:space="0"/>
              <w:right w:val="single" w:color="000000" w:sz="4" w:space="0"/>
            </w:tcBorders>
            <w:vAlign w:val="center"/>
          </w:tcPr>
          <w:p w14:paraId="7C7BB5CC">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2881" w:type="dxa"/>
            <w:tcBorders>
              <w:top w:val="single" w:color="auto" w:sz="4" w:space="0"/>
              <w:left w:val="nil"/>
              <w:bottom w:val="single" w:color="auto" w:sz="8" w:space="0"/>
              <w:right w:val="single" w:color="auto" w:sz="8" w:space="0"/>
            </w:tcBorders>
            <w:vAlign w:val="center"/>
          </w:tcPr>
          <w:p w14:paraId="30FA4BE5">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r>
    </w:tbl>
    <w:p w14:paraId="7E8082A1">
      <w:pPr>
        <w:rPr>
          <w:rFonts w:hint="default" w:ascii="Times New Roman" w:hAnsi="Times New Roman" w:eastAsia="宋体" w:cs="Times New Roman"/>
          <w:color w:val="auto"/>
          <w:sz w:val="21"/>
          <w:highlight w:val="none"/>
        </w:rPr>
        <w:sectPr>
          <w:pgSz w:w="16840" w:h="11910" w:orient="landscape"/>
          <w:pgMar w:top="1338" w:right="1582" w:bottom="1321" w:left="998" w:header="0" w:footer="816" w:gutter="0"/>
          <w:cols w:space="720" w:num="1"/>
        </w:sectPr>
      </w:pPr>
    </w:p>
    <w:p w14:paraId="00945818">
      <w:pPr>
        <w:pStyle w:val="12"/>
        <w:spacing w:line="550" w:lineRule="exact"/>
        <w:ind w:left="635" w:right="652"/>
        <w:jc w:val="center"/>
        <w:outlineLvl w:val="0"/>
        <w:rPr>
          <w:rFonts w:hint="default" w:ascii="Times New Roman" w:hAnsi="Times New Roman" w:eastAsia="宋体" w:cs="Times New Roman"/>
          <w:color w:val="auto"/>
          <w:highlight w:val="none"/>
        </w:rPr>
      </w:pPr>
      <w:bookmarkStart w:id="21" w:name="_Toc150930992"/>
      <w:r>
        <w:rPr>
          <w:rFonts w:hint="default" w:ascii="Times New Roman" w:hAnsi="Times New Roman" w:eastAsia="宋体" w:cs="Times New Roman"/>
          <w:color w:val="auto"/>
          <w:highlight w:val="none"/>
        </w:rPr>
        <w:t>七、结论</w:t>
      </w:r>
      <w:bookmarkEnd w:id="21"/>
    </w:p>
    <w:tbl>
      <w:tblPr>
        <w:tblStyle w:val="33"/>
        <w:tblW w:w="8788"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8"/>
      </w:tblGrid>
      <w:tr w14:paraId="52573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8" w:type="dxa"/>
          </w:tcPr>
          <w:p w14:paraId="5604397B">
            <w:pPr>
              <w:autoSpaceDE/>
              <w:autoSpaceDN/>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华能围场“风光储氢热一体化”项目（光伏200MW）项目220kV送出线路工程项目符合国家及地方产业政策，工程采取了较为完善的污染防治措施，可确保污染物达标排放，项目的建设不会对周围环境产生明显影响。在加强监督管理和严格执行“三同时”前提下，从环保角度分析，本项目的建设可行。</w:t>
            </w:r>
          </w:p>
          <w:p w14:paraId="7B1DF654">
            <w:pPr>
              <w:pStyle w:val="12"/>
              <w:autoSpaceDE/>
              <w:autoSpaceDN/>
              <w:spacing w:line="551" w:lineRule="exact"/>
              <w:ind w:right="652"/>
              <w:jc w:val="both"/>
              <w:rPr>
                <w:rFonts w:hint="default" w:ascii="Times New Roman" w:hAnsi="Times New Roman" w:eastAsia="宋体" w:cs="Times New Roman"/>
                <w:color w:val="auto"/>
                <w:highlight w:val="none"/>
              </w:rPr>
            </w:pPr>
          </w:p>
          <w:p w14:paraId="477FE73B">
            <w:pPr>
              <w:pStyle w:val="12"/>
              <w:autoSpaceDE/>
              <w:autoSpaceDN/>
              <w:spacing w:line="551" w:lineRule="exact"/>
              <w:ind w:right="652"/>
              <w:jc w:val="both"/>
              <w:rPr>
                <w:rFonts w:hint="default" w:ascii="Times New Roman" w:hAnsi="Times New Roman" w:eastAsia="宋体" w:cs="Times New Roman"/>
                <w:color w:val="auto"/>
                <w:highlight w:val="none"/>
              </w:rPr>
            </w:pPr>
          </w:p>
          <w:p w14:paraId="10D69FDF">
            <w:pPr>
              <w:pStyle w:val="12"/>
              <w:autoSpaceDE/>
              <w:autoSpaceDN/>
              <w:spacing w:line="551" w:lineRule="exact"/>
              <w:ind w:right="652"/>
              <w:jc w:val="both"/>
              <w:rPr>
                <w:rFonts w:hint="default" w:ascii="Times New Roman" w:hAnsi="Times New Roman" w:eastAsia="宋体" w:cs="Times New Roman"/>
                <w:color w:val="auto"/>
                <w:highlight w:val="none"/>
              </w:rPr>
            </w:pPr>
          </w:p>
          <w:p w14:paraId="14BFF4E6">
            <w:pPr>
              <w:pStyle w:val="12"/>
              <w:autoSpaceDE/>
              <w:autoSpaceDN/>
              <w:spacing w:line="551" w:lineRule="exact"/>
              <w:ind w:right="652"/>
              <w:jc w:val="both"/>
              <w:rPr>
                <w:rFonts w:hint="default" w:ascii="Times New Roman" w:hAnsi="Times New Roman" w:eastAsia="宋体" w:cs="Times New Roman"/>
                <w:color w:val="auto"/>
                <w:highlight w:val="none"/>
              </w:rPr>
            </w:pPr>
          </w:p>
          <w:p w14:paraId="2322C897">
            <w:pPr>
              <w:pStyle w:val="12"/>
              <w:autoSpaceDE/>
              <w:autoSpaceDN/>
              <w:spacing w:line="551" w:lineRule="exact"/>
              <w:ind w:right="652"/>
              <w:jc w:val="both"/>
              <w:rPr>
                <w:rFonts w:hint="default" w:ascii="Times New Roman" w:hAnsi="Times New Roman" w:eastAsia="宋体" w:cs="Times New Roman"/>
                <w:color w:val="auto"/>
                <w:highlight w:val="none"/>
              </w:rPr>
            </w:pPr>
          </w:p>
          <w:p w14:paraId="087602B4">
            <w:pPr>
              <w:pStyle w:val="12"/>
              <w:autoSpaceDE/>
              <w:autoSpaceDN/>
              <w:spacing w:line="551" w:lineRule="exact"/>
              <w:ind w:right="652"/>
              <w:jc w:val="both"/>
              <w:rPr>
                <w:rFonts w:hint="default" w:ascii="Times New Roman" w:hAnsi="Times New Roman" w:eastAsia="宋体" w:cs="Times New Roman"/>
                <w:color w:val="auto"/>
                <w:highlight w:val="none"/>
              </w:rPr>
            </w:pPr>
          </w:p>
          <w:p w14:paraId="32526F8F">
            <w:pPr>
              <w:pStyle w:val="12"/>
              <w:autoSpaceDE/>
              <w:autoSpaceDN/>
              <w:spacing w:line="551" w:lineRule="exact"/>
              <w:ind w:right="652"/>
              <w:jc w:val="both"/>
              <w:rPr>
                <w:rFonts w:hint="default" w:ascii="Times New Roman" w:hAnsi="Times New Roman" w:eastAsia="宋体" w:cs="Times New Roman"/>
                <w:color w:val="auto"/>
                <w:highlight w:val="none"/>
              </w:rPr>
            </w:pPr>
          </w:p>
          <w:p w14:paraId="1F8E9552">
            <w:pPr>
              <w:pStyle w:val="12"/>
              <w:autoSpaceDE/>
              <w:autoSpaceDN/>
              <w:spacing w:line="551" w:lineRule="exact"/>
              <w:ind w:right="652"/>
              <w:jc w:val="both"/>
              <w:rPr>
                <w:rFonts w:hint="default" w:ascii="Times New Roman" w:hAnsi="Times New Roman" w:eastAsia="宋体" w:cs="Times New Roman"/>
                <w:color w:val="auto"/>
                <w:highlight w:val="none"/>
              </w:rPr>
            </w:pPr>
          </w:p>
          <w:p w14:paraId="3C03327F">
            <w:pPr>
              <w:pStyle w:val="12"/>
              <w:autoSpaceDE/>
              <w:autoSpaceDN/>
              <w:spacing w:line="551" w:lineRule="exact"/>
              <w:ind w:right="652"/>
              <w:jc w:val="both"/>
              <w:rPr>
                <w:rFonts w:hint="default" w:ascii="Times New Roman" w:hAnsi="Times New Roman" w:eastAsia="宋体" w:cs="Times New Roman"/>
                <w:color w:val="auto"/>
                <w:highlight w:val="none"/>
              </w:rPr>
            </w:pPr>
          </w:p>
          <w:p w14:paraId="61B50575">
            <w:pPr>
              <w:pStyle w:val="12"/>
              <w:autoSpaceDE/>
              <w:autoSpaceDN/>
              <w:spacing w:line="551" w:lineRule="exact"/>
              <w:ind w:right="652"/>
              <w:jc w:val="both"/>
              <w:rPr>
                <w:rFonts w:hint="default" w:ascii="Times New Roman" w:hAnsi="Times New Roman" w:eastAsia="宋体" w:cs="Times New Roman"/>
                <w:color w:val="auto"/>
                <w:highlight w:val="none"/>
              </w:rPr>
            </w:pPr>
          </w:p>
          <w:p w14:paraId="789F32BE">
            <w:pPr>
              <w:pStyle w:val="12"/>
              <w:autoSpaceDE/>
              <w:autoSpaceDN/>
              <w:spacing w:line="551" w:lineRule="exact"/>
              <w:ind w:right="652"/>
              <w:jc w:val="both"/>
              <w:rPr>
                <w:rFonts w:hint="default" w:ascii="Times New Roman" w:hAnsi="Times New Roman" w:eastAsia="宋体" w:cs="Times New Roman"/>
                <w:color w:val="auto"/>
                <w:highlight w:val="none"/>
              </w:rPr>
            </w:pPr>
          </w:p>
          <w:p w14:paraId="0E6A89AE">
            <w:pPr>
              <w:pStyle w:val="12"/>
              <w:autoSpaceDE/>
              <w:autoSpaceDN/>
              <w:spacing w:line="551" w:lineRule="exact"/>
              <w:ind w:right="652"/>
              <w:jc w:val="both"/>
              <w:rPr>
                <w:rFonts w:hint="default" w:ascii="Times New Roman" w:hAnsi="Times New Roman" w:eastAsia="宋体" w:cs="Times New Roman"/>
                <w:color w:val="auto"/>
                <w:highlight w:val="none"/>
              </w:rPr>
            </w:pPr>
          </w:p>
          <w:p w14:paraId="283085FE">
            <w:pPr>
              <w:pStyle w:val="12"/>
              <w:autoSpaceDE/>
              <w:autoSpaceDN/>
              <w:spacing w:line="551" w:lineRule="exact"/>
              <w:ind w:right="652"/>
              <w:jc w:val="both"/>
              <w:rPr>
                <w:rFonts w:hint="default" w:ascii="Times New Roman" w:hAnsi="Times New Roman" w:eastAsia="宋体" w:cs="Times New Roman"/>
                <w:color w:val="auto"/>
                <w:highlight w:val="none"/>
              </w:rPr>
            </w:pPr>
          </w:p>
          <w:p w14:paraId="68913A70">
            <w:pPr>
              <w:pStyle w:val="12"/>
              <w:autoSpaceDE/>
              <w:autoSpaceDN/>
              <w:spacing w:line="551" w:lineRule="exact"/>
              <w:ind w:right="652"/>
              <w:jc w:val="both"/>
              <w:rPr>
                <w:rFonts w:hint="default" w:ascii="Times New Roman" w:hAnsi="Times New Roman" w:eastAsia="宋体" w:cs="Times New Roman"/>
                <w:color w:val="auto"/>
                <w:highlight w:val="none"/>
              </w:rPr>
            </w:pPr>
          </w:p>
          <w:p w14:paraId="267BBA5F">
            <w:pPr>
              <w:pStyle w:val="12"/>
              <w:autoSpaceDE/>
              <w:autoSpaceDN/>
              <w:spacing w:line="551" w:lineRule="exact"/>
              <w:ind w:right="652"/>
              <w:jc w:val="both"/>
              <w:rPr>
                <w:rFonts w:hint="default" w:ascii="Times New Roman" w:hAnsi="Times New Roman" w:eastAsia="宋体" w:cs="Times New Roman"/>
                <w:color w:val="auto"/>
                <w:highlight w:val="none"/>
              </w:rPr>
            </w:pPr>
          </w:p>
          <w:p w14:paraId="73A9A6A0">
            <w:pPr>
              <w:pStyle w:val="12"/>
              <w:autoSpaceDE/>
              <w:autoSpaceDN/>
              <w:spacing w:line="551" w:lineRule="exact"/>
              <w:ind w:right="652"/>
              <w:jc w:val="both"/>
              <w:rPr>
                <w:rFonts w:hint="default" w:ascii="Times New Roman" w:hAnsi="Times New Roman" w:eastAsia="宋体" w:cs="Times New Roman"/>
                <w:color w:val="auto"/>
                <w:highlight w:val="none"/>
              </w:rPr>
            </w:pPr>
          </w:p>
          <w:p w14:paraId="4E6A3957">
            <w:pPr>
              <w:pStyle w:val="12"/>
              <w:autoSpaceDE/>
              <w:autoSpaceDN/>
              <w:spacing w:line="551" w:lineRule="exact"/>
              <w:ind w:right="652"/>
              <w:jc w:val="both"/>
              <w:rPr>
                <w:rFonts w:hint="default" w:ascii="Times New Roman" w:hAnsi="Times New Roman" w:eastAsia="宋体" w:cs="Times New Roman"/>
                <w:color w:val="auto"/>
                <w:highlight w:val="none"/>
              </w:rPr>
            </w:pPr>
          </w:p>
          <w:p w14:paraId="5C26AA20">
            <w:pPr>
              <w:pStyle w:val="12"/>
              <w:autoSpaceDE/>
              <w:autoSpaceDN/>
              <w:spacing w:line="551" w:lineRule="exact"/>
              <w:ind w:right="652"/>
              <w:jc w:val="both"/>
              <w:rPr>
                <w:rFonts w:hint="default" w:ascii="Times New Roman" w:hAnsi="Times New Roman" w:eastAsia="宋体" w:cs="Times New Roman"/>
                <w:color w:val="auto"/>
                <w:highlight w:val="none"/>
              </w:rPr>
            </w:pPr>
          </w:p>
          <w:p w14:paraId="52598090">
            <w:pPr>
              <w:pStyle w:val="12"/>
              <w:autoSpaceDE/>
              <w:autoSpaceDN/>
              <w:spacing w:line="551" w:lineRule="exact"/>
              <w:ind w:right="652"/>
              <w:jc w:val="both"/>
              <w:rPr>
                <w:rFonts w:hint="default" w:ascii="Times New Roman" w:hAnsi="Times New Roman" w:eastAsia="宋体" w:cs="Times New Roman"/>
                <w:color w:val="auto"/>
                <w:highlight w:val="none"/>
              </w:rPr>
            </w:pPr>
          </w:p>
          <w:p w14:paraId="4EA60694">
            <w:pPr>
              <w:pStyle w:val="12"/>
              <w:autoSpaceDE/>
              <w:autoSpaceDN/>
              <w:spacing w:line="551" w:lineRule="exact"/>
              <w:ind w:right="652"/>
              <w:jc w:val="both"/>
              <w:rPr>
                <w:rFonts w:hint="default" w:ascii="Times New Roman" w:hAnsi="Times New Roman" w:eastAsia="宋体" w:cs="Times New Roman"/>
                <w:color w:val="auto"/>
                <w:highlight w:val="none"/>
              </w:rPr>
            </w:pPr>
          </w:p>
        </w:tc>
      </w:tr>
    </w:tbl>
    <w:p w14:paraId="76B32CD9">
      <w:pPr>
        <w:rPr>
          <w:rFonts w:hint="default" w:ascii="Times New Roman" w:hAnsi="Times New Roman" w:eastAsia="宋体" w:cs="Times New Roman"/>
          <w:color w:val="auto"/>
          <w:sz w:val="14"/>
          <w:highlight w:val="none"/>
        </w:rPr>
      </w:pPr>
    </w:p>
    <w:sectPr>
      <w:footerReference r:id="rId7" w:type="default"/>
      <w:pgSz w:w="11910" w:h="16840"/>
      <w:pgMar w:top="1418" w:right="998" w:bottom="1378" w:left="1100" w:header="0" w:footer="816"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Noto Sans Mono CJK JP Bold">
    <w:altName w:val="Arial"/>
    <w:panose1 w:val="00000000000000000000"/>
    <w:charset w:val="00"/>
    <w:family w:val="swiss"/>
    <w:pitch w:val="default"/>
    <w:sig w:usb0="00000000" w:usb1="00000000" w:usb2="00000000" w:usb3="00000000" w:csb0="00000000" w:csb1="00000000"/>
  </w:font>
  <w:font w:name="Droid Sans Fallback">
    <w:altName w:val="Arial"/>
    <w:panose1 w:val="00000000000000000000"/>
    <w:charset w:val="00"/>
    <w:family w:val="swiss"/>
    <w:pitch w:val="default"/>
    <w:sig w:usb0="00000000" w:usb1="00000000" w:usb2="00000000" w:usb3="00000000" w:csb0="00000000"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Noto Sans CJK JP Black">
    <w:altName w:val="Arial"/>
    <w:panose1 w:val="00000000000000000000"/>
    <w:charset w:val="00"/>
    <w:family w:val="swiss"/>
    <w:pitch w:val="default"/>
    <w:sig w:usb0="00000000" w:usb1="00000000" w:usb2="00000000" w:usb3="00000000" w:csb0="00040001" w:csb1="00000000"/>
  </w:font>
  <w:font w:name="”“Times New Roman”“">
    <w:altName w:val="宋体"/>
    <w:panose1 w:val="00000000000000000000"/>
    <w:charset w:val="86"/>
    <w:family w:val="roma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CG Times (WN)">
    <w:altName w:val="Times New Roman"/>
    <w:panose1 w:val="00000000000000000000"/>
    <w:charset w:val="00"/>
    <w:family w:val="auto"/>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font>
  <w:font w:name="方正宋三简体">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8722644"/>
    </w:sdtPr>
    <w:sdtEndPr>
      <w:rPr>
        <w:rFonts w:ascii="Times New Roman" w:hAnsi="Times New Roman" w:cs="Times New Roman"/>
        <w:sz w:val="21"/>
        <w:szCs w:val="21"/>
      </w:rPr>
    </w:sdtEndPr>
    <w:sdtContent>
      <w:p w14:paraId="34D09499">
        <w:pPr>
          <w:pStyle w:val="20"/>
          <w:jc w:val="center"/>
          <w:rPr>
            <w:rFonts w:ascii="Times New Roman" w:hAnsi="Times New Roman" w:cs="Times New Roman"/>
            <w:sz w:val="21"/>
            <w:szCs w:val="21"/>
          </w:rPr>
        </w:pPr>
      </w:p>
    </w:sdtContent>
  </w:sdt>
  <w:p w14:paraId="40E191CA">
    <w:pPr>
      <w:pStyle w:val="12"/>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EE961">
    <w:pPr>
      <w:pStyle w:val="20"/>
      <w:jc w:val="center"/>
      <w:rPr>
        <w:rFonts w:ascii="Times New Roman" w:hAnsi="Times New Roman" w:cs="Times New Roman"/>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862900586"/>
                          </w:sdtPr>
                          <w:sdtEndPr>
                            <w:rPr>
                              <w:rFonts w:ascii="Times New Roman" w:hAnsi="Times New Roman" w:cs="Times New Roman"/>
                              <w:sz w:val="21"/>
                              <w:szCs w:val="21"/>
                            </w:rPr>
                          </w:sdtEndPr>
                          <w:sdtContent>
                            <w:p w14:paraId="74F425A4">
                              <w:pPr>
                                <w:pStyle w:val="20"/>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70</w:t>
                              </w:r>
                              <w:r>
                                <w:rPr>
                                  <w:rFonts w:ascii="Times New Roman" w:hAnsi="Times New Roman" w:cs="Times New Roman"/>
                                  <w:sz w:val="21"/>
                                  <w:szCs w:val="21"/>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sdt>
                    <w:sdtPr>
                      <w:id w:val="-862900586"/>
                    </w:sdtPr>
                    <w:sdtEndPr>
                      <w:rPr>
                        <w:rFonts w:ascii="Times New Roman" w:hAnsi="Times New Roman" w:cs="Times New Roman"/>
                        <w:sz w:val="21"/>
                        <w:szCs w:val="21"/>
                      </w:rPr>
                    </w:sdtEndPr>
                    <w:sdtContent>
                      <w:p w14:paraId="74F425A4">
                        <w:pPr>
                          <w:pStyle w:val="20"/>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70</w:t>
                        </w:r>
                        <w:r>
                          <w:rPr>
                            <w:rFonts w:ascii="Times New Roman" w:hAnsi="Times New Roman" w:cs="Times New Roman"/>
                            <w:sz w:val="21"/>
                            <w:szCs w:val="21"/>
                          </w:rPr>
                          <w:fldChar w:fldCharType="end"/>
                        </w:r>
                      </w:p>
                    </w:sdtContent>
                  </w:sdt>
                </w:txbxContent>
              </v:textbox>
            </v:shape>
          </w:pict>
        </mc:Fallback>
      </mc:AlternateContent>
    </w:r>
  </w:p>
  <w:p w14:paraId="61DBF5F1">
    <w:pPr>
      <w:pStyle w:val="12"/>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98F09">
    <w:pPr>
      <w:pStyle w:val="12"/>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B5BBB">
    <w:pPr>
      <w:pStyle w:val="20"/>
      <w:jc w:val="center"/>
      <w:rPr>
        <w:rFonts w:ascii="Times New Roman" w:hAnsi="Times New Roman" w:cs="Times New Roman"/>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2FBAA7">
                          <w:pPr>
                            <w:pStyle w:val="20"/>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372FBAA7">
                    <w:pPr>
                      <w:pStyle w:val="20"/>
                    </w:pPr>
                    <w:r>
                      <w:fldChar w:fldCharType="begin"/>
                    </w:r>
                    <w:r>
                      <w:instrText xml:space="preserve"> PAGE  \* MERGEFORMAT </w:instrText>
                    </w:r>
                    <w:r>
                      <w:fldChar w:fldCharType="separate"/>
                    </w:r>
                    <w:r>
                      <w:t>72</w:t>
                    </w:r>
                    <w:r>
                      <w:fldChar w:fldCharType="end"/>
                    </w:r>
                  </w:p>
                </w:txbxContent>
              </v:textbox>
            </v:shape>
          </w:pict>
        </mc:Fallback>
      </mc:AlternateContent>
    </w:r>
  </w:p>
  <w:p w14:paraId="2CEAE02A">
    <w:pPr>
      <w:pStyle w:val="12"/>
      <w:spacing w:line="14" w:lineRule="auto"/>
      <w:rPr>
        <w:sz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CD14A">
    <w:pPr>
      <w:pStyle w:val="21"/>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hideSpellingErrors/>
  <w:documentProtection w:enforcement="0"/>
  <w:defaultTabStop w:val="720"/>
  <w:drawingGridHorizontalSpacing w:val="110"/>
  <w:noPunctuationKerning w:val="1"/>
  <w:characterSpacingControl w:val="doNotCompress"/>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YzNDYwZjI5YzIzZGE2NGZiMzYzYTE1NDRiNDIxNTMifQ=="/>
  </w:docVars>
  <w:rsids>
    <w:rsidRoot w:val="00172A27"/>
    <w:rsid w:val="00001C0D"/>
    <w:rsid w:val="000053B5"/>
    <w:rsid w:val="00005F93"/>
    <w:rsid w:val="000079E7"/>
    <w:rsid w:val="00013A53"/>
    <w:rsid w:val="00014D03"/>
    <w:rsid w:val="00016FAA"/>
    <w:rsid w:val="00017D6A"/>
    <w:rsid w:val="000206CC"/>
    <w:rsid w:val="00021274"/>
    <w:rsid w:val="00025016"/>
    <w:rsid w:val="00027DB3"/>
    <w:rsid w:val="00031326"/>
    <w:rsid w:val="00034DFA"/>
    <w:rsid w:val="000358EF"/>
    <w:rsid w:val="0003694E"/>
    <w:rsid w:val="0004049A"/>
    <w:rsid w:val="00041796"/>
    <w:rsid w:val="00043348"/>
    <w:rsid w:val="000443AF"/>
    <w:rsid w:val="00045B21"/>
    <w:rsid w:val="00046134"/>
    <w:rsid w:val="0005061F"/>
    <w:rsid w:val="000513F8"/>
    <w:rsid w:val="00053256"/>
    <w:rsid w:val="00053FEB"/>
    <w:rsid w:val="000653C9"/>
    <w:rsid w:val="00067C06"/>
    <w:rsid w:val="0007199C"/>
    <w:rsid w:val="00072FBB"/>
    <w:rsid w:val="00074D06"/>
    <w:rsid w:val="00080557"/>
    <w:rsid w:val="00090038"/>
    <w:rsid w:val="000900CD"/>
    <w:rsid w:val="00091B65"/>
    <w:rsid w:val="00091EAD"/>
    <w:rsid w:val="00094C74"/>
    <w:rsid w:val="000B1ADA"/>
    <w:rsid w:val="000B722F"/>
    <w:rsid w:val="000C1109"/>
    <w:rsid w:val="000C2749"/>
    <w:rsid w:val="000C673A"/>
    <w:rsid w:val="000C762B"/>
    <w:rsid w:val="000D2B6E"/>
    <w:rsid w:val="000D3B53"/>
    <w:rsid w:val="000D4273"/>
    <w:rsid w:val="000E14F0"/>
    <w:rsid w:val="000E2727"/>
    <w:rsid w:val="000F4D06"/>
    <w:rsid w:val="000F70E5"/>
    <w:rsid w:val="00100FA6"/>
    <w:rsid w:val="00107FB7"/>
    <w:rsid w:val="001113EA"/>
    <w:rsid w:val="00114507"/>
    <w:rsid w:val="00120082"/>
    <w:rsid w:val="001204E8"/>
    <w:rsid w:val="0012157F"/>
    <w:rsid w:val="00127C27"/>
    <w:rsid w:val="00130DC4"/>
    <w:rsid w:val="001426B4"/>
    <w:rsid w:val="00155840"/>
    <w:rsid w:val="00156DF5"/>
    <w:rsid w:val="0015708E"/>
    <w:rsid w:val="001616A8"/>
    <w:rsid w:val="00172A27"/>
    <w:rsid w:val="00173183"/>
    <w:rsid w:val="001863EE"/>
    <w:rsid w:val="001957E2"/>
    <w:rsid w:val="00195AF8"/>
    <w:rsid w:val="001A1AA7"/>
    <w:rsid w:val="001A2C80"/>
    <w:rsid w:val="001A3F44"/>
    <w:rsid w:val="001A4F57"/>
    <w:rsid w:val="001A524F"/>
    <w:rsid w:val="001A6676"/>
    <w:rsid w:val="001A6E30"/>
    <w:rsid w:val="001B255F"/>
    <w:rsid w:val="001B2B97"/>
    <w:rsid w:val="001B2C06"/>
    <w:rsid w:val="001C0A60"/>
    <w:rsid w:val="001C1EED"/>
    <w:rsid w:val="001C791D"/>
    <w:rsid w:val="001D0DF4"/>
    <w:rsid w:val="001D1D95"/>
    <w:rsid w:val="001D2CD1"/>
    <w:rsid w:val="001D41E1"/>
    <w:rsid w:val="001D56A2"/>
    <w:rsid w:val="001D5807"/>
    <w:rsid w:val="001D7653"/>
    <w:rsid w:val="001E1815"/>
    <w:rsid w:val="001E59B8"/>
    <w:rsid w:val="001F2783"/>
    <w:rsid w:val="001F6B07"/>
    <w:rsid w:val="002037BF"/>
    <w:rsid w:val="0020388C"/>
    <w:rsid w:val="00205924"/>
    <w:rsid w:val="00207C05"/>
    <w:rsid w:val="002119EC"/>
    <w:rsid w:val="00216E2D"/>
    <w:rsid w:val="00216FF8"/>
    <w:rsid w:val="00223F08"/>
    <w:rsid w:val="002273C0"/>
    <w:rsid w:val="0023200D"/>
    <w:rsid w:val="002337A9"/>
    <w:rsid w:val="002337E6"/>
    <w:rsid w:val="00241814"/>
    <w:rsid w:val="002433E9"/>
    <w:rsid w:val="00244076"/>
    <w:rsid w:val="002511F5"/>
    <w:rsid w:val="00251822"/>
    <w:rsid w:val="00255D3D"/>
    <w:rsid w:val="00271372"/>
    <w:rsid w:val="002735CA"/>
    <w:rsid w:val="002747EB"/>
    <w:rsid w:val="0028083D"/>
    <w:rsid w:val="00280E06"/>
    <w:rsid w:val="002811C0"/>
    <w:rsid w:val="00281D28"/>
    <w:rsid w:val="00285453"/>
    <w:rsid w:val="00285C1F"/>
    <w:rsid w:val="00292982"/>
    <w:rsid w:val="00293997"/>
    <w:rsid w:val="00294AD2"/>
    <w:rsid w:val="00295461"/>
    <w:rsid w:val="002959D0"/>
    <w:rsid w:val="00296D08"/>
    <w:rsid w:val="002A2FCD"/>
    <w:rsid w:val="002A3C5D"/>
    <w:rsid w:val="002B0066"/>
    <w:rsid w:val="002B1EC2"/>
    <w:rsid w:val="002C0563"/>
    <w:rsid w:val="002D3264"/>
    <w:rsid w:val="002D58A8"/>
    <w:rsid w:val="002E7AE1"/>
    <w:rsid w:val="002F0D69"/>
    <w:rsid w:val="002F6987"/>
    <w:rsid w:val="00304F25"/>
    <w:rsid w:val="00307488"/>
    <w:rsid w:val="00310DD5"/>
    <w:rsid w:val="00316B8D"/>
    <w:rsid w:val="0032075B"/>
    <w:rsid w:val="00322F52"/>
    <w:rsid w:val="00324D20"/>
    <w:rsid w:val="00324DEA"/>
    <w:rsid w:val="00326481"/>
    <w:rsid w:val="00332A9B"/>
    <w:rsid w:val="0033665C"/>
    <w:rsid w:val="003371E7"/>
    <w:rsid w:val="00351A22"/>
    <w:rsid w:val="00353867"/>
    <w:rsid w:val="00354013"/>
    <w:rsid w:val="00356439"/>
    <w:rsid w:val="00361F00"/>
    <w:rsid w:val="00362757"/>
    <w:rsid w:val="00363509"/>
    <w:rsid w:val="00363F10"/>
    <w:rsid w:val="00365FEA"/>
    <w:rsid w:val="003747F7"/>
    <w:rsid w:val="003902AF"/>
    <w:rsid w:val="003912F4"/>
    <w:rsid w:val="00396A13"/>
    <w:rsid w:val="00397619"/>
    <w:rsid w:val="003A4DA1"/>
    <w:rsid w:val="003B0E81"/>
    <w:rsid w:val="003B3ED2"/>
    <w:rsid w:val="003B41F6"/>
    <w:rsid w:val="003B4770"/>
    <w:rsid w:val="003B6BD2"/>
    <w:rsid w:val="003C1E57"/>
    <w:rsid w:val="003C2CEA"/>
    <w:rsid w:val="003C4B1B"/>
    <w:rsid w:val="003C7A91"/>
    <w:rsid w:val="003D0116"/>
    <w:rsid w:val="003D24E7"/>
    <w:rsid w:val="003E1BB4"/>
    <w:rsid w:val="003E324C"/>
    <w:rsid w:val="003E4244"/>
    <w:rsid w:val="003E4695"/>
    <w:rsid w:val="003E73EF"/>
    <w:rsid w:val="003F673A"/>
    <w:rsid w:val="004130A7"/>
    <w:rsid w:val="00413628"/>
    <w:rsid w:val="00423F54"/>
    <w:rsid w:val="00426988"/>
    <w:rsid w:val="004273AF"/>
    <w:rsid w:val="00427B5B"/>
    <w:rsid w:val="00430BEE"/>
    <w:rsid w:val="0044521F"/>
    <w:rsid w:val="00445ACC"/>
    <w:rsid w:val="0044799B"/>
    <w:rsid w:val="00452C7B"/>
    <w:rsid w:val="00455D29"/>
    <w:rsid w:val="00466350"/>
    <w:rsid w:val="004724D4"/>
    <w:rsid w:val="004734A1"/>
    <w:rsid w:val="00475E8D"/>
    <w:rsid w:val="00481CC7"/>
    <w:rsid w:val="004820A8"/>
    <w:rsid w:val="004875A9"/>
    <w:rsid w:val="00487F37"/>
    <w:rsid w:val="0049130E"/>
    <w:rsid w:val="0049362E"/>
    <w:rsid w:val="004940E2"/>
    <w:rsid w:val="00495E39"/>
    <w:rsid w:val="004A2F1C"/>
    <w:rsid w:val="004A74BA"/>
    <w:rsid w:val="004B6CC6"/>
    <w:rsid w:val="004C1A20"/>
    <w:rsid w:val="004C3483"/>
    <w:rsid w:val="004C6620"/>
    <w:rsid w:val="004D049D"/>
    <w:rsid w:val="004D3540"/>
    <w:rsid w:val="004D7F7D"/>
    <w:rsid w:val="004E207B"/>
    <w:rsid w:val="004F7644"/>
    <w:rsid w:val="00500133"/>
    <w:rsid w:val="00503DCC"/>
    <w:rsid w:val="00511673"/>
    <w:rsid w:val="0051376C"/>
    <w:rsid w:val="005205B5"/>
    <w:rsid w:val="00521F2A"/>
    <w:rsid w:val="0052460E"/>
    <w:rsid w:val="005309A7"/>
    <w:rsid w:val="005315E8"/>
    <w:rsid w:val="00531CE2"/>
    <w:rsid w:val="00532F0D"/>
    <w:rsid w:val="0053351C"/>
    <w:rsid w:val="00533AAB"/>
    <w:rsid w:val="0053684D"/>
    <w:rsid w:val="005437B8"/>
    <w:rsid w:val="00543C9C"/>
    <w:rsid w:val="005470AB"/>
    <w:rsid w:val="0055065C"/>
    <w:rsid w:val="00551FA0"/>
    <w:rsid w:val="00552267"/>
    <w:rsid w:val="00554C89"/>
    <w:rsid w:val="00564381"/>
    <w:rsid w:val="00565F56"/>
    <w:rsid w:val="00567C1B"/>
    <w:rsid w:val="00567EDD"/>
    <w:rsid w:val="00570CD2"/>
    <w:rsid w:val="005731F5"/>
    <w:rsid w:val="00577587"/>
    <w:rsid w:val="00593162"/>
    <w:rsid w:val="005A700C"/>
    <w:rsid w:val="005A749D"/>
    <w:rsid w:val="005A7591"/>
    <w:rsid w:val="005A784E"/>
    <w:rsid w:val="005B03EE"/>
    <w:rsid w:val="005B37AE"/>
    <w:rsid w:val="005C3C0B"/>
    <w:rsid w:val="005C4D3E"/>
    <w:rsid w:val="005C771C"/>
    <w:rsid w:val="005D398F"/>
    <w:rsid w:val="005D4A12"/>
    <w:rsid w:val="005E2149"/>
    <w:rsid w:val="005E7F61"/>
    <w:rsid w:val="005F52BF"/>
    <w:rsid w:val="005F59B0"/>
    <w:rsid w:val="00605B3D"/>
    <w:rsid w:val="00605D49"/>
    <w:rsid w:val="00610811"/>
    <w:rsid w:val="00616974"/>
    <w:rsid w:val="006210B5"/>
    <w:rsid w:val="00625CE7"/>
    <w:rsid w:val="006277A0"/>
    <w:rsid w:val="006301E6"/>
    <w:rsid w:val="00632892"/>
    <w:rsid w:val="00634DF3"/>
    <w:rsid w:val="0065125A"/>
    <w:rsid w:val="006520D1"/>
    <w:rsid w:val="0065597C"/>
    <w:rsid w:val="00655A2E"/>
    <w:rsid w:val="006627F1"/>
    <w:rsid w:val="00662D3A"/>
    <w:rsid w:val="006638ED"/>
    <w:rsid w:val="00665366"/>
    <w:rsid w:val="00673949"/>
    <w:rsid w:val="00680353"/>
    <w:rsid w:val="00686168"/>
    <w:rsid w:val="0068628C"/>
    <w:rsid w:val="006944B2"/>
    <w:rsid w:val="00695307"/>
    <w:rsid w:val="00695CBB"/>
    <w:rsid w:val="00695E95"/>
    <w:rsid w:val="00696EF2"/>
    <w:rsid w:val="006A755F"/>
    <w:rsid w:val="006C4935"/>
    <w:rsid w:val="006C53B8"/>
    <w:rsid w:val="006D21F2"/>
    <w:rsid w:val="006D280F"/>
    <w:rsid w:val="006D2E6F"/>
    <w:rsid w:val="006D6CCF"/>
    <w:rsid w:val="006E4570"/>
    <w:rsid w:val="006E4952"/>
    <w:rsid w:val="006E7027"/>
    <w:rsid w:val="007020A6"/>
    <w:rsid w:val="00703791"/>
    <w:rsid w:val="00710500"/>
    <w:rsid w:val="00713171"/>
    <w:rsid w:val="00714A03"/>
    <w:rsid w:val="00717657"/>
    <w:rsid w:val="00722558"/>
    <w:rsid w:val="007242B0"/>
    <w:rsid w:val="0072490B"/>
    <w:rsid w:val="007318ED"/>
    <w:rsid w:val="00733A17"/>
    <w:rsid w:val="00740B93"/>
    <w:rsid w:val="007421AD"/>
    <w:rsid w:val="00752FAB"/>
    <w:rsid w:val="007559F8"/>
    <w:rsid w:val="00762795"/>
    <w:rsid w:val="007732D9"/>
    <w:rsid w:val="007815A6"/>
    <w:rsid w:val="00781B9B"/>
    <w:rsid w:val="00785A8F"/>
    <w:rsid w:val="00791DAA"/>
    <w:rsid w:val="00793632"/>
    <w:rsid w:val="007A4B16"/>
    <w:rsid w:val="007A6989"/>
    <w:rsid w:val="007A705A"/>
    <w:rsid w:val="007A7BA8"/>
    <w:rsid w:val="007B21EB"/>
    <w:rsid w:val="007B3162"/>
    <w:rsid w:val="007B7AA8"/>
    <w:rsid w:val="007C7D1B"/>
    <w:rsid w:val="007D1B77"/>
    <w:rsid w:val="007D206B"/>
    <w:rsid w:val="007D2D62"/>
    <w:rsid w:val="007D415A"/>
    <w:rsid w:val="007D5960"/>
    <w:rsid w:val="007D72A9"/>
    <w:rsid w:val="007E2038"/>
    <w:rsid w:val="007E4AA2"/>
    <w:rsid w:val="007E7E13"/>
    <w:rsid w:val="007F0C95"/>
    <w:rsid w:val="007F2C63"/>
    <w:rsid w:val="007F5C80"/>
    <w:rsid w:val="007F5F8C"/>
    <w:rsid w:val="00804277"/>
    <w:rsid w:val="00804E69"/>
    <w:rsid w:val="008078C5"/>
    <w:rsid w:val="0081071B"/>
    <w:rsid w:val="00822807"/>
    <w:rsid w:val="008248A4"/>
    <w:rsid w:val="00824A96"/>
    <w:rsid w:val="00826F9C"/>
    <w:rsid w:val="00831EC8"/>
    <w:rsid w:val="00841399"/>
    <w:rsid w:val="00841C86"/>
    <w:rsid w:val="00847ADE"/>
    <w:rsid w:val="008631DF"/>
    <w:rsid w:val="00866EC4"/>
    <w:rsid w:val="008673F7"/>
    <w:rsid w:val="00871048"/>
    <w:rsid w:val="008812BB"/>
    <w:rsid w:val="00885695"/>
    <w:rsid w:val="00896F5F"/>
    <w:rsid w:val="008A3475"/>
    <w:rsid w:val="008A39E2"/>
    <w:rsid w:val="008A6FD9"/>
    <w:rsid w:val="008B4407"/>
    <w:rsid w:val="008B6853"/>
    <w:rsid w:val="008B6B15"/>
    <w:rsid w:val="008C141A"/>
    <w:rsid w:val="008C7200"/>
    <w:rsid w:val="008D0E42"/>
    <w:rsid w:val="008E2959"/>
    <w:rsid w:val="008E6F6A"/>
    <w:rsid w:val="008F543E"/>
    <w:rsid w:val="008F78C4"/>
    <w:rsid w:val="009027D2"/>
    <w:rsid w:val="00903C67"/>
    <w:rsid w:val="00905BE1"/>
    <w:rsid w:val="00912D94"/>
    <w:rsid w:val="00917E13"/>
    <w:rsid w:val="00923EA7"/>
    <w:rsid w:val="00924718"/>
    <w:rsid w:val="0093214D"/>
    <w:rsid w:val="00932A96"/>
    <w:rsid w:val="00935F1F"/>
    <w:rsid w:val="00936578"/>
    <w:rsid w:val="00945176"/>
    <w:rsid w:val="00945492"/>
    <w:rsid w:val="009467CB"/>
    <w:rsid w:val="0094733D"/>
    <w:rsid w:val="00960FC1"/>
    <w:rsid w:val="00962F1D"/>
    <w:rsid w:val="00975704"/>
    <w:rsid w:val="0097679C"/>
    <w:rsid w:val="009833CE"/>
    <w:rsid w:val="00987211"/>
    <w:rsid w:val="009873F8"/>
    <w:rsid w:val="009902FB"/>
    <w:rsid w:val="00996A73"/>
    <w:rsid w:val="009A1D82"/>
    <w:rsid w:val="009A22FC"/>
    <w:rsid w:val="009A3092"/>
    <w:rsid w:val="009A7D57"/>
    <w:rsid w:val="009A7F63"/>
    <w:rsid w:val="009B2462"/>
    <w:rsid w:val="009B4B6D"/>
    <w:rsid w:val="009B571D"/>
    <w:rsid w:val="009C108C"/>
    <w:rsid w:val="009C1C97"/>
    <w:rsid w:val="009C5D97"/>
    <w:rsid w:val="009D3EB9"/>
    <w:rsid w:val="009D58D4"/>
    <w:rsid w:val="009E1455"/>
    <w:rsid w:val="009E1734"/>
    <w:rsid w:val="009E3EDC"/>
    <w:rsid w:val="009F10C9"/>
    <w:rsid w:val="009F3DAE"/>
    <w:rsid w:val="009F3E9C"/>
    <w:rsid w:val="009F6427"/>
    <w:rsid w:val="00A01534"/>
    <w:rsid w:val="00A03A2D"/>
    <w:rsid w:val="00A21392"/>
    <w:rsid w:val="00A235FE"/>
    <w:rsid w:val="00A34053"/>
    <w:rsid w:val="00A3415A"/>
    <w:rsid w:val="00A402B8"/>
    <w:rsid w:val="00A45C58"/>
    <w:rsid w:val="00A51AC4"/>
    <w:rsid w:val="00A54E1A"/>
    <w:rsid w:val="00A67BDA"/>
    <w:rsid w:val="00A7067C"/>
    <w:rsid w:val="00A746C8"/>
    <w:rsid w:val="00A7527A"/>
    <w:rsid w:val="00A80103"/>
    <w:rsid w:val="00A82F6E"/>
    <w:rsid w:val="00A84247"/>
    <w:rsid w:val="00A940C5"/>
    <w:rsid w:val="00A94776"/>
    <w:rsid w:val="00A95F0E"/>
    <w:rsid w:val="00AA06B6"/>
    <w:rsid w:val="00AA1F85"/>
    <w:rsid w:val="00AB1B2C"/>
    <w:rsid w:val="00AB33B0"/>
    <w:rsid w:val="00AB56FF"/>
    <w:rsid w:val="00AB67B8"/>
    <w:rsid w:val="00AC464A"/>
    <w:rsid w:val="00AC48A3"/>
    <w:rsid w:val="00AD06BA"/>
    <w:rsid w:val="00AD356A"/>
    <w:rsid w:val="00AD4A77"/>
    <w:rsid w:val="00AD70BF"/>
    <w:rsid w:val="00AE04D7"/>
    <w:rsid w:val="00AE4A0F"/>
    <w:rsid w:val="00AF38EF"/>
    <w:rsid w:val="00AF3BAF"/>
    <w:rsid w:val="00AF551D"/>
    <w:rsid w:val="00AF67FD"/>
    <w:rsid w:val="00B0137B"/>
    <w:rsid w:val="00B056AC"/>
    <w:rsid w:val="00B069B6"/>
    <w:rsid w:val="00B10A77"/>
    <w:rsid w:val="00B146F4"/>
    <w:rsid w:val="00B149CC"/>
    <w:rsid w:val="00B2064C"/>
    <w:rsid w:val="00B25D94"/>
    <w:rsid w:val="00B27DBE"/>
    <w:rsid w:val="00B317DC"/>
    <w:rsid w:val="00B32C02"/>
    <w:rsid w:val="00B3559E"/>
    <w:rsid w:val="00B40B74"/>
    <w:rsid w:val="00B429FC"/>
    <w:rsid w:val="00B451BB"/>
    <w:rsid w:val="00B47083"/>
    <w:rsid w:val="00B5027C"/>
    <w:rsid w:val="00B50C3B"/>
    <w:rsid w:val="00B54343"/>
    <w:rsid w:val="00B56B01"/>
    <w:rsid w:val="00B6329B"/>
    <w:rsid w:val="00B650E9"/>
    <w:rsid w:val="00B66A4A"/>
    <w:rsid w:val="00B70195"/>
    <w:rsid w:val="00B716AC"/>
    <w:rsid w:val="00B73FD7"/>
    <w:rsid w:val="00B7496A"/>
    <w:rsid w:val="00B7530A"/>
    <w:rsid w:val="00B80CCE"/>
    <w:rsid w:val="00B82A41"/>
    <w:rsid w:val="00B87741"/>
    <w:rsid w:val="00B87D82"/>
    <w:rsid w:val="00B9294B"/>
    <w:rsid w:val="00BA55B5"/>
    <w:rsid w:val="00BB40D8"/>
    <w:rsid w:val="00BB527D"/>
    <w:rsid w:val="00BB7ECB"/>
    <w:rsid w:val="00BD2A49"/>
    <w:rsid w:val="00BD6E99"/>
    <w:rsid w:val="00BE0D09"/>
    <w:rsid w:val="00BE0D73"/>
    <w:rsid w:val="00BE4704"/>
    <w:rsid w:val="00BF2753"/>
    <w:rsid w:val="00BF4CFA"/>
    <w:rsid w:val="00BF6555"/>
    <w:rsid w:val="00C03F52"/>
    <w:rsid w:val="00C05E45"/>
    <w:rsid w:val="00C074AA"/>
    <w:rsid w:val="00C07D15"/>
    <w:rsid w:val="00C1178D"/>
    <w:rsid w:val="00C15593"/>
    <w:rsid w:val="00C20347"/>
    <w:rsid w:val="00C235B1"/>
    <w:rsid w:val="00C26B93"/>
    <w:rsid w:val="00C26C44"/>
    <w:rsid w:val="00C3014A"/>
    <w:rsid w:val="00C32399"/>
    <w:rsid w:val="00C3703E"/>
    <w:rsid w:val="00C435A0"/>
    <w:rsid w:val="00C4617C"/>
    <w:rsid w:val="00C47F9B"/>
    <w:rsid w:val="00C50400"/>
    <w:rsid w:val="00C5043C"/>
    <w:rsid w:val="00C505E0"/>
    <w:rsid w:val="00C527A8"/>
    <w:rsid w:val="00C53FF8"/>
    <w:rsid w:val="00C55FA9"/>
    <w:rsid w:val="00C568DA"/>
    <w:rsid w:val="00C602D5"/>
    <w:rsid w:val="00C61AE4"/>
    <w:rsid w:val="00C65DF1"/>
    <w:rsid w:val="00C65F2F"/>
    <w:rsid w:val="00C70586"/>
    <w:rsid w:val="00C81FD2"/>
    <w:rsid w:val="00C8236E"/>
    <w:rsid w:val="00C823E0"/>
    <w:rsid w:val="00C84DA5"/>
    <w:rsid w:val="00C90344"/>
    <w:rsid w:val="00C90C88"/>
    <w:rsid w:val="00C9366E"/>
    <w:rsid w:val="00C93961"/>
    <w:rsid w:val="00C93D7D"/>
    <w:rsid w:val="00C955F8"/>
    <w:rsid w:val="00CA37AE"/>
    <w:rsid w:val="00CA4139"/>
    <w:rsid w:val="00CA70AD"/>
    <w:rsid w:val="00CA71B5"/>
    <w:rsid w:val="00CA76E7"/>
    <w:rsid w:val="00CB5986"/>
    <w:rsid w:val="00CB59B0"/>
    <w:rsid w:val="00CC2CDD"/>
    <w:rsid w:val="00CC5B5A"/>
    <w:rsid w:val="00CD0B79"/>
    <w:rsid w:val="00CD4473"/>
    <w:rsid w:val="00CD44D0"/>
    <w:rsid w:val="00CE1701"/>
    <w:rsid w:val="00CE3E6E"/>
    <w:rsid w:val="00CE411F"/>
    <w:rsid w:val="00CE63C5"/>
    <w:rsid w:val="00CF1EE5"/>
    <w:rsid w:val="00CF3DD5"/>
    <w:rsid w:val="00CF3F8C"/>
    <w:rsid w:val="00D010A6"/>
    <w:rsid w:val="00D06779"/>
    <w:rsid w:val="00D06D3D"/>
    <w:rsid w:val="00D1188D"/>
    <w:rsid w:val="00D149E2"/>
    <w:rsid w:val="00D32AF0"/>
    <w:rsid w:val="00D3432B"/>
    <w:rsid w:val="00D4556A"/>
    <w:rsid w:val="00D469B2"/>
    <w:rsid w:val="00D517C0"/>
    <w:rsid w:val="00D51B0A"/>
    <w:rsid w:val="00D543C6"/>
    <w:rsid w:val="00D64040"/>
    <w:rsid w:val="00D64781"/>
    <w:rsid w:val="00D72FE9"/>
    <w:rsid w:val="00D84B1B"/>
    <w:rsid w:val="00D8533B"/>
    <w:rsid w:val="00D86108"/>
    <w:rsid w:val="00D865C5"/>
    <w:rsid w:val="00D86781"/>
    <w:rsid w:val="00D86D5D"/>
    <w:rsid w:val="00D93CF9"/>
    <w:rsid w:val="00DA1000"/>
    <w:rsid w:val="00DA1ECE"/>
    <w:rsid w:val="00DA2EDC"/>
    <w:rsid w:val="00DB0E75"/>
    <w:rsid w:val="00DC021D"/>
    <w:rsid w:val="00DC2888"/>
    <w:rsid w:val="00DD04B6"/>
    <w:rsid w:val="00DD3038"/>
    <w:rsid w:val="00DD7FDA"/>
    <w:rsid w:val="00DE3E3F"/>
    <w:rsid w:val="00DE6DBD"/>
    <w:rsid w:val="00DF1297"/>
    <w:rsid w:val="00DF1406"/>
    <w:rsid w:val="00E0138E"/>
    <w:rsid w:val="00E02759"/>
    <w:rsid w:val="00E03B20"/>
    <w:rsid w:val="00E07681"/>
    <w:rsid w:val="00E100DC"/>
    <w:rsid w:val="00E14803"/>
    <w:rsid w:val="00E14B50"/>
    <w:rsid w:val="00E15DFE"/>
    <w:rsid w:val="00E207E2"/>
    <w:rsid w:val="00E26687"/>
    <w:rsid w:val="00E26FC5"/>
    <w:rsid w:val="00E271A0"/>
    <w:rsid w:val="00E32A6C"/>
    <w:rsid w:val="00E34F78"/>
    <w:rsid w:val="00E36B23"/>
    <w:rsid w:val="00E51343"/>
    <w:rsid w:val="00E54000"/>
    <w:rsid w:val="00E54A8E"/>
    <w:rsid w:val="00E55264"/>
    <w:rsid w:val="00E65FDC"/>
    <w:rsid w:val="00E6645D"/>
    <w:rsid w:val="00E66CBB"/>
    <w:rsid w:val="00E67E5A"/>
    <w:rsid w:val="00E727FD"/>
    <w:rsid w:val="00E73169"/>
    <w:rsid w:val="00E75173"/>
    <w:rsid w:val="00E77526"/>
    <w:rsid w:val="00E7783C"/>
    <w:rsid w:val="00E81C7A"/>
    <w:rsid w:val="00E94773"/>
    <w:rsid w:val="00EA3283"/>
    <w:rsid w:val="00EB0DED"/>
    <w:rsid w:val="00EB2DF2"/>
    <w:rsid w:val="00EB4825"/>
    <w:rsid w:val="00EB7301"/>
    <w:rsid w:val="00EC2975"/>
    <w:rsid w:val="00EC3CC1"/>
    <w:rsid w:val="00ED0EEA"/>
    <w:rsid w:val="00ED39B5"/>
    <w:rsid w:val="00ED495D"/>
    <w:rsid w:val="00ED7BD9"/>
    <w:rsid w:val="00EE3FF8"/>
    <w:rsid w:val="00EE5D34"/>
    <w:rsid w:val="00EF14FF"/>
    <w:rsid w:val="00EF1A4E"/>
    <w:rsid w:val="00EF536B"/>
    <w:rsid w:val="00EF6F67"/>
    <w:rsid w:val="00F002EC"/>
    <w:rsid w:val="00F0196F"/>
    <w:rsid w:val="00F20B8F"/>
    <w:rsid w:val="00F22935"/>
    <w:rsid w:val="00F377DF"/>
    <w:rsid w:val="00F40C15"/>
    <w:rsid w:val="00F41C9F"/>
    <w:rsid w:val="00F5015E"/>
    <w:rsid w:val="00F50556"/>
    <w:rsid w:val="00F51E36"/>
    <w:rsid w:val="00F60FB5"/>
    <w:rsid w:val="00F622B2"/>
    <w:rsid w:val="00F63B4C"/>
    <w:rsid w:val="00F67024"/>
    <w:rsid w:val="00F676B5"/>
    <w:rsid w:val="00F702F3"/>
    <w:rsid w:val="00F71008"/>
    <w:rsid w:val="00F72DAE"/>
    <w:rsid w:val="00F7784E"/>
    <w:rsid w:val="00F8193E"/>
    <w:rsid w:val="00F8367F"/>
    <w:rsid w:val="00F84262"/>
    <w:rsid w:val="00F92805"/>
    <w:rsid w:val="00F938B3"/>
    <w:rsid w:val="00F94B2D"/>
    <w:rsid w:val="00FA0F7E"/>
    <w:rsid w:val="00FA4E32"/>
    <w:rsid w:val="00FA56C8"/>
    <w:rsid w:val="00FA6B20"/>
    <w:rsid w:val="00FB1DE1"/>
    <w:rsid w:val="00FB71C9"/>
    <w:rsid w:val="00FC6FB8"/>
    <w:rsid w:val="00FD0D61"/>
    <w:rsid w:val="00FD4AE2"/>
    <w:rsid w:val="00FE22DA"/>
    <w:rsid w:val="00FF2BEE"/>
    <w:rsid w:val="00FF39AF"/>
    <w:rsid w:val="00FF7F0B"/>
    <w:rsid w:val="029B4C9D"/>
    <w:rsid w:val="035D0A0E"/>
    <w:rsid w:val="03C41007"/>
    <w:rsid w:val="060D2B4B"/>
    <w:rsid w:val="08095466"/>
    <w:rsid w:val="088133F4"/>
    <w:rsid w:val="092843C3"/>
    <w:rsid w:val="0AA51AF9"/>
    <w:rsid w:val="0C741033"/>
    <w:rsid w:val="0C911B43"/>
    <w:rsid w:val="0EA31E6E"/>
    <w:rsid w:val="10591052"/>
    <w:rsid w:val="108145EF"/>
    <w:rsid w:val="117F52A4"/>
    <w:rsid w:val="1254186C"/>
    <w:rsid w:val="126232A0"/>
    <w:rsid w:val="145F2E2A"/>
    <w:rsid w:val="14D0321C"/>
    <w:rsid w:val="15D40114"/>
    <w:rsid w:val="163F0257"/>
    <w:rsid w:val="169D23D3"/>
    <w:rsid w:val="18E7292B"/>
    <w:rsid w:val="190316DB"/>
    <w:rsid w:val="192E16C5"/>
    <w:rsid w:val="1A7B1DFD"/>
    <w:rsid w:val="1B6D1E67"/>
    <w:rsid w:val="1D1F2F14"/>
    <w:rsid w:val="2067744B"/>
    <w:rsid w:val="246307B2"/>
    <w:rsid w:val="25654221"/>
    <w:rsid w:val="25D86356"/>
    <w:rsid w:val="25E37751"/>
    <w:rsid w:val="284F4DDE"/>
    <w:rsid w:val="2ACE5A48"/>
    <w:rsid w:val="2BAD6494"/>
    <w:rsid w:val="2CE251B2"/>
    <w:rsid w:val="2D7502AD"/>
    <w:rsid w:val="2D99041D"/>
    <w:rsid w:val="2DF1175B"/>
    <w:rsid w:val="2ED061DB"/>
    <w:rsid w:val="3056065A"/>
    <w:rsid w:val="30A61334"/>
    <w:rsid w:val="311B45F2"/>
    <w:rsid w:val="31AB01DD"/>
    <w:rsid w:val="32662082"/>
    <w:rsid w:val="33174961"/>
    <w:rsid w:val="33944517"/>
    <w:rsid w:val="33A65CE5"/>
    <w:rsid w:val="340016EB"/>
    <w:rsid w:val="340F223C"/>
    <w:rsid w:val="34677222"/>
    <w:rsid w:val="356139A5"/>
    <w:rsid w:val="3580369D"/>
    <w:rsid w:val="35FB7C20"/>
    <w:rsid w:val="379C63C6"/>
    <w:rsid w:val="38340D76"/>
    <w:rsid w:val="38EB319F"/>
    <w:rsid w:val="3A075DD7"/>
    <w:rsid w:val="3B323773"/>
    <w:rsid w:val="3BC32257"/>
    <w:rsid w:val="3C706E90"/>
    <w:rsid w:val="3D515949"/>
    <w:rsid w:val="3E8E35FE"/>
    <w:rsid w:val="3EB4222B"/>
    <w:rsid w:val="3EC15C04"/>
    <w:rsid w:val="3FB06A0C"/>
    <w:rsid w:val="40063D93"/>
    <w:rsid w:val="41EA3241"/>
    <w:rsid w:val="42550756"/>
    <w:rsid w:val="43326588"/>
    <w:rsid w:val="435B772B"/>
    <w:rsid w:val="45BE00A3"/>
    <w:rsid w:val="46123CE1"/>
    <w:rsid w:val="47541888"/>
    <w:rsid w:val="485D476D"/>
    <w:rsid w:val="488F7284"/>
    <w:rsid w:val="48AB47A2"/>
    <w:rsid w:val="49F865AD"/>
    <w:rsid w:val="4BA97F51"/>
    <w:rsid w:val="4CE43A81"/>
    <w:rsid w:val="4D7A52B5"/>
    <w:rsid w:val="4DA225A8"/>
    <w:rsid w:val="4DE374C2"/>
    <w:rsid w:val="4E945E88"/>
    <w:rsid w:val="4F505BB1"/>
    <w:rsid w:val="4FB63D06"/>
    <w:rsid w:val="507F6ECA"/>
    <w:rsid w:val="51300551"/>
    <w:rsid w:val="528F1A01"/>
    <w:rsid w:val="5375542D"/>
    <w:rsid w:val="53F76E6B"/>
    <w:rsid w:val="53F77099"/>
    <w:rsid w:val="54482157"/>
    <w:rsid w:val="55240790"/>
    <w:rsid w:val="560F6B11"/>
    <w:rsid w:val="56D315F4"/>
    <w:rsid w:val="588E3908"/>
    <w:rsid w:val="594D6CFE"/>
    <w:rsid w:val="5A9F6E67"/>
    <w:rsid w:val="5AAA72C0"/>
    <w:rsid w:val="5AD4040A"/>
    <w:rsid w:val="5D510F8D"/>
    <w:rsid w:val="5ED55BFA"/>
    <w:rsid w:val="5F7B7E23"/>
    <w:rsid w:val="5FA76360"/>
    <w:rsid w:val="5FEA04A0"/>
    <w:rsid w:val="62EC7F19"/>
    <w:rsid w:val="6337018C"/>
    <w:rsid w:val="64450BC3"/>
    <w:rsid w:val="64BF1A07"/>
    <w:rsid w:val="657C1239"/>
    <w:rsid w:val="66BF24B9"/>
    <w:rsid w:val="67B57CC9"/>
    <w:rsid w:val="6904653A"/>
    <w:rsid w:val="69A66298"/>
    <w:rsid w:val="6AE65A67"/>
    <w:rsid w:val="6B530274"/>
    <w:rsid w:val="6C2D10D2"/>
    <w:rsid w:val="6E14501E"/>
    <w:rsid w:val="6E3102F6"/>
    <w:rsid w:val="6E6D5FCF"/>
    <w:rsid w:val="6F6D7ABB"/>
    <w:rsid w:val="70521B7D"/>
    <w:rsid w:val="75AC100B"/>
    <w:rsid w:val="75CB0928"/>
    <w:rsid w:val="766317AF"/>
    <w:rsid w:val="778A3C02"/>
    <w:rsid w:val="77C63217"/>
    <w:rsid w:val="793015BB"/>
    <w:rsid w:val="7A130003"/>
    <w:rsid w:val="7AEB3B13"/>
    <w:rsid w:val="7AF3670A"/>
    <w:rsid w:val="7B142AED"/>
    <w:rsid w:val="7B3B09FF"/>
    <w:rsid w:val="7C8101AF"/>
    <w:rsid w:val="7CE375E2"/>
    <w:rsid w:val="7D6E2F64"/>
    <w:rsid w:val="7F0878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nhideWhenUsed="0" w:uiPriority="1" w:semiHidden="0" w:name="heading 2"/>
    <w:lsdException w:qFormat="1" w:unhideWhenUsed="0"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qFormat="1"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99" w:semiHidden="0" w:name="Body Text Indent 3"/>
    <w:lsdException w:qFormat="1" w:unhideWhenUsed="0" w:uiPriority="0"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1"/>
    <w:pPr>
      <w:widowControl w:val="0"/>
      <w:autoSpaceDE w:val="0"/>
      <w:autoSpaceDN w:val="0"/>
    </w:pPr>
    <w:rPr>
      <w:rFonts w:ascii="Noto Sans Mono CJK JP Bold" w:hAnsi="Noto Sans Mono CJK JP Bold" w:eastAsia="Noto Sans Mono CJK JP Bold" w:cs="Noto Sans Mono CJK JP Bold"/>
      <w:sz w:val="22"/>
      <w:szCs w:val="22"/>
      <w:lang w:val="en-US" w:eastAsia="zh-CN" w:bidi="ar-SA"/>
    </w:rPr>
  </w:style>
  <w:style w:type="paragraph" w:styleId="4">
    <w:name w:val="heading 1"/>
    <w:basedOn w:val="1"/>
    <w:next w:val="1"/>
    <w:autoRedefine/>
    <w:qFormat/>
    <w:uiPriority w:val="9"/>
    <w:pPr>
      <w:spacing w:before="4"/>
      <w:ind w:left="2353" w:right="2356"/>
      <w:jc w:val="center"/>
      <w:outlineLvl w:val="0"/>
    </w:pPr>
    <w:rPr>
      <w:rFonts w:ascii="Droid Sans Fallback" w:hAnsi="Droid Sans Fallback" w:eastAsia="Droid Sans Fallback" w:cs="Droid Sans Fallback"/>
      <w:sz w:val="38"/>
      <w:szCs w:val="38"/>
    </w:rPr>
  </w:style>
  <w:style w:type="paragraph" w:styleId="5">
    <w:name w:val="heading 2"/>
    <w:basedOn w:val="1"/>
    <w:next w:val="1"/>
    <w:link w:val="110"/>
    <w:autoRedefine/>
    <w:qFormat/>
    <w:uiPriority w:val="1"/>
    <w:pPr>
      <w:ind w:left="635" w:right="654"/>
      <w:jc w:val="center"/>
      <w:outlineLvl w:val="1"/>
    </w:pPr>
    <w:rPr>
      <w:rFonts w:ascii="Droid Sans Fallback" w:hAnsi="Droid Sans Fallback" w:eastAsia="Droid Sans Fallback" w:cs="Droid Sans Fallback"/>
      <w:sz w:val="36"/>
      <w:szCs w:val="36"/>
    </w:rPr>
  </w:style>
  <w:style w:type="paragraph" w:styleId="6">
    <w:name w:val="heading 3"/>
    <w:basedOn w:val="1"/>
    <w:next w:val="1"/>
    <w:link w:val="50"/>
    <w:autoRedefine/>
    <w:qFormat/>
    <w:uiPriority w:val="0"/>
    <w:pPr>
      <w:keepNext/>
      <w:keepLines/>
      <w:tabs>
        <w:tab w:val="left" w:pos="720"/>
      </w:tabs>
      <w:autoSpaceDE/>
      <w:autoSpaceDN/>
      <w:spacing w:after="200" w:line="276" w:lineRule="auto"/>
      <w:ind w:left="720" w:hanging="432"/>
      <w:outlineLvl w:val="2"/>
    </w:pPr>
    <w:rPr>
      <w:rFonts w:ascii="Calibri" w:hAnsi="Calibri" w:eastAsia="Calibri" w:cs="Times New Roman"/>
      <w:b/>
      <w:bCs/>
      <w:sz w:val="28"/>
      <w:szCs w:val="32"/>
      <w:lang w:eastAsia="en-US"/>
    </w:rPr>
  </w:style>
  <w:style w:type="paragraph" w:styleId="3">
    <w:name w:val="heading 4"/>
    <w:basedOn w:val="1"/>
    <w:next w:val="1"/>
    <w:link w:val="45"/>
    <w:autoRedefine/>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link w:val="109"/>
    <w:autoRedefine/>
    <w:semiHidden/>
    <w:unhideWhenUsed/>
    <w:qFormat/>
    <w:uiPriority w:val="9"/>
    <w:pPr>
      <w:keepNext/>
      <w:keepLines/>
      <w:spacing w:before="280" w:after="290" w:line="376" w:lineRule="auto"/>
      <w:outlineLvl w:val="4"/>
    </w:pPr>
    <w:rPr>
      <w:b/>
      <w:bCs/>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link w:val="44"/>
    <w:autoRedefine/>
    <w:qFormat/>
    <w:uiPriority w:val="0"/>
    <w:pPr>
      <w:autoSpaceDE/>
      <w:autoSpaceDN/>
      <w:spacing w:after="200" w:line="276" w:lineRule="auto"/>
      <w:ind w:firstLine="420"/>
    </w:pPr>
    <w:rPr>
      <w:rFonts w:ascii="Calibri" w:hAnsi="Calibri" w:eastAsia="Calibri" w:cstheme="minorBidi"/>
      <w:lang w:eastAsia="en-US"/>
    </w:rPr>
  </w:style>
  <w:style w:type="paragraph" w:styleId="8">
    <w:name w:val="caption"/>
    <w:basedOn w:val="1"/>
    <w:next w:val="1"/>
    <w:autoRedefine/>
    <w:qFormat/>
    <w:uiPriority w:val="0"/>
    <w:pPr>
      <w:autoSpaceDE/>
      <w:autoSpaceDN/>
      <w:spacing w:after="200" w:line="276" w:lineRule="auto"/>
    </w:pPr>
    <w:rPr>
      <w:rFonts w:ascii="Calibri Light" w:hAnsi="Calibri Light" w:eastAsia="黑体" w:cs="Times New Roman"/>
      <w:sz w:val="20"/>
      <w:szCs w:val="20"/>
      <w:lang w:eastAsia="en-US"/>
    </w:rPr>
  </w:style>
  <w:style w:type="paragraph" w:styleId="9">
    <w:name w:val="Document Map"/>
    <w:basedOn w:val="1"/>
    <w:link w:val="78"/>
    <w:autoRedefine/>
    <w:qFormat/>
    <w:uiPriority w:val="0"/>
    <w:pPr>
      <w:shd w:val="clear" w:color="auto" w:fill="000080"/>
      <w:autoSpaceDE/>
      <w:autoSpaceDN/>
      <w:spacing w:after="200" w:line="276" w:lineRule="auto"/>
    </w:pPr>
    <w:rPr>
      <w:rFonts w:ascii="Calibri" w:hAnsi="Calibri" w:eastAsia="Calibri" w:cs="Times New Roman"/>
      <w:lang w:eastAsia="en-US"/>
    </w:rPr>
  </w:style>
  <w:style w:type="paragraph" w:styleId="10">
    <w:name w:val="annotation text"/>
    <w:basedOn w:val="1"/>
    <w:link w:val="48"/>
    <w:autoRedefine/>
    <w:qFormat/>
    <w:uiPriority w:val="0"/>
    <w:pPr>
      <w:autoSpaceDE/>
      <w:autoSpaceDN/>
    </w:pPr>
    <w:rPr>
      <w:rFonts w:asciiTheme="minorHAnsi" w:hAnsiTheme="minorHAnsi" w:eastAsiaTheme="minorEastAsia" w:cstheme="minorBidi"/>
      <w:kern w:val="2"/>
      <w:sz w:val="21"/>
      <w:lang w:eastAsia="en-US"/>
    </w:rPr>
  </w:style>
  <w:style w:type="paragraph" w:styleId="11">
    <w:name w:val="Body Text 3"/>
    <w:basedOn w:val="1"/>
    <w:link w:val="79"/>
    <w:autoRedefine/>
    <w:qFormat/>
    <w:uiPriority w:val="0"/>
    <w:pPr>
      <w:autoSpaceDE/>
      <w:autoSpaceDN/>
      <w:spacing w:after="200" w:line="276" w:lineRule="auto"/>
    </w:pPr>
    <w:rPr>
      <w:rFonts w:ascii="Calibri" w:hAnsi="Calibri" w:eastAsia="Calibri" w:cs="Times New Roman"/>
      <w:sz w:val="16"/>
      <w:szCs w:val="16"/>
      <w:lang w:eastAsia="en-US"/>
    </w:rPr>
  </w:style>
  <w:style w:type="paragraph" w:styleId="12">
    <w:name w:val="Body Text"/>
    <w:basedOn w:val="1"/>
    <w:next w:val="1"/>
    <w:link w:val="71"/>
    <w:autoRedefine/>
    <w:qFormat/>
    <w:uiPriority w:val="99"/>
    <w:rPr>
      <w:rFonts w:ascii="Noto Sans CJK JP Black" w:hAnsi="Noto Sans CJK JP Black" w:eastAsia="Noto Sans CJK JP Black" w:cs="Noto Sans CJK JP Black"/>
      <w:sz w:val="30"/>
      <w:szCs w:val="30"/>
    </w:rPr>
  </w:style>
  <w:style w:type="paragraph" w:styleId="13">
    <w:name w:val="Body Text Indent"/>
    <w:basedOn w:val="1"/>
    <w:next w:val="14"/>
    <w:link w:val="46"/>
    <w:autoRedefine/>
    <w:unhideWhenUsed/>
    <w:qFormat/>
    <w:uiPriority w:val="0"/>
    <w:pPr>
      <w:spacing w:after="120"/>
      <w:ind w:left="420" w:leftChars="200"/>
    </w:pPr>
  </w:style>
  <w:style w:type="paragraph" w:styleId="14">
    <w:name w:val="Body Text First Indent 2"/>
    <w:basedOn w:val="13"/>
    <w:next w:val="1"/>
    <w:link w:val="47"/>
    <w:autoRedefine/>
    <w:unhideWhenUsed/>
    <w:qFormat/>
    <w:uiPriority w:val="99"/>
    <w:pPr>
      <w:ind w:firstLine="420" w:firstLineChars="200"/>
    </w:pPr>
  </w:style>
  <w:style w:type="paragraph" w:styleId="15">
    <w:name w:val="Block Text"/>
    <w:basedOn w:val="1"/>
    <w:next w:val="9"/>
    <w:autoRedefine/>
    <w:qFormat/>
    <w:uiPriority w:val="0"/>
    <w:pPr>
      <w:autoSpaceDE/>
      <w:autoSpaceDN/>
      <w:spacing w:after="200" w:line="320" w:lineRule="exact"/>
      <w:ind w:left="105" w:leftChars="50" w:right="105" w:firstLine="420" w:firstLineChars="200"/>
      <w:jc w:val="center"/>
    </w:pPr>
    <w:rPr>
      <w:rFonts w:ascii="宋体" w:hAnsi="宋体" w:eastAsia="Calibri" w:cs="Times New Roman"/>
      <w:lang w:eastAsia="en-US"/>
    </w:rPr>
  </w:style>
  <w:style w:type="paragraph" w:styleId="16">
    <w:name w:val="toc 3"/>
    <w:basedOn w:val="1"/>
    <w:next w:val="1"/>
    <w:autoRedefine/>
    <w:unhideWhenUsed/>
    <w:qFormat/>
    <w:uiPriority w:val="39"/>
    <w:pPr>
      <w:widowControl/>
      <w:autoSpaceDE/>
      <w:autoSpaceDN/>
      <w:spacing w:after="100" w:line="259" w:lineRule="auto"/>
      <w:ind w:left="440"/>
    </w:pPr>
    <w:rPr>
      <w:rFonts w:cs="Times New Roman" w:asciiTheme="minorHAnsi" w:hAnsiTheme="minorHAnsi" w:eastAsiaTheme="minorEastAsia"/>
    </w:rPr>
  </w:style>
  <w:style w:type="paragraph" w:styleId="17">
    <w:name w:val="Plain Text"/>
    <w:basedOn w:val="1"/>
    <w:link w:val="59"/>
    <w:autoRedefine/>
    <w:qFormat/>
    <w:uiPriority w:val="0"/>
    <w:pPr>
      <w:autoSpaceDE/>
      <w:autoSpaceDN/>
      <w:spacing w:after="200" w:line="480" w:lineRule="exact"/>
    </w:pPr>
    <w:rPr>
      <w:rFonts w:ascii="宋体" w:hAnsi="Courier New" w:eastAsia="Calibri" w:cs="Courier New"/>
      <w:sz w:val="28"/>
      <w:szCs w:val="21"/>
      <w:lang w:eastAsia="en-US"/>
    </w:rPr>
  </w:style>
  <w:style w:type="paragraph" w:styleId="18">
    <w:name w:val="Body Text Indent 2"/>
    <w:basedOn w:val="1"/>
    <w:link w:val="77"/>
    <w:autoRedefine/>
    <w:qFormat/>
    <w:uiPriority w:val="0"/>
    <w:pPr>
      <w:autoSpaceDE/>
      <w:autoSpaceDN/>
      <w:spacing w:after="200" w:line="500" w:lineRule="exact"/>
      <w:ind w:firstLine="480"/>
    </w:pPr>
    <w:rPr>
      <w:rFonts w:ascii="”“Times New Roman”“" w:hAnsi="”“Times New Roman”“" w:eastAsia="Calibri" w:cs="Times New Roman"/>
      <w:sz w:val="24"/>
      <w:lang w:eastAsia="en-US"/>
    </w:rPr>
  </w:style>
  <w:style w:type="paragraph" w:styleId="19">
    <w:name w:val="Balloon Text"/>
    <w:basedOn w:val="1"/>
    <w:link w:val="64"/>
    <w:autoRedefine/>
    <w:unhideWhenUsed/>
    <w:qFormat/>
    <w:uiPriority w:val="99"/>
    <w:pPr>
      <w:autoSpaceDE/>
      <w:autoSpaceDN/>
    </w:pPr>
    <w:rPr>
      <w:rFonts w:ascii="Calibri" w:hAnsi="Calibri" w:eastAsia="Calibri" w:cstheme="minorBidi"/>
      <w:sz w:val="18"/>
      <w:szCs w:val="18"/>
      <w:lang w:eastAsia="en-US"/>
    </w:rPr>
  </w:style>
  <w:style w:type="paragraph" w:styleId="20">
    <w:name w:val="footer"/>
    <w:basedOn w:val="1"/>
    <w:link w:val="43"/>
    <w:autoRedefine/>
    <w:unhideWhenUsed/>
    <w:qFormat/>
    <w:uiPriority w:val="99"/>
    <w:pPr>
      <w:tabs>
        <w:tab w:val="center" w:pos="4153"/>
        <w:tab w:val="right" w:pos="8306"/>
      </w:tabs>
      <w:snapToGrid w:val="0"/>
    </w:pPr>
    <w:rPr>
      <w:sz w:val="18"/>
      <w:szCs w:val="18"/>
    </w:rPr>
  </w:style>
  <w:style w:type="paragraph" w:styleId="21">
    <w:name w:val="header"/>
    <w:basedOn w:val="1"/>
    <w:link w:val="4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autoRedefine/>
    <w:qFormat/>
    <w:uiPriority w:val="39"/>
    <w:pPr>
      <w:autoSpaceDE/>
      <w:autoSpaceDN/>
      <w:spacing w:after="200" w:line="240" w:lineRule="exact"/>
      <w:jc w:val="center"/>
    </w:pPr>
    <w:rPr>
      <w:rFonts w:ascii="Calibri" w:hAnsi="Calibri" w:eastAsia="Calibri" w:cs="Times New Roman"/>
      <w:sz w:val="18"/>
      <w:szCs w:val="18"/>
      <w:lang w:eastAsia="en-US"/>
    </w:rPr>
  </w:style>
  <w:style w:type="paragraph" w:styleId="23">
    <w:name w:val="Body Text Indent 3"/>
    <w:basedOn w:val="1"/>
    <w:link w:val="74"/>
    <w:autoRedefine/>
    <w:qFormat/>
    <w:uiPriority w:val="99"/>
    <w:pPr>
      <w:autoSpaceDE/>
      <w:autoSpaceDN/>
      <w:spacing w:after="120"/>
      <w:ind w:left="420" w:leftChars="200"/>
    </w:pPr>
    <w:rPr>
      <w:rFonts w:ascii="宋体" w:hAnsi="Calibri" w:eastAsia="Calibri" w:cs="Times New Roman"/>
      <w:spacing w:val="5"/>
      <w:sz w:val="16"/>
      <w:szCs w:val="16"/>
      <w:lang w:eastAsia="en-US"/>
    </w:rPr>
  </w:style>
  <w:style w:type="paragraph" w:styleId="24">
    <w:name w:val="toc 2"/>
    <w:basedOn w:val="1"/>
    <w:next w:val="1"/>
    <w:autoRedefine/>
    <w:qFormat/>
    <w:uiPriority w:val="39"/>
    <w:pPr>
      <w:autoSpaceDE/>
      <w:autoSpaceDN/>
      <w:spacing w:after="200" w:line="276" w:lineRule="auto"/>
      <w:ind w:left="420" w:leftChars="200"/>
    </w:pPr>
    <w:rPr>
      <w:rFonts w:ascii="Calibri" w:hAnsi="Calibri" w:eastAsia="Calibri" w:cs="Times New Roman"/>
      <w:lang w:eastAsia="en-US"/>
    </w:rPr>
  </w:style>
  <w:style w:type="paragraph" w:styleId="25">
    <w:name w:val="toc 9"/>
    <w:basedOn w:val="1"/>
    <w:next w:val="1"/>
    <w:autoRedefine/>
    <w:semiHidden/>
    <w:unhideWhenUsed/>
    <w:qFormat/>
    <w:uiPriority w:val="39"/>
    <w:pPr>
      <w:ind w:left="3360" w:leftChars="1600"/>
    </w:pPr>
  </w:style>
  <w:style w:type="paragraph" w:styleId="26">
    <w:name w:val="Body Text 2"/>
    <w:basedOn w:val="1"/>
    <w:link w:val="60"/>
    <w:autoRedefine/>
    <w:qFormat/>
    <w:uiPriority w:val="0"/>
    <w:pPr>
      <w:autoSpaceDE/>
      <w:autoSpaceDN/>
      <w:spacing w:after="120" w:line="480" w:lineRule="auto"/>
      <w:jc w:val="both"/>
    </w:pPr>
    <w:rPr>
      <w:rFonts w:asciiTheme="minorHAnsi" w:hAnsiTheme="minorHAnsi" w:eastAsiaTheme="minorEastAsia" w:cstheme="minorBidi"/>
      <w:kern w:val="2"/>
      <w:sz w:val="21"/>
      <w:szCs w:val="24"/>
      <w:lang w:eastAsia="en-US"/>
    </w:rPr>
  </w:style>
  <w:style w:type="paragraph" w:styleId="27">
    <w:name w:val="Normal (Web)"/>
    <w:basedOn w:val="1"/>
    <w:autoRedefine/>
    <w:qFormat/>
    <w:uiPriority w:val="99"/>
    <w:pPr>
      <w:widowControl/>
      <w:autoSpaceDE/>
      <w:autoSpaceDN/>
      <w:spacing w:before="100" w:beforeAutospacing="1" w:after="100" w:afterAutospacing="1" w:line="276" w:lineRule="auto"/>
    </w:pPr>
    <w:rPr>
      <w:rFonts w:ascii="宋体" w:hAnsi="宋体" w:eastAsia="Calibri" w:cs="Times New Roman"/>
      <w:sz w:val="24"/>
      <w:szCs w:val="24"/>
      <w:lang w:eastAsia="en-US"/>
    </w:rPr>
  </w:style>
  <w:style w:type="paragraph" w:styleId="28">
    <w:name w:val="index 1"/>
    <w:basedOn w:val="1"/>
    <w:next w:val="1"/>
    <w:autoRedefine/>
    <w:qFormat/>
    <w:uiPriority w:val="0"/>
    <w:pPr>
      <w:autoSpaceDE/>
      <w:autoSpaceDN/>
      <w:jc w:val="center"/>
    </w:pPr>
    <w:rPr>
      <w:rFonts w:ascii="Calibri" w:hAnsi="Calibri" w:eastAsia="宋体" w:cs="Calibri"/>
      <w:kern w:val="15"/>
      <w:sz w:val="21"/>
      <w:szCs w:val="21"/>
    </w:rPr>
  </w:style>
  <w:style w:type="paragraph" w:styleId="29">
    <w:name w:val="Title"/>
    <w:basedOn w:val="1"/>
    <w:autoRedefine/>
    <w:qFormat/>
    <w:uiPriority w:val="10"/>
    <w:pPr>
      <w:spacing w:line="1245" w:lineRule="exact"/>
      <w:ind w:left="635" w:right="654"/>
      <w:jc w:val="center"/>
    </w:pPr>
    <w:rPr>
      <w:rFonts w:ascii="Droid Sans Fallback" w:hAnsi="Droid Sans Fallback" w:eastAsia="Droid Sans Fallback" w:cs="Droid Sans Fallback"/>
      <w:sz w:val="72"/>
      <w:szCs w:val="72"/>
    </w:rPr>
  </w:style>
  <w:style w:type="paragraph" w:styleId="30">
    <w:name w:val="annotation subject"/>
    <w:basedOn w:val="10"/>
    <w:next w:val="10"/>
    <w:link w:val="112"/>
    <w:autoRedefine/>
    <w:semiHidden/>
    <w:unhideWhenUsed/>
    <w:qFormat/>
    <w:uiPriority w:val="0"/>
    <w:rPr>
      <w:rFonts w:ascii="Times New Roman" w:hAnsi="Times New Roman" w:eastAsia="宋体" w:cs="Times New Roman"/>
      <w:b/>
      <w:bCs/>
      <w:szCs w:val="24"/>
      <w:lang w:eastAsia="zh-CN"/>
    </w:rPr>
  </w:style>
  <w:style w:type="paragraph" w:styleId="31">
    <w:name w:val="Body Text First Indent"/>
    <w:basedOn w:val="12"/>
    <w:link w:val="65"/>
    <w:autoRedefine/>
    <w:qFormat/>
    <w:uiPriority w:val="0"/>
    <w:pPr>
      <w:autoSpaceDE/>
      <w:autoSpaceDN/>
      <w:spacing w:after="120"/>
      <w:ind w:firstLine="420" w:firstLineChars="100"/>
      <w:jc w:val="both"/>
    </w:pPr>
    <w:rPr>
      <w:rFonts w:asciiTheme="minorHAnsi" w:hAnsiTheme="minorHAnsi" w:eastAsiaTheme="minorEastAsia" w:cstheme="minorBidi"/>
      <w:kern w:val="2"/>
      <w:sz w:val="21"/>
      <w:szCs w:val="24"/>
      <w:lang w:eastAsia="en-US"/>
    </w:rPr>
  </w:style>
  <w:style w:type="table" w:styleId="33">
    <w:name w:val="Table Grid"/>
    <w:basedOn w:val="32"/>
    <w:autoRedefine/>
    <w:qFormat/>
    <w:uiPriority w:val="99"/>
    <w:pPr>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page number"/>
    <w:autoRedefine/>
    <w:qFormat/>
    <w:uiPriority w:val="0"/>
  </w:style>
  <w:style w:type="character" w:styleId="36">
    <w:name w:val="Hyperlink"/>
    <w:autoRedefine/>
    <w:unhideWhenUsed/>
    <w:qFormat/>
    <w:uiPriority w:val="99"/>
    <w:rPr>
      <w:color w:val="0000FF"/>
      <w:u w:val="single"/>
    </w:rPr>
  </w:style>
  <w:style w:type="character" w:styleId="37">
    <w:name w:val="annotation reference"/>
    <w:autoRedefine/>
    <w:qFormat/>
    <w:uiPriority w:val="0"/>
    <w:rPr>
      <w:sz w:val="21"/>
    </w:rPr>
  </w:style>
  <w:style w:type="paragraph" w:customStyle="1" w:styleId="38">
    <w:name w:val="Default"/>
    <w:autoRedefine/>
    <w:qFormat/>
    <w:uiPriority w:val="0"/>
    <w:pPr>
      <w:widowControl w:val="0"/>
      <w:autoSpaceDE w:val="0"/>
      <w:autoSpaceDN w:val="0"/>
      <w:adjustRightInd w:val="0"/>
    </w:pPr>
    <w:rPr>
      <w:rFonts w:ascii="仿宋" w:hAnsi="仿宋" w:eastAsia="宋体" w:cs="仿宋"/>
      <w:color w:val="000000"/>
      <w:sz w:val="24"/>
      <w:szCs w:val="24"/>
      <w:lang w:val="en-US" w:eastAsia="zh-CN" w:bidi="ar-SA"/>
    </w:rPr>
  </w:style>
  <w:style w:type="table" w:customStyle="1" w:styleId="39">
    <w:name w:val="Table Normal"/>
    <w:autoRedefine/>
    <w:semiHidden/>
    <w:unhideWhenUsed/>
    <w:qFormat/>
    <w:uiPriority w:val="2"/>
    <w:tblPr>
      <w:tblCellMar>
        <w:top w:w="0" w:type="dxa"/>
        <w:left w:w="0" w:type="dxa"/>
        <w:bottom w:w="0" w:type="dxa"/>
        <w:right w:w="0" w:type="dxa"/>
      </w:tblCellMar>
    </w:tblPr>
  </w:style>
  <w:style w:type="paragraph" w:styleId="40">
    <w:name w:val="List Paragraph"/>
    <w:basedOn w:val="1"/>
    <w:autoRedefine/>
    <w:qFormat/>
    <w:uiPriority w:val="1"/>
  </w:style>
  <w:style w:type="paragraph" w:customStyle="1" w:styleId="41">
    <w:name w:val="Table Paragraph"/>
    <w:basedOn w:val="1"/>
    <w:autoRedefine/>
    <w:qFormat/>
    <w:uiPriority w:val="0"/>
  </w:style>
  <w:style w:type="character" w:customStyle="1" w:styleId="42">
    <w:name w:val="页眉 字符"/>
    <w:basedOn w:val="34"/>
    <w:link w:val="21"/>
    <w:autoRedefine/>
    <w:qFormat/>
    <w:uiPriority w:val="99"/>
    <w:rPr>
      <w:rFonts w:ascii="Noto Sans Mono CJK JP Bold" w:hAnsi="Noto Sans Mono CJK JP Bold" w:eastAsia="Noto Sans Mono CJK JP Bold" w:cs="Noto Sans Mono CJK JP Bold"/>
      <w:sz w:val="18"/>
      <w:szCs w:val="18"/>
      <w:lang w:eastAsia="zh-CN"/>
    </w:rPr>
  </w:style>
  <w:style w:type="character" w:customStyle="1" w:styleId="43">
    <w:name w:val="页脚 字符"/>
    <w:basedOn w:val="34"/>
    <w:link w:val="20"/>
    <w:autoRedefine/>
    <w:qFormat/>
    <w:uiPriority w:val="99"/>
    <w:rPr>
      <w:rFonts w:ascii="Noto Sans Mono CJK JP Bold" w:hAnsi="Noto Sans Mono CJK JP Bold" w:eastAsia="Noto Sans Mono CJK JP Bold" w:cs="Noto Sans Mono CJK JP Bold"/>
      <w:sz w:val="18"/>
      <w:szCs w:val="18"/>
      <w:lang w:eastAsia="zh-CN"/>
    </w:rPr>
  </w:style>
  <w:style w:type="character" w:customStyle="1" w:styleId="44">
    <w:name w:val="正文缩进 字符"/>
    <w:link w:val="2"/>
    <w:autoRedefine/>
    <w:qFormat/>
    <w:locked/>
    <w:uiPriority w:val="0"/>
    <w:rPr>
      <w:rFonts w:ascii="Calibri" w:hAnsi="Calibri" w:eastAsia="Calibri"/>
    </w:rPr>
  </w:style>
  <w:style w:type="character" w:customStyle="1" w:styleId="45">
    <w:name w:val="标题 4 字符"/>
    <w:basedOn w:val="34"/>
    <w:link w:val="3"/>
    <w:autoRedefine/>
    <w:semiHidden/>
    <w:qFormat/>
    <w:uiPriority w:val="9"/>
    <w:rPr>
      <w:rFonts w:asciiTheme="majorHAnsi" w:hAnsiTheme="majorHAnsi" w:eastAsiaTheme="majorEastAsia" w:cstheme="majorBidi"/>
      <w:b/>
      <w:bCs/>
      <w:sz w:val="28"/>
      <w:szCs w:val="28"/>
      <w:lang w:eastAsia="zh-CN"/>
    </w:rPr>
  </w:style>
  <w:style w:type="character" w:customStyle="1" w:styleId="46">
    <w:name w:val="正文文本缩进 字符"/>
    <w:basedOn w:val="34"/>
    <w:link w:val="13"/>
    <w:autoRedefine/>
    <w:semiHidden/>
    <w:qFormat/>
    <w:uiPriority w:val="99"/>
    <w:rPr>
      <w:rFonts w:ascii="Noto Sans Mono CJK JP Bold" w:hAnsi="Noto Sans Mono CJK JP Bold" w:eastAsia="Noto Sans Mono CJK JP Bold" w:cs="Noto Sans Mono CJK JP Bold"/>
      <w:lang w:eastAsia="zh-CN"/>
    </w:rPr>
  </w:style>
  <w:style w:type="character" w:customStyle="1" w:styleId="47">
    <w:name w:val="正文首行缩进 2 字符"/>
    <w:basedOn w:val="46"/>
    <w:link w:val="14"/>
    <w:autoRedefine/>
    <w:qFormat/>
    <w:uiPriority w:val="99"/>
    <w:rPr>
      <w:rFonts w:ascii="Noto Sans Mono CJK JP Bold" w:hAnsi="Noto Sans Mono CJK JP Bold" w:eastAsia="Noto Sans Mono CJK JP Bold" w:cs="Noto Sans Mono CJK JP Bold"/>
      <w:lang w:eastAsia="zh-CN"/>
    </w:rPr>
  </w:style>
  <w:style w:type="character" w:customStyle="1" w:styleId="48">
    <w:name w:val="批注文字 字符"/>
    <w:link w:val="10"/>
    <w:autoRedefine/>
    <w:qFormat/>
    <w:uiPriority w:val="0"/>
    <w:rPr>
      <w:kern w:val="2"/>
      <w:sz w:val="21"/>
    </w:rPr>
  </w:style>
  <w:style w:type="character" w:customStyle="1" w:styleId="49">
    <w:name w:val="批注文字 Char1"/>
    <w:basedOn w:val="34"/>
    <w:autoRedefine/>
    <w:semiHidden/>
    <w:qFormat/>
    <w:uiPriority w:val="99"/>
    <w:rPr>
      <w:rFonts w:ascii="Noto Sans Mono CJK JP Bold" w:hAnsi="Noto Sans Mono CJK JP Bold" w:eastAsia="Noto Sans Mono CJK JP Bold" w:cs="Noto Sans Mono CJK JP Bold"/>
      <w:lang w:eastAsia="zh-CN"/>
    </w:rPr>
  </w:style>
  <w:style w:type="character" w:customStyle="1" w:styleId="50">
    <w:name w:val="标题 3 字符"/>
    <w:basedOn w:val="34"/>
    <w:link w:val="6"/>
    <w:autoRedefine/>
    <w:qFormat/>
    <w:uiPriority w:val="0"/>
    <w:rPr>
      <w:rFonts w:ascii="Calibri" w:hAnsi="Calibri" w:eastAsia="Calibri" w:cs="Times New Roman"/>
      <w:b/>
      <w:bCs/>
      <w:sz w:val="28"/>
      <w:szCs w:val="32"/>
    </w:rPr>
  </w:style>
  <w:style w:type="character" w:customStyle="1" w:styleId="51">
    <w:name w:val="正文-自建 Char Char"/>
    <w:link w:val="52"/>
    <w:autoRedefine/>
    <w:qFormat/>
    <w:uiPriority w:val="0"/>
    <w:rPr>
      <w:kern w:val="2"/>
      <w:szCs w:val="28"/>
    </w:rPr>
  </w:style>
  <w:style w:type="paragraph" w:customStyle="1" w:styleId="52">
    <w:name w:val="正文-自建"/>
    <w:basedOn w:val="2"/>
    <w:link w:val="51"/>
    <w:autoRedefine/>
    <w:qFormat/>
    <w:uiPriority w:val="0"/>
    <w:pPr>
      <w:spacing w:after="0" w:line="600" w:lineRule="exact"/>
      <w:jc w:val="both"/>
    </w:pPr>
    <w:rPr>
      <w:rFonts w:asciiTheme="minorHAnsi" w:hAnsiTheme="minorHAnsi" w:eastAsiaTheme="minorEastAsia"/>
      <w:kern w:val="2"/>
      <w:szCs w:val="28"/>
    </w:rPr>
  </w:style>
  <w:style w:type="character" w:customStyle="1" w:styleId="53">
    <w:name w:val="表格字体 Char"/>
    <w:link w:val="54"/>
    <w:autoRedefine/>
    <w:qFormat/>
    <w:uiPriority w:val="0"/>
    <w:rPr>
      <w:kern w:val="2"/>
      <w:sz w:val="21"/>
      <w:szCs w:val="21"/>
    </w:rPr>
  </w:style>
  <w:style w:type="paragraph" w:customStyle="1" w:styleId="54">
    <w:name w:val="表格字体"/>
    <w:basedOn w:val="1"/>
    <w:next w:val="1"/>
    <w:link w:val="53"/>
    <w:autoRedefine/>
    <w:qFormat/>
    <w:uiPriority w:val="0"/>
    <w:pPr>
      <w:autoSpaceDE/>
      <w:autoSpaceDN/>
      <w:spacing w:line="300" w:lineRule="auto"/>
      <w:jc w:val="center"/>
    </w:pPr>
    <w:rPr>
      <w:rFonts w:asciiTheme="minorHAnsi" w:hAnsiTheme="minorHAnsi" w:eastAsiaTheme="minorEastAsia" w:cstheme="minorBidi"/>
      <w:kern w:val="2"/>
      <w:sz w:val="21"/>
      <w:szCs w:val="21"/>
      <w:lang w:eastAsia="en-US"/>
    </w:rPr>
  </w:style>
  <w:style w:type="character" w:customStyle="1" w:styleId="55">
    <w:name w:val="正文首行缩进 Char1"/>
    <w:basedOn w:val="56"/>
    <w:autoRedefine/>
    <w:semiHidden/>
    <w:qFormat/>
    <w:uiPriority w:val="99"/>
    <w:rPr>
      <w:rFonts w:ascii="Calibri" w:hAnsi="Calibri" w:eastAsia="Calibri"/>
      <w:sz w:val="22"/>
      <w:szCs w:val="22"/>
      <w:lang w:eastAsia="en-US"/>
    </w:rPr>
  </w:style>
  <w:style w:type="character" w:customStyle="1" w:styleId="56">
    <w:name w:val="正文文本 Char"/>
    <w:autoRedefine/>
    <w:qFormat/>
    <w:uiPriority w:val="0"/>
    <w:rPr>
      <w:rFonts w:ascii="Calibri" w:hAnsi="Calibri" w:eastAsia="Calibri"/>
      <w:sz w:val="22"/>
      <w:szCs w:val="22"/>
      <w:lang w:eastAsia="en-US"/>
    </w:rPr>
  </w:style>
  <w:style w:type="character" w:customStyle="1" w:styleId="57">
    <w:name w:val="15正文 Char"/>
    <w:link w:val="58"/>
    <w:autoRedefine/>
    <w:qFormat/>
    <w:uiPriority w:val="0"/>
    <w:rPr>
      <w:sz w:val="24"/>
      <w:szCs w:val="24"/>
    </w:rPr>
  </w:style>
  <w:style w:type="paragraph" w:customStyle="1" w:styleId="58">
    <w:name w:val="15正文"/>
    <w:link w:val="57"/>
    <w:autoRedefine/>
    <w:qFormat/>
    <w:uiPriority w:val="0"/>
    <w:pPr>
      <w:spacing w:line="480" w:lineRule="atLeast"/>
      <w:ind w:firstLine="480" w:firstLineChars="200"/>
      <w:jc w:val="both"/>
    </w:pPr>
    <w:rPr>
      <w:rFonts w:asciiTheme="minorHAnsi" w:hAnsiTheme="minorHAnsi" w:eastAsiaTheme="minorEastAsia" w:cstheme="minorBidi"/>
      <w:sz w:val="24"/>
      <w:szCs w:val="24"/>
      <w:lang w:val="en-US" w:eastAsia="en-US" w:bidi="ar-SA"/>
    </w:rPr>
  </w:style>
  <w:style w:type="character" w:customStyle="1" w:styleId="59">
    <w:name w:val="纯文本 字符"/>
    <w:link w:val="17"/>
    <w:autoRedefine/>
    <w:qFormat/>
    <w:uiPriority w:val="0"/>
    <w:rPr>
      <w:rFonts w:ascii="宋体" w:hAnsi="Courier New" w:eastAsia="Calibri" w:cs="Courier New"/>
      <w:sz w:val="28"/>
      <w:szCs w:val="21"/>
    </w:rPr>
  </w:style>
  <w:style w:type="character" w:customStyle="1" w:styleId="60">
    <w:name w:val="正文文本 2 字符"/>
    <w:link w:val="26"/>
    <w:autoRedefine/>
    <w:qFormat/>
    <w:uiPriority w:val="0"/>
    <w:rPr>
      <w:kern w:val="2"/>
      <w:sz w:val="21"/>
      <w:szCs w:val="24"/>
    </w:rPr>
  </w:style>
  <w:style w:type="character" w:customStyle="1" w:styleId="61">
    <w:name w:val="11正文 Char"/>
    <w:link w:val="62"/>
    <w:autoRedefine/>
    <w:qFormat/>
    <w:uiPriority w:val="0"/>
    <w:rPr>
      <w:sz w:val="24"/>
      <w:szCs w:val="24"/>
    </w:rPr>
  </w:style>
  <w:style w:type="paragraph" w:customStyle="1" w:styleId="62">
    <w:name w:val="11正文"/>
    <w:basedOn w:val="1"/>
    <w:next w:val="1"/>
    <w:link w:val="61"/>
    <w:autoRedefine/>
    <w:qFormat/>
    <w:uiPriority w:val="0"/>
    <w:pPr>
      <w:autoSpaceDE/>
      <w:autoSpaceDN/>
      <w:spacing w:line="360" w:lineRule="auto"/>
      <w:ind w:left="735" w:leftChars="350" w:firstLine="480" w:firstLineChars="200"/>
      <w:jc w:val="both"/>
    </w:pPr>
    <w:rPr>
      <w:rFonts w:asciiTheme="minorHAnsi" w:hAnsiTheme="minorHAnsi" w:eastAsiaTheme="minorEastAsia" w:cstheme="minorBidi"/>
      <w:sz w:val="24"/>
      <w:szCs w:val="24"/>
      <w:lang w:eastAsia="en-US"/>
    </w:rPr>
  </w:style>
  <w:style w:type="character" w:customStyle="1" w:styleId="63">
    <w:name w:val="fontstyle21"/>
    <w:autoRedefine/>
    <w:qFormat/>
    <w:uiPriority w:val="0"/>
    <w:rPr>
      <w:rFonts w:hint="default" w:ascii="Times New Roman" w:hAnsi="Times New Roman" w:cs="Times New Roman"/>
      <w:color w:val="000000"/>
      <w:sz w:val="26"/>
      <w:szCs w:val="26"/>
    </w:rPr>
  </w:style>
  <w:style w:type="character" w:customStyle="1" w:styleId="64">
    <w:name w:val="批注框文本 字符"/>
    <w:link w:val="19"/>
    <w:autoRedefine/>
    <w:qFormat/>
    <w:uiPriority w:val="99"/>
    <w:rPr>
      <w:rFonts w:ascii="Calibri" w:hAnsi="Calibri" w:eastAsia="Calibri"/>
      <w:sz w:val="18"/>
      <w:szCs w:val="18"/>
    </w:rPr>
  </w:style>
  <w:style w:type="character" w:customStyle="1" w:styleId="65">
    <w:name w:val="正文首行缩进 字符"/>
    <w:link w:val="31"/>
    <w:autoRedefine/>
    <w:qFormat/>
    <w:uiPriority w:val="0"/>
    <w:rPr>
      <w:kern w:val="2"/>
      <w:sz w:val="21"/>
      <w:szCs w:val="24"/>
    </w:rPr>
  </w:style>
  <w:style w:type="character" w:customStyle="1" w:styleId="66">
    <w:name w:val="表号 Char"/>
    <w:link w:val="67"/>
    <w:autoRedefine/>
    <w:qFormat/>
    <w:uiPriority w:val="0"/>
    <w:rPr>
      <w:rFonts w:eastAsia="黑体"/>
      <w:b/>
      <w:kern w:val="2"/>
      <w:sz w:val="24"/>
    </w:rPr>
  </w:style>
  <w:style w:type="paragraph" w:customStyle="1" w:styleId="67">
    <w:name w:val="表号"/>
    <w:basedOn w:val="1"/>
    <w:link w:val="66"/>
    <w:autoRedefine/>
    <w:qFormat/>
    <w:uiPriority w:val="0"/>
    <w:pPr>
      <w:tabs>
        <w:tab w:val="left" w:pos="7230"/>
      </w:tabs>
      <w:autoSpaceDE/>
      <w:autoSpaceDN/>
      <w:spacing w:line="360" w:lineRule="auto"/>
      <w:ind w:firstLine="566" w:firstLineChars="236"/>
      <w:jc w:val="both"/>
    </w:pPr>
    <w:rPr>
      <w:rFonts w:eastAsia="黑体" w:asciiTheme="minorHAnsi" w:hAnsiTheme="minorHAnsi" w:cstheme="minorBidi"/>
      <w:b/>
      <w:kern w:val="2"/>
      <w:sz w:val="24"/>
      <w:lang w:eastAsia="en-US"/>
    </w:rPr>
  </w:style>
  <w:style w:type="character" w:customStyle="1" w:styleId="68">
    <w:name w:val="fontstyle01"/>
    <w:autoRedefine/>
    <w:qFormat/>
    <w:uiPriority w:val="0"/>
    <w:rPr>
      <w:rFonts w:hint="eastAsia" w:ascii="宋体" w:hAnsi="宋体" w:eastAsia="宋体" w:cs="宋体"/>
      <w:color w:val="000000"/>
      <w:sz w:val="24"/>
      <w:szCs w:val="24"/>
    </w:rPr>
  </w:style>
  <w:style w:type="character" w:customStyle="1" w:styleId="69">
    <w:name w:val="中文报告书样式 Char"/>
    <w:link w:val="70"/>
    <w:autoRedefine/>
    <w:qFormat/>
    <w:locked/>
    <w:uiPriority w:val="0"/>
    <w:rPr>
      <w:rFonts w:ascii="Calibri" w:hAnsi="Calibri" w:eastAsia="Calibri"/>
      <w:kern w:val="24"/>
      <w:sz w:val="24"/>
    </w:rPr>
  </w:style>
  <w:style w:type="paragraph" w:customStyle="1" w:styleId="70">
    <w:name w:val="中文报告书样式"/>
    <w:basedOn w:val="1"/>
    <w:link w:val="69"/>
    <w:autoRedefine/>
    <w:qFormat/>
    <w:uiPriority w:val="0"/>
    <w:pPr>
      <w:autoSpaceDE/>
      <w:autoSpaceDN/>
      <w:adjustRightInd w:val="0"/>
      <w:spacing w:after="200" w:line="480" w:lineRule="atLeast"/>
      <w:ind w:firstLine="482"/>
      <w:textAlignment w:val="baseline"/>
    </w:pPr>
    <w:rPr>
      <w:rFonts w:ascii="Calibri" w:hAnsi="Calibri" w:eastAsia="Calibri" w:cstheme="minorBidi"/>
      <w:kern w:val="24"/>
      <w:sz w:val="24"/>
      <w:lang w:eastAsia="en-US"/>
    </w:rPr>
  </w:style>
  <w:style w:type="character" w:customStyle="1" w:styleId="71">
    <w:name w:val="正文文本 字符"/>
    <w:basedOn w:val="34"/>
    <w:link w:val="12"/>
    <w:autoRedefine/>
    <w:qFormat/>
    <w:uiPriority w:val="1"/>
    <w:rPr>
      <w:rFonts w:ascii="Noto Sans CJK JP Black" w:hAnsi="Noto Sans CJK JP Black" w:eastAsia="Noto Sans CJK JP Black" w:cs="Noto Sans CJK JP Black"/>
      <w:sz w:val="30"/>
      <w:szCs w:val="30"/>
      <w:lang w:eastAsia="zh-CN"/>
    </w:rPr>
  </w:style>
  <w:style w:type="character" w:customStyle="1" w:styleId="72">
    <w:name w:val="正文首行缩进 Char2"/>
    <w:basedOn w:val="71"/>
    <w:autoRedefine/>
    <w:semiHidden/>
    <w:qFormat/>
    <w:uiPriority w:val="99"/>
    <w:rPr>
      <w:rFonts w:ascii="Noto Sans Mono CJK JP Bold" w:hAnsi="Noto Sans Mono CJK JP Bold" w:eastAsia="Noto Sans Mono CJK JP Bold" w:cs="Noto Sans Mono CJK JP Bold"/>
      <w:sz w:val="30"/>
      <w:szCs w:val="30"/>
      <w:lang w:eastAsia="zh-CN"/>
    </w:rPr>
  </w:style>
  <w:style w:type="character" w:customStyle="1" w:styleId="73">
    <w:name w:val="批注框文本 Char1"/>
    <w:basedOn w:val="34"/>
    <w:autoRedefine/>
    <w:semiHidden/>
    <w:qFormat/>
    <w:uiPriority w:val="99"/>
    <w:rPr>
      <w:rFonts w:ascii="Noto Sans Mono CJK JP Bold" w:hAnsi="Noto Sans Mono CJK JP Bold" w:eastAsia="Noto Sans Mono CJK JP Bold" w:cs="Noto Sans Mono CJK JP Bold"/>
      <w:sz w:val="18"/>
      <w:szCs w:val="18"/>
      <w:lang w:eastAsia="zh-CN"/>
    </w:rPr>
  </w:style>
  <w:style w:type="character" w:customStyle="1" w:styleId="74">
    <w:name w:val="正文文本缩进 3 字符"/>
    <w:basedOn w:val="34"/>
    <w:link w:val="23"/>
    <w:autoRedefine/>
    <w:qFormat/>
    <w:uiPriority w:val="99"/>
    <w:rPr>
      <w:rFonts w:ascii="宋体" w:hAnsi="Calibri" w:eastAsia="Calibri" w:cs="Times New Roman"/>
      <w:spacing w:val="5"/>
      <w:sz w:val="16"/>
      <w:szCs w:val="16"/>
    </w:rPr>
  </w:style>
  <w:style w:type="character" w:customStyle="1" w:styleId="75">
    <w:name w:val="纯文本 Char1"/>
    <w:basedOn w:val="34"/>
    <w:autoRedefine/>
    <w:semiHidden/>
    <w:qFormat/>
    <w:uiPriority w:val="99"/>
    <w:rPr>
      <w:rFonts w:ascii="宋体" w:hAnsi="Courier New" w:eastAsia="宋体" w:cs="Courier New"/>
      <w:sz w:val="21"/>
      <w:szCs w:val="21"/>
      <w:lang w:eastAsia="zh-CN"/>
    </w:rPr>
  </w:style>
  <w:style w:type="character" w:customStyle="1" w:styleId="76">
    <w:name w:val="正文文本 2 Char1"/>
    <w:basedOn w:val="34"/>
    <w:autoRedefine/>
    <w:semiHidden/>
    <w:qFormat/>
    <w:uiPriority w:val="99"/>
    <w:rPr>
      <w:rFonts w:ascii="Noto Sans Mono CJK JP Bold" w:hAnsi="Noto Sans Mono CJK JP Bold" w:eastAsia="Noto Sans Mono CJK JP Bold" w:cs="Noto Sans Mono CJK JP Bold"/>
      <w:lang w:eastAsia="zh-CN"/>
    </w:rPr>
  </w:style>
  <w:style w:type="character" w:customStyle="1" w:styleId="77">
    <w:name w:val="正文文本缩进 2 字符"/>
    <w:basedOn w:val="34"/>
    <w:link w:val="18"/>
    <w:autoRedefine/>
    <w:qFormat/>
    <w:uiPriority w:val="0"/>
    <w:rPr>
      <w:rFonts w:ascii="”“Times New Roman”“" w:hAnsi="”“Times New Roman”“" w:eastAsia="Calibri" w:cs="Times New Roman"/>
      <w:sz w:val="24"/>
    </w:rPr>
  </w:style>
  <w:style w:type="character" w:customStyle="1" w:styleId="78">
    <w:name w:val="文档结构图 字符"/>
    <w:basedOn w:val="34"/>
    <w:link w:val="9"/>
    <w:autoRedefine/>
    <w:qFormat/>
    <w:uiPriority w:val="0"/>
    <w:rPr>
      <w:rFonts w:ascii="Calibri" w:hAnsi="Calibri" w:eastAsia="Calibri" w:cs="Times New Roman"/>
      <w:shd w:val="clear" w:color="auto" w:fill="000080"/>
    </w:rPr>
  </w:style>
  <w:style w:type="character" w:customStyle="1" w:styleId="79">
    <w:name w:val="正文文本 3 字符"/>
    <w:basedOn w:val="34"/>
    <w:link w:val="11"/>
    <w:autoRedefine/>
    <w:qFormat/>
    <w:uiPriority w:val="0"/>
    <w:rPr>
      <w:rFonts w:ascii="Calibri" w:hAnsi="Calibri" w:eastAsia="Calibri" w:cs="Times New Roman"/>
      <w:sz w:val="16"/>
      <w:szCs w:val="16"/>
    </w:rPr>
  </w:style>
  <w:style w:type="paragraph" w:customStyle="1" w:styleId="80">
    <w:name w:val="样式5"/>
    <w:basedOn w:val="81"/>
    <w:autoRedefine/>
    <w:qFormat/>
    <w:uiPriority w:val="0"/>
    <w:pPr>
      <w:spacing w:beforeLines="20" w:afterLines="20"/>
      <w:ind w:firstLine="523" w:firstLineChars="218"/>
    </w:pPr>
    <w:rPr>
      <w:i/>
      <w:iCs/>
      <w:szCs w:val="20"/>
    </w:rPr>
  </w:style>
  <w:style w:type="paragraph" w:customStyle="1" w:styleId="81">
    <w:name w:val="正文1"/>
    <w:basedOn w:val="1"/>
    <w:autoRedefine/>
    <w:qFormat/>
    <w:uiPriority w:val="0"/>
    <w:pPr>
      <w:autoSpaceDE/>
      <w:autoSpaceDN/>
      <w:adjustRightInd w:val="0"/>
      <w:snapToGrid w:val="0"/>
      <w:spacing w:after="200" w:line="480" w:lineRule="exact"/>
      <w:ind w:firstLine="200" w:firstLineChars="200"/>
    </w:pPr>
    <w:rPr>
      <w:rFonts w:ascii="Calibri" w:hAnsi="Calibri" w:eastAsia="Calibri" w:cs="Times New Roman"/>
      <w:lang w:eastAsia="en-US"/>
    </w:rPr>
  </w:style>
  <w:style w:type="paragraph" w:customStyle="1" w:styleId="82">
    <w:name w:val="表"/>
    <w:basedOn w:val="29"/>
    <w:autoRedefine/>
    <w:qFormat/>
    <w:uiPriority w:val="0"/>
    <w:pPr>
      <w:keepNext/>
      <w:keepLines/>
      <w:adjustRightInd w:val="0"/>
      <w:spacing w:after="200" w:line="240" w:lineRule="exact"/>
      <w:ind w:left="0" w:right="0"/>
      <w:outlineLvl w:val="0"/>
    </w:pPr>
    <w:rPr>
      <w:rFonts w:ascii="Arial" w:hAnsi="Arial" w:eastAsia="Calibri" w:cs="Arial"/>
      <w:b/>
      <w:bCs/>
      <w:kern w:val="21"/>
      <w:sz w:val="32"/>
      <w:szCs w:val="32"/>
      <w:lang w:eastAsia="en-US"/>
    </w:rPr>
  </w:style>
  <w:style w:type="paragraph" w:customStyle="1" w:styleId="83">
    <w:name w:val="Normal Indent1"/>
    <w:basedOn w:val="1"/>
    <w:next w:val="1"/>
    <w:autoRedefine/>
    <w:qFormat/>
    <w:uiPriority w:val="0"/>
    <w:pPr>
      <w:autoSpaceDE/>
      <w:autoSpaceDN/>
      <w:adjustRightInd w:val="0"/>
      <w:snapToGrid w:val="0"/>
      <w:spacing w:after="200" w:line="460" w:lineRule="atLeast"/>
      <w:ind w:firstLine="200" w:firstLineChars="200"/>
    </w:pPr>
    <w:rPr>
      <w:rFonts w:ascii="Calibri" w:hAnsi="Calibri" w:eastAsia="宋体" w:cs="Times New Roman"/>
      <w:kern w:val="2"/>
      <w:sz w:val="28"/>
    </w:rPr>
  </w:style>
  <w:style w:type="paragraph" w:customStyle="1" w:styleId="84">
    <w:name w:val="正文正"/>
    <w:basedOn w:val="1"/>
    <w:autoRedefine/>
    <w:qFormat/>
    <w:uiPriority w:val="0"/>
    <w:pPr>
      <w:widowControl/>
      <w:autoSpaceDE/>
      <w:autoSpaceDN/>
      <w:adjustRightInd w:val="0"/>
      <w:snapToGrid w:val="0"/>
      <w:spacing w:after="200"/>
      <w:ind w:firstLine="560" w:firstLineChars="200"/>
    </w:pPr>
    <w:rPr>
      <w:rFonts w:ascii="Tahoma" w:hAnsi="Tahoma" w:eastAsia="宋体" w:cs="Tahoma"/>
      <w:sz w:val="28"/>
      <w:szCs w:val="24"/>
    </w:rPr>
  </w:style>
  <w:style w:type="paragraph" w:customStyle="1" w:styleId="85">
    <w:name w:val="表格"/>
    <w:basedOn w:val="12"/>
    <w:next w:val="1"/>
    <w:autoRedefine/>
    <w:qFormat/>
    <w:uiPriority w:val="0"/>
    <w:pPr>
      <w:autoSpaceDE/>
      <w:autoSpaceDN/>
      <w:adjustRightInd w:val="0"/>
      <w:snapToGrid w:val="0"/>
      <w:spacing w:line="276" w:lineRule="auto"/>
      <w:jc w:val="center"/>
      <w:textAlignment w:val="baseline"/>
    </w:pPr>
    <w:rPr>
      <w:rFonts w:ascii="宋体" w:hAnsi="宋体" w:eastAsia="Calibri" w:cs="Times New Roman"/>
      <w:sz w:val="24"/>
      <w:szCs w:val="24"/>
      <w:lang w:eastAsia="en-US"/>
    </w:rPr>
  </w:style>
  <w:style w:type="paragraph" w:customStyle="1" w:styleId="86">
    <w:name w:val="报告书表格"/>
    <w:basedOn w:val="1"/>
    <w:autoRedefine/>
    <w:qFormat/>
    <w:uiPriority w:val="0"/>
    <w:pPr>
      <w:autoSpaceDE/>
      <w:autoSpaceDN/>
      <w:adjustRightInd w:val="0"/>
      <w:spacing w:before="60" w:after="60" w:line="240" w:lineRule="atLeast"/>
      <w:jc w:val="center"/>
      <w:textAlignment w:val="baseline"/>
    </w:pPr>
    <w:rPr>
      <w:rFonts w:ascii="Calibri" w:hAnsi="Calibri" w:eastAsia="Calibri" w:cs="Times New Roman"/>
      <w:szCs w:val="20"/>
      <w:lang w:eastAsia="en-US"/>
    </w:rPr>
  </w:style>
  <w:style w:type="paragraph" w:customStyle="1" w:styleId="87">
    <w:name w:val="报告表正文"/>
    <w:basedOn w:val="1"/>
    <w:link w:val="108"/>
    <w:autoRedefine/>
    <w:qFormat/>
    <w:uiPriority w:val="0"/>
    <w:pPr>
      <w:autoSpaceDE/>
      <w:autoSpaceDN/>
      <w:adjustRightInd w:val="0"/>
      <w:spacing w:line="312" w:lineRule="auto"/>
      <w:ind w:left="113" w:right="113" w:firstLine="482"/>
      <w:textAlignment w:val="baseline"/>
    </w:pPr>
    <w:rPr>
      <w:rFonts w:ascii="Calibri" w:hAnsi="Calibri" w:eastAsia="宋体" w:cs="Calibri"/>
      <w:sz w:val="24"/>
      <w:szCs w:val="20"/>
    </w:rPr>
  </w:style>
  <w:style w:type="paragraph" w:customStyle="1" w:styleId="88">
    <w:name w:val="表5"/>
    <w:basedOn w:val="1"/>
    <w:next w:val="1"/>
    <w:autoRedefine/>
    <w:qFormat/>
    <w:uiPriority w:val="0"/>
    <w:pPr>
      <w:autoSpaceDE/>
      <w:autoSpaceDN/>
      <w:adjustRightInd w:val="0"/>
      <w:snapToGrid w:val="0"/>
      <w:spacing w:after="200"/>
      <w:jc w:val="center"/>
    </w:pPr>
    <w:rPr>
      <w:rFonts w:ascii="Calibri" w:hAnsi="Calibri" w:eastAsia="Calibri" w:cs="Times New Roman"/>
      <w:sz w:val="21"/>
      <w:szCs w:val="21"/>
      <w:lang w:eastAsia="en-US"/>
    </w:rPr>
  </w:style>
  <w:style w:type="paragraph" w:customStyle="1" w:styleId="89">
    <w:name w:val="content"/>
    <w:autoRedefine/>
    <w:qFormat/>
    <w:uiPriority w:val="0"/>
    <w:pPr>
      <w:adjustRightInd w:val="0"/>
      <w:spacing w:line="360" w:lineRule="auto"/>
      <w:ind w:firstLine="480" w:firstLineChars="200"/>
      <w:jc w:val="both"/>
    </w:pPr>
    <w:rPr>
      <w:rFonts w:ascii="Times New Roman" w:hAnsi="Times New Roman" w:eastAsia="宋体" w:cs="Times New Roman"/>
      <w:color w:val="000000"/>
      <w:sz w:val="24"/>
      <w:szCs w:val="24"/>
      <w:lang w:val="en-US" w:eastAsia="zh-CN" w:bidi="ar-SA"/>
    </w:rPr>
  </w:style>
  <w:style w:type="paragraph" w:customStyle="1" w:styleId="90">
    <w:name w:val="正"/>
    <w:basedOn w:val="1"/>
    <w:autoRedefine/>
    <w:qFormat/>
    <w:uiPriority w:val="0"/>
    <w:pPr>
      <w:autoSpaceDE/>
      <w:autoSpaceDN/>
      <w:spacing w:line="480" w:lineRule="exact"/>
      <w:ind w:firstLine="200" w:firstLineChars="200"/>
      <w:jc w:val="both"/>
    </w:pPr>
    <w:rPr>
      <w:rFonts w:ascii="Calibri" w:hAnsi="Calibri" w:eastAsia="宋体" w:cs="Calibri"/>
      <w:sz w:val="24"/>
      <w:szCs w:val="20"/>
    </w:rPr>
  </w:style>
  <w:style w:type="paragraph" w:customStyle="1" w:styleId="91">
    <w:name w:val="正文内容"/>
    <w:basedOn w:val="1"/>
    <w:autoRedefine/>
    <w:qFormat/>
    <w:uiPriority w:val="0"/>
    <w:pPr>
      <w:autoSpaceDE/>
      <w:autoSpaceDN/>
      <w:spacing w:line="360" w:lineRule="auto"/>
      <w:ind w:firstLine="200" w:firstLineChars="200"/>
      <w:jc w:val="both"/>
    </w:pPr>
    <w:rPr>
      <w:rFonts w:ascii="宋体" w:hAnsi="Times New Roman" w:eastAsia="宋体" w:cs="Times New Roman"/>
      <w:kern w:val="2"/>
      <w:sz w:val="24"/>
      <w:szCs w:val="20"/>
    </w:rPr>
  </w:style>
  <w:style w:type="paragraph" w:customStyle="1" w:styleId="92">
    <w:name w:val="+正文"/>
    <w:basedOn w:val="1"/>
    <w:autoRedefine/>
    <w:qFormat/>
    <w:uiPriority w:val="0"/>
    <w:pPr>
      <w:autoSpaceDE/>
      <w:autoSpaceDN/>
      <w:spacing w:after="200" w:line="276" w:lineRule="auto"/>
    </w:pPr>
    <w:rPr>
      <w:rFonts w:ascii="Calibri" w:hAnsi="Calibri" w:eastAsia="Calibri" w:cs="Times New Roman"/>
      <w:szCs w:val="24"/>
      <w:lang w:eastAsia="en-US"/>
    </w:rPr>
  </w:style>
  <w:style w:type="paragraph" w:customStyle="1" w:styleId="93">
    <w:name w:val="样式 首行缩进:  2 字符20"/>
    <w:basedOn w:val="1"/>
    <w:autoRedefine/>
    <w:qFormat/>
    <w:uiPriority w:val="0"/>
    <w:pPr>
      <w:widowControl/>
      <w:autoSpaceDE/>
      <w:autoSpaceDN/>
      <w:adjustRightInd w:val="0"/>
      <w:snapToGrid w:val="0"/>
      <w:spacing w:after="200" w:line="520" w:lineRule="exact"/>
      <w:ind w:firstLine="560" w:firstLineChars="200"/>
    </w:pPr>
    <w:rPr>
      <w:rFonts w:ascii="Tahoma" w:hAnsi="Tahoma" w:eastAsia="宋体" w:cs="宋体"/>
      <w:sz w:val="24"/>
    </w:rPr>
  </w:style>
  <w:style w:type="paragraph" w:customStyle="1" w:styleId="94">
    <w:name w:val="正文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5">
    <w:name w:val="表格样式应用1"/>
    <w:basedOn w:val="1"/>
    <w:autoRedefine/>
    <w:qFormat/>
    <w:uiPriority w:val="0"/>
    <w:pPr>
      <w:autoSpaceDE/>
      <w:autoSpaceDN/>
      <w:spacing w:after="200" w:line="360" w:lineRule="exact"/>
      <w:jc w:val="center"/>
    </w:pPr>
    <w:rPr>
      <w:rFonts w:ascii="Calibri" w:hAnsi="Calibri" w:eastAsia="Calibri" w:cs="Times New Roman"/>
      <w:sz w:val="21"/>
      <w:szCs w:val="21"/>
      <w:lang w:eastAsia="en-US"/>
    </w:rPr>
  </w:style>
  <w:style w:type="paragraph" w:customStyle="1" w:styleId="96">
    <w:name w:val="表格1"/>
    <w:basedOn w:val="1"/>
    <w:autoRedefine/>
    <w:qFormat/>
    <w:uiPriority w:val="0"/>
    <w:pPr>
      <w:autoSpaceDE/>
      <w:autoSpaceDN/>
      <w:adjustRightInd w:val="0"/>
      <w:spacing w:line="360" w:lineRule="atLeast"/>
      <w:ind w:firstLine="200" w:firstLineChars="200"/>
      <w:jc w:val="center"/>
      <w:textAlignment w:val="baseline"/>
    </w:pPr>
    <w:rPr>
      <w:rFonts w:ascii="CG Times (WN)" w:hAnsi="Times New Roman" w:eastAsia="宋体" w:cs="Times New Roman"/>
      <w:spacing w:val="6"/>
      <w:sz w:val="24"/>
      <w:szCs w:val="20"/>
    </w:rPr>
  </w:style>
  <w:style w:type="paragraph" w:customStyle="1" w:styleId="97">
    <w:name w:val="J正文J"/>
    <w:basedOn w:val="1"/>
    <w:autoRedefine/>
    <w:qFormat/>
    <w:uiPriority w:val="0"/>
    <w:pPr>
      <w:autoSpaceDE/>
      <w:autoSpaceDN/>
      <w:spacing w:after="200" w:line="360" w:lineRule="auto"/>
      <w:ind w:firstLine="200" w:firstLineChars="200"/>
    </w:pPr>
    <w:rPr>
      <w:rFonts w:ascii="Calibri" w:hAnsi="Calibri" w:eastAsia="Calibri" w:cs="Times New Roman"/>
      <w:sz w:val="24"/>
      <w:szCs w:val="20"/>
      <w:lang w:eastAsia="en-US"/>
    </w:rPr>
  </w:style>
  <w:style w:type="paragraph" w:customStyle="1" w:styleId="98">
    <w:name w:val="样式 正文文字缩进 2 + 首行缩进:  2 字符"/>
    <w:basedOn w:val="18"/>
    <w:autoRedefine/>
    <w:qFormat/>
    <w:uiPriority w:val="0"/>
    <w:pPr>
      <w:spacing w:after="0" w:line="480" w:lineRule="atLeast"/>
      <w:ind w:firstLine="200" w:firstLineChars="200"/>
    </w:pPr>
  </w:style>
  <w:style w:type="paragraph" w:customStyle="1" w:styleId="99">
    <w:name w:val="表头"/>
    <w:basedOn w:val="1"/>
    <w:next w:val="2"/>
    <w:autoRedefine/>
    <w:qFormat/>
    <w:uiPriority w:val="99"/>
    <w:pPr>
      <w:autoSpaceDE/>
      <w:autoSpaceDN/>
      <w:adjustRightInd w:val="0"/>
      <w:spacing w:before="80" w:after="80"/>
      <w:jc w:val="center"/>
      <w:textAlignment w:val="baseline"/>
    </w:pPr>
    <w:rPr>
      <w:rFonts w:ascii="仿宋_GB2312" w:hAnsi="Times New Roman" w:eastAsia="仿宋_GB2312" w:cs="仿宋_GB2312"/>
      <w:sz w:val="24"/>
      <w:szCs w:val="24"/>
    </w:rPr>
  </w:style>
  <w:style w:type="paragraph" w:customStyle="1" w:styleId="100">
    <w:name w:val="z正文"/>
    <w:basedOn w:val="1"/>
    <w:autoRedefine/>
    <w:qFormat/>
    <w:uiPriority w:val="0"/>
    <w:pPr>
      <w:autoSpaceDE/>
      <w:autoSpaceDN/>
      <w:spacing w:after="200" w:line="500" w:lineRule="exact"/>
    </w:pPr>
    <w:rPr>
      <w:rFonts w:ascii="Calibri" w:hAnsi="Calibri" w:eastAsia="Calibri" w:cs="Times New Roman"/>
      <w:szCs w:val="24"/>
      <w:lang w:eastAsia="en-US"/>
    </w:rPr>
  </w:style>
  <w:style w:type="paragraph" w:customStyle="1" w:styleId="101">
    <w:name w:val="J表头J"/>
    <w:basedOn w:val="1"/>
    <w:autoRedefine/>
    <w:qFormat/>
    <w:uiPriority w:val="0"/>
    <w:pPr>
      <w:tabs>
        <w:tab w:val="center" w:pos="0"/>
        <w:tab w:val="center" w:pos="6090"/>
      </w:tabs>
      <w:autoSpaceDE/>
      <w:autoSpaceDN/>
      <w:spacing w:after="200" w:line="276" w:lineRule="auto"/>
      <w:ind w:firstLine="482"/>
      <w:jc w:val="center"/>
    </w:pPr>
    <w:rPr>
      <w:rFonts w:ascii="Calibri" w:hAnsi="Calibri" w:eastAsia="Calibri" w:cs="Times New Roman"/>
      <w:b/>
      <w:color w:val="0000FF"/>
      <w:sz w:val="24"/>
      <w:lang w:eastAsia="en-US"/>
    </w:rPr>
  </w:style>
  <w:style w:type="paragraph" w:customStyle="1" w:styleId="102">
    <w:name w:val="表内格式"/>
    <w:basedOn w:val="1"/>
    <w:autoRedefine/>
    <w:qFormat/>
    <w:uiPriority w:val="0"/>
    <w:pPr>
      <w:autoSpaceDE/>
      <w:autoSpaceDN/>
      <w:spacing w:line="240" w:lineRule="exact"/>
      <w:jc w:val="center"/>
    </w:pPr>
    <w:rPr>
      <w:rFonts w:ascii="宋体" w:hAnsi="宋体" w:eastAsia="宋体" w:cs="Calibri"/>
      <w:kern w:val="2"/>
      <w:sz w:val="21"/>
      <w:szCs w:val="20"/>
    </w:rPr>
  </w:style>
  <w:style w:type="paragraph" w:customStyle="1" w:styleId="103">
    <w:name w:val="样式2"/>
    <w:basedOn w:val="1"/>
    <w:autoRedefine/>
    <w:qFormat/>
    <w:uiPriority w:val="0"/>
    <w:pPr>
      <w:widowControl/>
      <w:autoSpaceDE/>
      <w:autoSpaceDN/>
      <w:adjustRightInd w:val="0"/>
      <w:snapToGrid w:val="0"/>
      <w:spacing w:after="200" w:line="400" w:lineRule="exact"/>
      <w:ind w:firstLine="200" w:firstLineChars="200"/>
    </w:pPr>
    <w:rPr>
      <w:rFonts w:ascii="Tahoma" w:hAnsi="Tahoma" w:eastAsia="宋体" w:cs="Tahoma"/>
      <w:sz w:val="24"/>
    </w:rPr>
  </w:style>
  <w:style w:type="paragraph" w:customStyle="1" w:styleId="104">
    <w:name w:val="样式 文本正文 + 首行缩进:  2 字符"/>
    <w:basedOn w:val="1"/>
    <w:autoRedefine/>
    <w:qFormat/>
    <w:uiPriority w:val="0"/>
    <w:pPr>
      <w:widowControl/>
      <w:autoSpaceDE/>
      <w:autoSpaceDN/>
      <w:adjustRightInd w:val="0"/>
      <w:snapToGrid w:val="0"/>
      <w:spacing w:line="360" w:lineRule="auto"/>
      <w:ind w:firstLine="200" w:firstLineChars="200"/>
      <w:jc w:val="both"/>
    </w:pPr>
    <w:rPr>
      <w:rFonts w:ascii="Tahoma" w:hAnsi="Tahoma" w:eastAsia="宋体" w:cs="宋体"/>
      <w:kern w:val="2"/>
      <w:sz w:val="24"/>
      <w:szCs w:val="20"/>
    </w:rPr>
  </w:style>
  <w:style w:type="paragraph" w:customStyle="1" w:styleId="105">
    <w:name w:val="表格文字"/>
    <w:basedOn w:val="12"/>
    <w:next w:val="1"/>
    <w:autoRedefine/>
    <w:qFormat/>
    <w:uiPriority w:val="0"/>
    <w:pPr>
      <w:tabs>
        <w:tab w:val="left" w:pos="3720"/>
      </w:tabs>
      <w:adjustRightInd w:val="0"/>
      <w:spacing w:line="315" w:lineRule="exact"/>
      <w:ind w:firstLine="400" w:firstLineChars="200"/>
      <w:jc w:val="center"/>
      <w:textAlignment w:val="bottom"/>
    </w:pPr>
    <w:rPr>
      <w:rFonts w:ascii="宋体" w:hAnsi="宋体" w:eastAsia="宋体" w:cs="Times New Roman"/>
      <w:sz w:val="21"/>
      <w:szCs w:val="20"/>
      <w:lang w:val="zh-CN" w:bidi="zh-CN"/>
    </w:rPr>
  </w:style>
  <w:style w:type="paragraph" w:customStyle="1" w:styleId="106">
    <w:name w:val="_Style 632"/>
    <w:basedOn w:val="1"/>
    <w:autoRedefine/>
    <w:qFormat/>
    <w:uiPriority w:val="0"/>
    <w:pPr>
      <w:autoSpaceDE/>
      <w:autoSpaceDN/>
      <w:adjustRightInd w:val="0"/>
      <w:snapToGrid w:val="0"/>
      <w:spacing w:line="360" w:lineRule="auto"/>
      <w:ind w:firstLine="200" w:firstLineChars="200"/>
      <w:jc w:val="both"/>
    </w:pPr>
    <w:rPr>
      <w:rFonts w:ascii="Times New Roman" w:hAnsi="Times New Roman" w:eastAsia="宋体" w:cs="Times New Roman"/>
      <w:kern w:val="2"/>
      <w:sz w:val="21"/>
      <w:szCs w:val="24"/>
    </w:rPr>
  </w:style>
  <w:style w:type="paragraph" w:customStyle="1" w:styleId="107">
    <w:name w:val="样式 小四 首行缩进:  1.01 厘米 行距: 1.5 倍行距"/>
    <w:basedOn w:val="1"/>
    <w:autoRedefine/>
    <w:qFormat/>
    <w:uiPriority w:val="0"/>
    <w:pPr>
      <w:autoSpaceDE/>
      <w:autoSpaceDN/>
      <w:adjustRightInd w:val="0"/>
      <w:snapToGrid w:val="0"/>
      <w:spacing w:line="360" w:lineRule="auto"/>
      <w:ind w:firstLine="200" w:firstLineChars="200"/>
      <w:jc w:val="both"/>
    </w:pPr>
    <w:rPr>
      <w:rFonts w:ascii="Times New Roman" w:hAnsi="Times New Roman" w:eastAsia="宋体" w:cs="Times New Roman"/>
      <w:snapToGrid w:val="0"/>
      <w:kern w:val="24"/>
      <w:sz w:val="24"/>
      <w:szCs w:val="20"/>
    </w:rPr>
  </w:style>
  <w:style w:type="character" w:customStyle="1" w:styleId="108">
    <w:name w:val="报告表正文 Char"/>
    <w:link w:val="87"/>
    <w:autoRedefine/>
    <w:qFormat/>
    <w:uiPriority w:val="0"/>
    <w:rPr>
      <w:rFonts w:ascii="Calibri" w:hAnsi="Calibri" w:eastAsia="宋体" w:cs="Calibri"/>
      <w:sz w:val="24"/>
      <w:szCs w:val="20"/>
      <w:lang w:eastAsia="zh-CN"/>
    </w:rPr>
  </w:style>
  <w:style w:type="character" w:customStyle="1" w:styleId="109">
    <w:name w:val="标题 5 字符"/>
    <w:basedOn w:val="34"/>
    <w:link w:val="7"/>
    <w:autoRedefine/>
    <w:qFormat/>
    <w:uiPriority w:val="0"/>
    <w:rPr>
      <w:rFonts w:ascii="Noto Sans Mono CJK JP Bold" w:hAnsi="Noto Sans Mono CJK JP Bold" w:eastAsia="Noto Sans Mono CJK JP Bold" w:cs="Noto Sans Mono CJK JP Bold"/>
      <w:b/>
      <w:bCs/>
      <w:sz w:val="28"/>
      <w:szCs w:val="28"/>
      <w:lang w:eastAsia="zh-CN"/>
    </w:rPr>
  </w:style>
  <w:style w:type="character" w:customStyle="1" w:styleId="110">
    <w:name w:val="标题 2 字符"/>
    <w:basedOn w:val="34"/>
    <w:link w:val="5"/>
    <w:autoRedefine/>
    <w:qFormat/>
    <w:uiPriority w:val="1"/>
    <w:rPr>
      <w:rFonts w:ascii="Droid Sans Fallback" w:hAnsi="Droid Sans Fallback" w:eastAsia="Droid Sans Fallback" w:cs="Droid Sans Fallback"/>
      <w:sz w:val="36"/>
      <w:szCs w:val="36"/>
      <w:lang w:eastAsia="zh-CN"/>
    </w:rPr>
  </w:style>
  <w:style w:type="paragraph" w:customStyle="1" w:styleId="111">
    <w:name w:val="表内"/>
    <w:basedOn w:val="1"/>
    <w:autoRedefine/>
    <w:qFormat/>
    <w:uiPriority w:val="0"/>
    <w:pPr>
      <w:autoSpaceDE/>
      <w:autoSpaceDN/>
      <w:spacing w:line="300" w:lineRule="exact"/>
      <w:jc w:val="center"/>
    </w:pPr>
    <w:rPr>
      <w:rFonts w:ascii="Times New Roman" w:hAnsi="Times New Roman" w:eastAsia="方正宋三简体" w:cs="Times New Roman"/>
      <w:kern w:val="2"/>
      <w:sz w:val="24"/>
      <w:szCs w:val="24"/>
    </w:rPr>
  </w:style>
  <w:style w:type="character" w:customStyle="1" w:styleId="112">
    <w:name w:val="批注主题 字符"/>
    <w:basedOn w:val="48"/>
    <w:link w:val="30"/>
    <w:autoRedefine/>
    <w:semiHidden/>
    <w:qFormat/>
    <w:uiPriority w:val="0"/>
    <w:rPr>
      <w:rFonts w:ascii="Times New Roman" w:hAnsi="Times New Roman" w:eastAsia="宋体" w:cs="Times New Roman"/>
      <w:b/>
      <w:bCs/>
      <w:kern w:val="2"/>
      <w:sz w:val="21"/>
      <w:szCs w:val="24"/>
    </w:rPr>
  </w:style>
  <w:style w:type="character" w:customStyle="1" w:styleId="113">
    <w:name w:val="p12"/>
    <w:basedOn w:val="34"/>
    <w:autoRedefine/>
    <w:qFormat/>
    <w:uiPriority w:val="0"/>
  </w:style>
  <w:style w:type="paragraph" w:customStyle="1" w:styleId="114">
    <w:name w:val="TOC 标题1"/>
    <w:basedOn w:val="4"/>
    <w:next w:val="1"/>
    <w:autoRedefine/>
    <w:unhideWhenUsed/>
    <w:qFormat/>
    <w:uiPriority w:val="39"/>
    <w:pPr>
      <w:keepNext/>
      <w:keepLines/>
      <w:widowControl/>
      <w:autoSpaceDE/>
      <w:autoSpaceDN/>
      <w:spacing w:before="240" w:line="259" w:lineRule="auto"/>
      <w:ind w:left="0" w:right="0"/>
      <w:jc w:val="left"/>
      <w:outlineLvl w:val="9"/>
    </w:pPr>
    <w:rPr>
      <w:rFonts w:asciiTheme="majorHAnsi" w:hAnsiTheme="majorHAnsi" w:eastAsiaTheme="majorEastAsia" w:cstheme="majorBidi"/>
      <w:color w:val="376092" w:themeColor="accent1" w:themeShade="BF"/>
      <w:sz w:val="32"/>
      <w:szCs w:val="32"/>
    </w:rPr>
  </w:style>
  <w:style w:type="paragraph" w:customStyle="1" w:styleId="115">
    <w:name w:val="g表格标题"/>
    <w:autoRedefine/>
    <w:qFormat/>
    <w:uiPriority w:val="0"/>
    <w:pPr>
      <w:spacing w:line="360" w:lineRule="auto"/>
      <w:jc w:val="center"/>
    </w:pPr>
    <w:rPr>
      <w:rFonts w:ascii="Times New Roman" w:hAnsi="Times New Roman" w:eastAsia="宋体" w:cs="Times New Roman"/>
      <w:b/>
      <w:kern w:val="2"/>
      <w:sz w:val="24"/>
      <w:szCs w:val="24"/>
      <w:lang w:val="en-US" w:eastAsia="zh-CN" w:bidi="ar-SA"/>
    </w:rPr>
  </w:style>
  <w:style w:type="paragraph" w:customStyle="1" w:styleId="116">
    <w:name w:val="样式 正文缩进正文缩进2正文缩进 Char Char正文缩进 Char Char Char Char正文缩进 Char ..."/>
    <w:basedOn w:val="2"/>
    <w:autoRedefine/>
    <w:qFormat/>
    <w:uiPriority w:val="0"/>
    <w:pPr>
      <w:spacing w:after="0" w:line="360" w:lineRule="auto"/>
      <w:ind w:firstLine="200" w:firstLineChars="200"/>
      <w:jc w:val="both"/>
    </w:pPr>
    <w:rPr>
      <w:rFonts w:ascii="Times New Roman" w:hAnsi="Times New Roman" w:eastAsia="宋体" w:cs="宋体"/>
      <w:kern w:val="2"/>
      <w:sz w:val="24"/>
      <w:szCs w:val="24"/>
      <w:lang w:eastAsia="zh-CN"/>
    </w:rPr>
  </w:style>
  <w:style w:type="character" w:styleId="117">
    <w:name w:val="Placeholder Text"/>
    <w:basedOn w:val="34"/>
    <w:autoRedefine/>
    <w:semiHidden/>
    <w:qFormat/>
    <w:uiPriority w:val="99"/>
    <w:rPr>
      <w:color w:val="808080"/>
    </w:rPr>
  </w:style>
  <w:style w:type="paragraph" w:customStyle="1" w:styleId="118">
    <w:name w:val="Table Text"/>
    <w:basedOn w:val="1"/>
    <w:autoRedefine/>
    <w:semiHidden/>
    <w:qFormat/>
    <w:uiPriority w:val="0"/>
    <w:pPr>
      <w:spacing w:line="480" w:lineRule="atLeast"/>
      <w:jc w:val="center"/>
    </w:pPr>
    <w:rPr>
      <w:rFonts w:ascii="Times New Roman" w:hAnsi="Times New Roman" w:cs="Times New Roman" w:eastAsiaTheme="minorEastAsia"/>
      <w:b/>
      <w:color w:val="000000" w:themeColor="text1"/>
      <w:spacing w:val="-2"/>
      <w:sz w:val="21"/>
      <w:szCs w:val="21"/>
      <w14:textFill>
        <w14:solidFill>
          <w14:schemeClr w14:val="tx1"/>
        </w14:solidFill>
      </w14:textFill>
    </w:rPr>
  </w:style>
  <w:style w:type="paragraph" w:customStyle="1" w:styleId="119">
    <w:name w:val="G-正文"/>
    <w:basedOn w:val="1"/>
    <w:autoRedefine/>
    <w:qFormat/>
    <w:uiPriority w:val="0"/>
    <w:pPr>
      <w:adjustRightInd w:val="0"/>
      <w:snapToGrid w:val="0"/>
      <w:spacing w:line="520" w:lineRule="exact"/>
      <w:ind w:firstLine="200" w:firstLineChars="200"/>
    </w:pPr>
    <w:rPr>
      <w:spacing w:val="8"/>
      <w:w w:val="90"/>
      <w:sz w:val="28"/>
      <w:szCs w:val="28"/>
    </w:rPr>
  </w:style>
  <w:style w:type="paragraph" w:customStyle="1" w:styleId="120">
    <w:name w:val="表中文字"/>
    <w:basedOn w:val="1"/>
    <w:autoRedefine/>
    <w:qFormat/>
    <w:uiPriority w:val="0"/>
    <w:pPr>
      <w:adjustRightInd w:val="0"/>
      <w:snapToGrid w:val="0"/>
      <w:spacing w:line="240" w:lineRule="atLeast"/>
      <w:jc w:val="center"/>
    </w:pPr>
    <w:rPr>
      <w:lang w:val="zh-CN"/>
    </w:rPr>
  </w:style>
  <w:style w:type="paragraph" w:customStyle="1" w:styleId="121">
    <w:name w:val="刘思远正文"/>
    <w:basedOn w:val="1"/>
    <w:autoRedefine/>
    <w:qFormat/>
    <w:uiPriority w:val="0"/>
    <w:pPr>
      <w:widowControl/>
      <w:spacing w:line="360" w:lineRule="auto"/>
      <w:ind w:firstLine="200" w:firstLineChars="200"/>
    </w:pPr>
    <w:rPr>
      <w:rFonts w:hint="eastAsia" w:ascii="宋体" w:hAnsi="宋体" w:eastAsia="宋体" w:cs="Times New Roman"/>
      <w:bCs/>
      <w:sz w:val="28"/>
      <w:szCs w:val="24"/>
    </w:rPr>
  </w:style>
  <w:style w:type="paragraph" w:customStyle="1" w:styleId="122">
    <w:name w:val="样式4"/>
    <w:basedOn w:val="1"/>
    <w:autoRedefine/>
    <w:qFormat/>
    <w:uiPriority w:val="0"/>
    <w:pPr>
      <w:adjustRightInd w:val="0"/>
      <w:snapToGrid w:val="0"/>
      <w:spacing w:line="360" w:lineRule="auto"/>
      <w:outlineLvl w:val="1"/>
    </w:pPr>
    <w:rPr>
      <w:rFonts w:ascii="黑体" w:hAnsi="宋体" w:eastAsia="黑体"/>
      <w:sz w:val="28"/>
      <w:szCs w:val="28"/>
    </w:rPr>
  </w:style>
  <w:style w:type="paragraph" w:customStyle="1" w:styleId="123">
    <w:name w:val="书表格内"/>
    <w:basedOn w:val="1"/>
    <w:qFormat/>
    <w:uiPriority w:val="0"/>
    <w:pPr>
      <w:autoSpaceDE/>
      <w:autoSpaceDN/>
      <w:adjustRightInd w:val="0"/>
      <w:snapToGrid w:val="0"/>
      <w:spacing w:line="0" w:lineRule="atLeast"/>
      <w:jc w:val="center"/>
    </w:pPr>
    <w:rPr>
      <w:rFonts w:ascii="Times New Roman" w:hAnsi="Times New Roman" w:eastAsia="宋体" w:cs="Times New Roman"/>
      <w:kern w:val="2"/>
      <w:sz w:val="21"/>
      <w:szCs w:val="21"/>
    </w:rPr>
  </w:style>
  <w:style w:type="paragraph" w:customStyle="1" w:styleId="124">
    <w:name w:val="正文本"/>
    <w:basedOn w:val="1"/>
    <w:qFormat/>
    <w:uiPriority w:val="0"/>
    <w:pPr>
      <w:adjustRightInd w:val="0"/>
      <w:snapToGrid w:val="0"/>
      <w:spacing w:line="500" w:lineRule="exact"/>
      <w:ind w:firstLine="200" w:firstLineChars="200"/>
    </w:pPr>
    <w:rPr>
      <w:sz w:val="24"/>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689600-4F57-4067-8878-AE716D42E11C}">
  <ds:schemaRefs/>
</ds:datastoreItem>
</file>

<file path=docProps/app.xml><?xml version="1.0" encoding="utf-8"?>
<Properties xmlns="http://schemas.openxmlformats.org/officeDocument/2006/extended-properties" xmlns:vt="http://schemas.openxmlformats.org/officeDocument/2006/docPropsVTypes">
  <Template>Normal.dotm</Template>
  <Company>sjzok</Company>
  <Pages>81</Pages>
  <Words>52961</Words>
  <Characters>57892</Characters>
  <Lines>412</Lines>
  <Paragraphs>116</Paragraphs>
  <TotalTime>0</TotalTime>
  <ScaleCrop>false</ScaleCrop>
  <LinksUpToDate>false</LinksUpToDate>
  <CharactersWithSpaces>58236</CharactersWithSpaces>
  <Application>WPS Office_12.1.0.17140_F1E327BC-269C-435d-A152-05C5408002CA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2021-03-04T01:13:00Z</dcterms:created>
  <dc:creator>lhj</dc:creator>
  <cp:lastModifiedBy>蜗牛</cp:lastModifiedBy>
  <cp:lastPrinted>2024-06-21T02:44:00Z</cp:lastPrinted>
  <dcterms:modified xsi:type="dcterms:W3CDTF">2024-09-30T01:26:18Z</dcterms:modified>
  <dc:title>附件2</dc:title>
  <cp:revision>117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2021-01-04T00:00:00Z</vt:filetime>
  </property>
  <property fmtid="{D5CDD505-2E9C-101B-9397-08002B2CF9AE}" pid="3" name="Creator">
    <vt:lpwstr>Microsoft® Word 2019</vt:lpwstr>
  </property>
  <property fmtid="{D5CDD505-2E9C-101B-9397-08002B2CF9AE}" pid="4" name="LastSaved">
    <vt:filetime>2021-03-04T00:00:00Z</vt:filetime>
  </property>
  <property fmtid="{D5CDD505-2E9C-101B-9397-08002B2CF9AE}" pid="5" name="KSOProductBuildVer">
    <vt:lpwstr>2052-12.1.0.17140</vt:lpwstr>
  </property>
  <property fmtid="{D5CDD505-2E9C-101B-9397-08002B2CF9AE}" pid="6" name="ICV">
    <vt:lpwstr>B1EA554B473143709B709EBD9F8CE746_13</vt:lpwstr>
  </property>
</Properties>
</file>