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76" w:rsidRDefault="00412676">
      <w:pPr>
        <w:spacing w:line="800" w:lineRule="exact"/>
        <w:ind w:leftChars="-50" w:left="-105" w:rightChars="-50" w:right="-105"/>
        <w:jc w:val="center"/>
        <w:rPr>
          <w:rFonts w:ascii="仿宋" w:eastAsia="仿宋" w:hAnsi="仿宋" w:cs="仿宋"/>
          <w:spacing w:val="-60"/>
          <w:sz w:val="72"/>
          <w:szCs w:val="72"/>
        </w:rPr>
      </w:pPr>
    </w:p>
    <w:p w:rsidR="00412676" w:rsidRDefault="00412676">
      <w:pPr>
        <w:spacing w:line="360" w:lineRule="auto"/>
        <w:jc w:val="center"/>
        <w:rPr>
          <w:rFonts w:asciiTheme="majorEastAsia" w:eastAsiaTheme="majorEastAsia" w:hAnsiTheme="majorEastAsia" w:cstheme="majorEastAsia"/>
          <w:b/>
          <w:bCs/>
          <w:sz w:val="44"/>
          <w:szCs w:val="44"/>
        </w:rPr>
      </w:pPr>
    </w:p>
    <w:p w:rsidR="00412676" w:rsidRDefault="00A424E0">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承德市环境监控中心实验室迁建经费</w:t>
      </w:r>
    </w:p>
    <w:p w:rsidR="00412676" w:rsidRDefault="00A424E0">
      <w:pPr>
        <w:spacing w:line="360" w:lineRule="auto"/>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绩效评价报告</w:t>
      </w:r>
    </w:p>
    <w:p w:rsidR="00412676" w:rsidRDefault="00A424E0">
      <w:pPr>
        <w:spacing w:line="360" w:lineRule="auto"/>
        <w:rPr>
          <w:rStyle w:val="NormalCharacter"/>
          <w:rFonts w:ascii="仿宋" w:eastAsia="仿宋" w:hAnsi="仿宋" w:cs="仿宋"/>
          <w:bCs/>
          <w:sz w:val="32"/>
          <w:szCs w:val="32"/>
        </w:rPr>
      </w:pPr>
      <w:r>
        <w:rPr>
          <w:rStyle w:val="NormalCharacter"/>
          <w:rFonts w:ascii="仿宋" w:eastAsia="仿宋" w:hAnsi="仿宋" w:cs="仿宋" w:hint="eastAsia"/>
          <w:bCs/>
          <w:sz w:val="32"/>
          <w:szCs w:val="32"/>
        </w:rPr>
        <w:t xml:space="preserve">   </w:t>
      </w:r>
    </w:p>
    <w:p w:rsidR="00412676" w:rsidRDefault="00A424E0">
      <w:pPr>
        <w:spacing w:line="360" w:lineRule="auto"/>
        <w:rPr>
          <w:rFonts w:ascii="仿宋_GB2312" w:eastAsia="仿宋_GB2312" w:hAnsi="仿宋_GB2312" w:cs="仿宋_GB2312"/>
          <w:bCs/>
          <w:sz w:val="32"/>
          <w:szCs w:val="32"/>
        </w:rPr>
      </w:pPr>
      <w:r>
        <w:rPr>
          <w:rStyle w:val="NormalCharacter"/>
          <w:rFonts w:ascii="仿宋" w:eastAsia="仿宋" w:hAnsi="仿宋" w:cs="仿宋" w:hint="eastAsia"/>
          <w:bCs/>
          <w:sz w:val="32"/>
          <w:szCs w:val="32"/>
        </w:rPr>
        <w:t xml:space="preserve">   </w:t>
      </w:r>
      <w:r>
        <w:rPr>
          <w:rStyle w:val="NormalCharacter"/>
          <w:rFonts w:ascii="仿宋_GB2312" w:eastAsia="仿宋_GB2312" w:hAnsi="仿宋_GB2312" w:cs="仿宋_GB2312" w:hint="eastAsia"/>
          <w:bCs/>
          <w:sz w:val="32"/>
          <w:szCs w:val="32"/>
        </w:rPr>
        <w:t xml:space="preserve"> </w:t>
      </w:r>
      <w:r>
        <w:rPr>
          <w:rStyle w:val="NormalCharacter"/>
          <w:rFonts w:ascii="仿宋_GB2312" w:eastAsia="仿宋_GB2312" w:hAnsi="仿宋_GB2312" w:cs="仿宋_GB2312" w:hint="eastAsia"/>
          <w:bCs/>
          <w:sz w:val="32"/>
          <w:szCs w:val="32"/>
        </w:rPr>
        <w:t>按照</w:t>
      </w:r>
      <w:r>
        <w:rPr>
          <w:rFonts w:ascii="仿宋_GB2312" w:eastAsia="仿宋_GB2312" w:hAnsi="仿宋_GB2312" w:cs="仿宋_GB2312" w:hint="eastAsia"/>
          <w:bCs/>
          <w:sz w:val="32"/>
          <w:szCs w:val="32"/>
        </w:rPr>
        <w:t>承德</w:t>
      </w:r>
      <w:r>
        <w:rPr>
          <w:rFonts w:ascii="仿宋_GB2312" w:eastAsia="仿宋_GB2312" w:hAnsi="仿宋_GB2312" w:cs="仿宋_GB2312" w:hint="eastAsia"/>
          <w:bCs/>
          <w:sz w:val="32"/>
          <w:szCs w:val="32"/>
        </w:rPr>
        <w:t>市</w:t>
      </w:r>
      <w:r>
        <w:rPr>
          <w:rFonts w:ascii="仿宋_GB2312" w:eastAsia="仿宋_GB2312" w:hAnsi="仿宋_GB2312" w:cs="仿宋_GB2312" w:hint="eastAsia"/>
          <w:bCs/>
          <w:sz w:val="32"/>
          <w:szCs w:val="32"/>
        </w:rPr>
        <w:t>财政局</w:t>
      </w:r>
      <w:r>
        <w:rPr>
          <w:rFonts w:ascii="仿宋_GB2312" w:eastAsia="仿宋_GB2312" w:hAnsi="仿宋_GB2312" w:cs="仿宋_GB2312" w:hint="eastAsia"/>
          <w:bCs/>
          <w:sz w:val="32"/>
          <w:szCs w:val="32"/>
        </w:rPr>
        <w:t>印发的</w:t>
      </w:r>
      <w:r>
        <w:rPr>
          <w:rFonts w:eastAsia="仿宋_GB2312" w:hint="eastAsia"/>
          <w:sz w:val="32"/>
          <w:szCs w:val="32"/>
        </w:rPr>
        <w:t>《承德市市级预算绩效重点评价管理办法》</w:t>
      </w:r>
      <w:r>
        <w:rPr>
          <w:rFonts w:ascii="仿宋_GB2312" w:eastAsia="仿宋_GB2312" w:hAnsi="仿宋_GB2312" w:cs="仿宋_GB2312" w:hint="eastAsia"/>
          <w:bCs/>
          <w:sz w:val="32"/>
          <w:szCs w:val="32"/>
        </w:rPr>
        <w:t>及预算</w:t>
      </w:r>
      <w:r>
        <w:rPr>
          <w:rStyle w:val="NormalCharacter"/>
          <w:rFonts w:ascii="仿宋_GB2312" w:eastAsia="仿宋_GB2312" w:hAnsi="仿宋_GB2312" w:cs="仿宋_GB2312" w:hint="eastAsia"/>
          <w:bCs/>
          <w:sz w:val="32"/>
          <w:szCs w:val="32"/>
        </w:rPr>
        <w:t>绩效管理工作要求，我局委托承德永兴会计师事务所有限责任公司对承德市环境监控中心实验室迁建项目</w:t>
      </w:r>
      <w:r>
        <w:rPr>
          <w:rFonts w:ascii="仿宋_GB2312" w:eastAsia="仿宋_GB2312" w:hAnsi="仿宋_GB2312" w:cs="仿宋_GB2312" w:hint="eastAsia"/>
          <w:bCs/>
          <w:sz w:val="32"/>
          <w:szCs w:val="32"/>
        </w:rPr>
        <w:t>进行绩效评价。</w:t>
      </w:r>
      <w:r>
        <w:rPr>
          <w:rFonts w:ascii="仿宋_GB2312" w:eastAsia="仿宋_GB2312" w:hAnsi="仿宋_GB2312" w:cs="仿宋_GB2312" w:hint="eastAsia"/>
          <w:sz w:val="32"/>
          <w:szCs w:val="32"/>
        </w:rPr>
        <w:t>现将绩效评价结果报告如下：</w:t>
      </w:r>
    </w:p>
    <w:p w:rsidR="00412676" w:rsidRDefault="00A424E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w:t>
      </w:r>
      <w:r>
        <w:rPr>
          <w:rFonts w:ascii="仿宋_GB2312" w:eastAsia="仿宋_GB2312" w:hAnsi="仿宋_GB2312" w:cs="仿宋_GB2312" w:hint="eastAsia"/>
          <w:b/>
          <w:sz w:val="32"/>
          <w:szCs w:val="32"/>
        </w:rPr>
        <w:t>项目概况</w:t>
      </w:r>
    </w:p>
    <w:p w:rsidR="00412676" w:rsidRDefault="00A424E0">
      <w:pPr>
        <w:tabs>
          <w:tab w:val="left" w:pos="6120"/>
        </w:tabs>
        <w:snapToGrid w:val="0"/>
        <w:spacing w:line="348"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年，按照《河北省环保机构监测监察执法垂直管理制度改革实施方案》（</w:t>
      </w:r>
      <w:proofErr w:type="gramStart"/>
      <w:r>
        <w:rPr>
          <w:rFonts w:ascii="仿宋_GB2312" w:eastAsia="仿宋_GB2312" w:hAnsi="仿宋_GB2312" w:cs="仿宋_GB2312" w:hint="eastAsia"/>
          <w:sz w:val="32"/>
          <w:szCs w:val="32"/>
        </w:rPr>
        <w:t>冀环办</w:t>
      </w:r>
      <w:proofErr w:type="gramEnd"/>
      <w:r>
        <w:rPr>
          <w:rFonts w:ascii="仿宋_GB2312" w:eastAsia="仿宋_GB2312" w:hint="eastAsia"/>
          <w:sz w:val="32"/>
          <w:szCs w:val="32"/>
        </w:rPr>
        <w:t>〔</w:t>
      </w:r>
      <w:r>
        <w:rPr>
          <w:rFonts w:ascii="仿宋_GB2312" w:eastAsia="仿宋_GB2312" w:hAnsi="仿宋_GB2312" w:cs="仿宋_GB2312" w:hint="eastAsia"/>
          <w:sz w:val="32"/>
          <w:szCs w:val="32"/>
        </w:rPr>
        <w:t>2016</w:t>
      </w:r>
      <w:r>
        <w:rPr>
          <w:rFonts w:ascii="仿宋_GB2312" w:eastAsia="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号）的要求，原承德市环境监测中心站分为河北省承德环境监测中心和承德市环境监控中心两个机构。机构分离后，经承德市</w:t>
      </w:r>
      <w:r>
        <w:rPr>
          <w:rFonts w:ascii="仿宋_GB2312" w:eastAsia="仿宋_GB2312" w:hAnsi="仿宋_GB2312" w:cs="仿宋_GB2312" w:hint="eastAsia"/>
          <w:sz w:val="32"/>
          <w:szCs w:val="32"/>
        </w:rPr>
        <w:t>生态</w:t>
      </w:r>
      <w:r>
        <w:rPr>
          <w:rFonts w:ascii="仿宋_GB2312" w:eastAsia="仿宋_GB2312" w:hAnsi="仿宋_GB2312" w:cs="仿宋_GB2312" w:hint="eastAsia"/>
          <w:sz w:val="32"/>
          <w:szCs w:val="32"/>
        </w:rPr>
        <w:t>环境保护局研究决定，市级监测机构即承德市环境监控中心进行整体搬迁，搬迁至承德市上河新城环保办公楼。由于新办公楼当初设计功能中未包含实验室，因此需要对新办公楼进行改造建设检测实验室，以满足环境监控中心工作需要。经过现场勘察，决定将办公楼附属的半地下停车场作为检测实验室的建设地点，按照实验室建设要求，需进行实验室整体改造、供热管路连接、电力扩容、消防设施改造等一系列的改造工程。</w:t>
      </w:r>
    </w:p>
    <w:p w:rsidR="00412676" w:rsidRDefault="00A424E0">
      <w:pPr>
        <w:tabs>
          <w:tab w:val="left" w:pos="6120"/>
        </w:tabs>
        <w:snapToGrid w:val="0"/>
        <w:spacing w:line="348"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该项目是</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月开始审批立项，通过政府采购等一系列必要程序，于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月竣工，当年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月投入使用。</w:t>
      </w:r>
    </w:p>
    <w:p w:rsidR="00412676" w:rsidRDefault="00A424E0">
      <w:pPr>
        <w:tabs>
          <w:tab w:val="left" w:pos="6120"/>
        </w:tabs>
        <w:snapToGrid w:val="0"/>
        <w:spacing w:line="348"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项目总投资</w:t>
      </w:r>
      <w:r>
        <w:rPr>
          <w:rFonts w:ascii="仿宋_GB2312" w:eastAsia="仿宋_GB2312" w:hAnsi="仿宋_GB2312" w:cs="仿宋_GB2312" w:hint="eastAsia"/>
          <w:sz w:val="32"/>
          <w:szCs w:val="32"/>
        </w:rPr>
        <w:t>334</w:t>
      </w:r>
      <w:r w:rsidR="00601CF2">
        <w:rPr>
          <w:rFonts w:ascii="仿宋_GB2312" w:eastAsia="仿宋_GB2312" w:hAnsi="仿宋_GB2312" w:cs="仿宋_GB2312" w:hint="eastAsia"/>
          <w:sz w:val="32"/>
          <w:szCs w:val="32"/>
        </w:rPr>
        <w:t>万元，截至</w:t>
      </w:r>
      <w:r>
        <w:rPr>
          <w:rFonts w:ascii="仿宋_GB2312" w:eastAsia="仿宋_GB2312" w:hAnsi="仿宋_GB2312" w:cs="仿宋_GB2312" w:hint="eastAsia"/>
          <w:sz w:val="32"/>
          <w:szCs w:val="32"/>
        </w:rPr>
        <w:t>目前项目总支出</w:t>
      </w:r>
      <w:r>
        <w:rPr>
          <w:rFonts w:ascii="仿宋_GB2312" w:eastAsia="仿宋_GB2312" w:hAnsi="仿宋_GB2312" w:cs="仿宋_GB2312" w:hint="eastAsia"/>
          <w:sz w:val="32"/>
          <w:szCs w:val="32"/>
        </w:rPr>
        <w:t>328.5</w:t>
      </w:r>
      <w:r>
        <w:rPr>
          <w:rFonts w:ascii="仿宋_GB2312" w:eastAsia="仿宋_GB2312" w:hAnsi="仿宋_GB2312" w:cs="仿宋_GB2312" w:hint="eastAsia"/>
          <w:sz w:val="32"/>
          <w:szCs w:val="32"/>
        </w:rPr>
        <w:t>万元，项目资金执行率</w:t>
      </w:r>
      <w:r>
        <w:rPr>
          <w:rFonts w:ascii="仿宋_GB2312" w:eastAsia="仿宋_GB2312" w:hAnsi="仿宋_GB2312" w:cs="仿宋_GB2312" w:hint="eastAsia"/>
          <w:sz w:val="32"/>
          <w:szCs w:val="32"/>
        </w:rPr>
        <w:t>98.35%</w:t>
      </w:r>
      <w:r>
        <w:rPr>
          <w:rFonts w:ascii="仿宋_GB2312" w:eastAsia="仿宋_GB2312" w:hAnsi="仿宋_GB2312" w:cs="仿宋_GB2312" w:hint="eastAsia"/>
          <w:sz w:val="32"/>
          <w:szCs w:val="32"/>
        </w:rPr>
        <w:t>（扣留质保金</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w:t>
      </w:r>
    </w:p>
    <w:p w:rsidR="00412676" w:rsidRDefault="00A424E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二、</w:t>
      </w:r>
      <w:r>
        <w:rPr>
          <w:rFonts w:ascii="仿宋_GB2312" w:eastAsia="仿宋_GB2312" w:hAnsi="仿宋_GB2312" w:cs="仿宋_GB2312" w:hint="eastAsia"/>
          <w:b/>
          <w:sz w:val="32"/>
          <w:szCs w:val="32"/>
        </w:rPr>
        <w:t>绩效评价工作开展情况</w:t>
      </w:r>
    </w:p>
    <w:p w:rsidR="00412676" w:rsidRDefault="00A424E0">
      <w:pPr>
        <w:numPr>
          <w:ilvl w:val="0"/>
          <w:numId w:val="1"/>
        </w:num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绩效评价意义、对象和范围</w:t>
      </w:r>
    </w:p>
    <w:p w:rsidR="00412676" w:rsidRDefault="00A424E0">
      <w:pPr>
        <w:spacing w:line="360" w:lineRule="auto"/>
        <w:ind w:firstLineChars="200" w:firstLine="640"/>
        <w:rPr>
          <w:rFonts w:ascii="仿宋_GB2312" w:eastAsia="仿宋_GB2312" w:hAnsi="仿宋_GB2312" w:cs="仿宋_GB2312"/>
          <w:b/>
          <w:bCs/>
          <w:color w:val="555555"/>
          <w:kern w:val="0"/>
          <w:sz w:val="32"/>
          <w:szCs w:val="32"/>
          <w:lang w:bidi="ar"/>
        </w:rPr>
      </w:pP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绩效评价是指按照财政支出经济性、效率性和有效性的总体要求，运用科学、规范的绩效评价方法，采用定量与定性评价相结合的比较法对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迁建经费</w:t>
      </w:r>
      <w:r>
        <w:rPr>
          <w:rFonts w:ascii="仿宋_GB2312" w:eastAsia="仿宋_GB2312" w:hAnsi="仿宋_GB2312" w:cs="仿宋_GB2312" w:hint="eastAsia"/>
          <w:sz w:val="32"/>
          <w:szCs w:val="32"/>
        </w:rPr>
        <w:t>支出的行为过程、支出成本及其产生的最终效果进行科学、客观、公正地衡量比较和综合评估，是对</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迁建经费</w:t>
      </w:r>
      <w:r>
        <w:rPr>
          <w:rFonts w:ascii="仿宋_GB2312" w:eastAsia="仿宋_GB2312" w:hAnsi="仿宋_GB2312" w:cs="仿宋_GB2312" w:hint="eastAsia"/>
          <w:sz w:val="32"/>
          <w:szCs w:val="32"/>
        </w:rPr>
        <w:t>支出效益、</w:t>
      </w:r>
      <w:r>
        <w:rPr>
          <w:rFonts w:ascii="仿宋_GB2312" w:eastAsia="仿宋_GB2312" w:hAnsi="仿宋_GB2312" w:cs="仿宋_GB2312" w:hint="eastAsia"/>
          <w:sz w:val="32"/>
          <w:szCs w:val="32"/>
        </w:rPr>
        <w:t>管</w:t>
      </w:r>
      <w:r>
        <w:rPr>
          <w:rFonts w:ascii="仿宋_GB2312" w:eastAsia="仿宋_GB2312" w:hAnsi="仿宋_GB2312" w:cs="仿宋_GB2312" w:hint="eastAsia"/>
          <w:sz w:val="32"/>
          <w:szCs w:val="32"/>
        </w:rPr>
        <w:t>理水平等方面的综合评价；是</w:t>
      </w:r>
      <w:r>
        <w:rPr>
          <w:rFonts w:ascii="仿宋_GB2312" w:eastAsia="仿宋_GB2312" w:hAnsi="仿宋_GB2312" w:cs="仿宋_GB2312" w:hint="eastAsia"/>
          <w:sz w:val="32"/>
          <w:szCs w:val="32"/>
        </w:rPr>
        <w:t>促进我市环境监测工作标准化、规范化</w:t>
      </w:r>
      <w:r>
        <w:rPr>
          <w:rFonts w:ascii="仿宋_GB2312" w:eastAsia="仿宋_GB2312" w:hAnsi="仿宋_GB2312" w:cs="仿宋_GB2312" w:hint="eastAsia"/>
          <w:sz w:val="32"/>
          <w:szCs w:val="32"/>
        </w:rPr>
        <w:t>目标</w:t>
      </w:r>
      <w:r>
        <w:rPr>
          <w:rFonts w:ascii="仿宋_GB2312" w:eastAsia="仿宋_GB2312" w:hAnsi="仿宋_GB2312" w:cs="仿宋_GB2312" w:hint="eastAsia"/>
          <w:sz w:val="32"/>
          <w:szCs w:val="32"/>
        </w:rPr>
        <w:t>和社会效益以及可持续发展</w:t>
      </w:r>
      <w:r>
        <w:rPr>
          <w:rFonts w:ascii="仿宋_GB2312" w:eastAsia="仿宋_GB2312" w:hAnsi="仿宋_GB2312" w:cs="仿宋_GB2312" w:hint="eastAsia"/>
          <w:sz w:val="32"/>
          <w:szCs w:val="32"/>
        </w:rPr>
        <w:t>实现的重要保证。</w:t>
      </w:r>
      <w:r>
        <w:rPr>
          <w:rFonts w:ascii="仿宋_GB2312" w:eastAsia="仿宋_GB2312" w:hAnsi="仿宋_GB2312" w:cs="仿宋_GB2312" w:hint="eastAsia"/>
          <w:sz w:val="32"/>
          <w:szCs w:val="32"/>
        </w:rPr>
        <w:br/>
        <w:t>     </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开展承德市环境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绩效评价，对于规范财政支出，依法理财具有重要的现实意义。一是有利于增加公共支出透明度，提高公众对政府的信任度；</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是有利于正确引导和规范财政资金监督与管理，形成有效的财政执法和监督约束，提高财政资金使用效益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因此，</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绩效评价，建立承德市环境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绩效评价体系，不仅有其必要性，而且随着部门预算管理改革、国库集中支付制度、政府采购制度的建立与完善，承德市环境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w:t>
      </w:r>
      <w:r>
        <w:rPr>
          <w:rFonts w:ascii="仿宋_GB2312" w:eastAsia="仿宋_GB2312" w:hAnsi="仿宋_GB2312" w:cs="仿宋_GB2312" w:hint="eastAsia"/>
          <w:sz w:val="32"/>
          <w:szCs w:val="32"/>
        </w:rPr>
        <w:t>建项目</w:t>
      </w:r>
      <w:r>
        <w:rPr>
          <w:rFonts w:ascii="仿宋_GB2312" w:eastAsia="仿宋_GB2312" w:hAnsi="仿宋_GB2312" w:cs="仿宋_GB2312" w:hint="eastAsia"/>
          <w:sz w:val="32"/>
          <w:szCs w:val="32"/>
        </w:rPr>
        <w:t>绩效评价工作的开展拥有了现实可行的条件。</w:t>
      </w:r>
      <w:r>
        <w:rPr>
          <w:rFonts w:ascii="仿宋_GB2312" w:eastAsia="仿宋_GB2312" w:hAnsi="仿宋_GB2312" w:cs="仿宋_GB2312" w:hint="eastAsia"/>
          <w:sz w:val="32"/>
          <w:szCs w:val="32"/>
        </w:rPr>
        <w:br/>
      </w:r>
      <w:r>
        <w:rPr>
          <w:rFonts w:ascii="仿宋_GB2312" w:eastAsia="仿宋_GB2312" w:hAnsi="仿宋_GB2312" w:cs="仿宋_GB2312" w:hint="eastAsia"/>
          <w:color w:val="666666"/>
          <w:sz w:val="32"/>
          <w:szCs w:val="32"/>
        </w:rPr>
        <w:t xml:space="preserve">   </w:t>
      </w:r>
      <w:r>
        <w:rPr>
          <w:rFonts w:ascii="仿宋_GB2312" w:eastAsia="仿宋_GB2312" w:hAnsi="仿宋_GB2312" w:cs="仿宋_GB2312" w:hint="eastAsia"/>
          <w:b/>
          <w:bCs/>
          <w:color w:val="555555"/>
          <w:kern w:val="0"/>
          <w:sz w:val="32"/>
          <w:szCs w:val="32"/>
          <w:lang w:bidi="ar"/>
        </w:rPr>
        <w:t>（二）绩效评价指标体系、评价方法和结论</w:t>
      </w:r>
    </w:p>
    <w:p w:rsidR="00412676" w:rsidRDefault="00A424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本次绩效评价指标采用共性指标与个性指标相结合的方式，使用项目决策（</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分）、资金管理（</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分）、项目产出（</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分）和项目效益（</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个一级指标，项目立项、资金预算编制、资金运行等</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个二级指标，立项依据充分、立项程序规范和绩效目标合理性及明确性等</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个三级指标。</w:t>
      </w:r>
      <w:bookmarkStart w:id="0" w:name="_Toc457757116"/>
      <w:bookmarkEnd w:id="0"/>
      <w:r>
        <w:rPr>
          <w:rFonts w:ascii="仿宋_GB2312" w:eastAsia="仿宋_GB2312" w:hAnsi="仿宋_GB2312" w:cs="仿宋_GB2312" w:hint="eastAsia"/>
          <w:sz w:val="32"/>
          <w:szCs w:val="32"/>
        </w:rPr>
        <w:t>评价工作组通过走访座谈、实地查阅和调查问卷等方式对</w:t>
      </w: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经费支出和应用</w:t>
      </w:r>
      <w:r>
        <w:rPr>
          <w:rFonts w:ascii="仿宋_GB2312" w:eastAsia="仿宋_GB2312" w:hAnsi="仿宋_GB2312" w:cs="仿宋_GB2312" w:hint="eastAsia"/>
          <w:sz w:val="32"/>
          <w:szCs w:val="32"/>
        </w:rPr>
        <w:lastRenderedPageBreak/>
        <w:t>实施评价，得分为</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分，其中项目决策</w:t>
      </w: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分、资金管理</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分、项目产出</w:t>
      </w:r>
      <w:r>
        <w:rPr>
          <w:rFonts w:ascii="仿宋_GB2312" w:eastAsia="仿宋_GB2312" w:hAnsi="仿宋_GB2312" w:cs="仿宋_GB2312" w:hint="eastAsia"/>
          <w:sz w:val="32"/>
          <w:szCs w:val="32"/>
        </w:rPr>
        <w:t xml:space="preserve"> 48</w:t>
      </w:r>
      <w:r>
        <w:rPr>
          <w:rFonts w:ascii="仿宋_GB2312" w:eastAsia="仿宋_GB2312" w:hAnsi="仿宋_GB2312" w:cs="仿宋_GB2312" w:hint="eastAsia"/>
          <w:sz w:val="32"/>
          <w:szCs w:val="32"/>
        </w:rPr>
        <w:t>分，项目效益</w:t>
      </w:r>
      <w:r>
        <w:rPr>
          <w:rFonts w:ascii="仿宋_GB2312" w:eastAsia="仿宋_GB2312" w:hAnsi="仿宋_GB2312" w:cs="仿宋_GB2312" w:hint="eastAsia"/>
          <w:sz w:val="32"/>
          <w:szCs w:val="32"/>
        </w:rPr>
        <w:t xml:space="preserve"> 20</w:t>
      </w:r>
      <w:r>
        <w:rPr>
          <w:rFonts w:ascii="仿宋_GB2312" w:eastAsia="仿宋_GB2312" w:hAnsi="仿宋_GB2312" w:cs="仿宋_GB2312" w:hint="eastAsia"/>
          <w:sz w:val="32"/>
          <w:szCs w:val="32"/>
        </w:rPr>
        <w:t>分。评价等级为优。</w:t>
      </w:r>
      <w:r>
        <w:rPr>
          <w:rFonts w:ascii="仿宋_GB2312" w:eastAsia="仿宋_GB2312" w:hAnsi="仿宋_GB2312" w:cs="仿宋_GB2312" w:hint="eastAsia"/>
          <w:sz w:val="32"/>
          <w:szCs w:val="32"/>
        </w:rPr>
        <w:t xml:space="preserve"> </w:t>
      </w:r>
    </w:p>
    <w:p w:rsidR="00412676" w:rsidRDefault="00A424E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（三）绩效评价工作开展情况</w:t>
      </w:r>
    </w:p>
    <w:p w:rsidR="00412676" w:rsidRDefault="00A424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做好谋划和前期准备。承德永兴会计师事务所有限责任公司抽调专人成立了绩效评价工作组，明确工作职责，了解相关政策和要求，制定现场评价方案，联系相关部门和单位，确定实施时间。</w:t>
      </w:r>
    </w:p>
    <w:p w:rsidR="00412676" w:rsidRDefault="00A424E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．实施情况。项目绩效评价实施步骤：（</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）听取项目单位负责人及财务人员情况介绍，了解资金使用取得的成效、存在的主要问题及建议等。（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）收集核查资料。对项目单位填报的基础数据及相关材料进行核查，核实</w:t>
      </w:r>
      <w:r>
        <w:rPr>
          <w:rFonts w:ascii="仿宋_GB2312" w:eastAsia="仿宋_GB2312" w:hAnsi="仿宋_GB2312" w:cs="仿宋_GB2312" w:hint="eastAsia"/>
          <w:sz w:val="32"/>
          <w:szCs w:val="32"/>
        </w:rPr>
        <w:t>相关制度是否完善，审批程序是否规范，资金使用是否合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、手续是否齐全，是否存在截留、挪用等情况。（</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）现场查看进行了现场评价，发放问卷调查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）形成评价报告。通过对相关资料的综合分析，按照确定的绩效评价指标，结合现场评价情况，得出评价结论，形成绩效评价报告。</w:t>
      </w:r>
    </w:p>
    <w:p w:rsidR="00412676" w:rsidRDefault="00A424E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三、综合评价结论</w:t>
      </w:r>
    </w:p>
    <w:p w:rsidR="00412676" w:rsidRDefault="00A424E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立项程序符合国家法律法规相关规定，资金管理能够坚持</w:t>
      </w:r>
      <w:r>
        <w:rPr>
          <w:rFonts w:ascii="仿宋_GB2312" w:eastAsia="仿宋_GB2312" w:hAnsi="仿宋_GB2312" w:cs="仿宋_GB2312" w:hint="eastAsia"/>
          <w:sz w:val="32"/>
          <w:szCs w:val="32"/>
        </w:rPr>
        <w:t>专款专用的原则，</w:t>
      </w:r>
      <w:r>
        <w:rPr>
          <w:rFonts w:ascii="仿宋_GB2312" w:eastAsia="仿宋_GB2312" w:hAnsi="仿宋_GB2312" w:cs="仿宋_GB2312" w:hint="eastAsia"/>
          <w:sz w:val="32"/>
          <w:szCs w:val="32"/>
        </w:rPr>
        <w:t>资金支出按照合同约定进行；项目管理井然有序，档案资料保存完整。从项目实施结果看，</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实施，一方面有效地推进我市环境监测工作向高标准、规范化的管理的步伐，为更好地执行环境保护法有关的法律法规、科学监控奠定基础，为环境质量评价提供依据；另一方面</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及时、精准的科学监控，促进了我市生活环境、生活质量的改变。项目实施以来</w:t>
      </w:r>
      <w:r>
        <w:rPr>
          <w:rFonts w:ascii="仿宋_GB2312" w:eastAsia="仿宋_GB2312" w:hAnsi="仿宋_GB2312" w:cs="仿宋_GB2312" w:hint="eastAsia"/>
          <w:sz w:val="32"/>
          <w:szCs w:val="32"/>
        </w:rPr>
        <w:t>取得了较好的社会效益</w:t>
      </w:r>
      <w:r>
        <w:rPr>
          <w:rFonts w:ascii="仿宋_GB2312" w:eastAsia="仿宋_GB2312" w:hAnsi="仿宋_GB2312" w:cs="仿宋_GB2312" w:hint="eastAsia"/>
          <w:sz w:val="32"/>
          <w:szCs w:val="32"/>
        </w:rPr>
        <w:t>，监测成果</w:t>
      </w:r>
      <w:r>
        <w:rPr>
          <w:rFonts w:ascii="仿宋_GB2312" w:eastAsia="仿宋_GB2312" w:hAnsi="仿宋_GB2312" w:cs="仿宋_GB2312" w:hint="eastAsia"/>
          <w:sz w:val="32"/>
          <w:szCs w:val="32"/>
        </w:rPr>
        <w:t>深受</w:t>
      </w:r>
      <w:r>
        <w:rPr>
          <w:rFonts w:ascii="仿宋_GB2312" w:eastAsia="仿宋_GB2312" w:hAnsi="仿宋_GB2312" w:cs="仿宋_GB2312" w:hint="eastAsia"/>
          <w:sz w:val="32"/>
          <w:szCs w:val="32"/>
        </w:rPr>
        <w:t>企事业单位的一致好评，</w:t>
      </w:r>
      <w:r>
        <w:rPr>
          <w:rFonts w:ascii="仿宋_GB2312" w:eastAsia="仿宋_GB2312" w:hAnsi="仿宋_GB2312" w:cs="仿宋_GB2312" w:hint="eastAsia"/>
          <w:sz w:val="32"/>
          <w:szCs w:val="32"/>
        </w:rPr>
        <w:t>专项资金发挥作用效益显著。</w:t>
      </w:r>
      <w:r>
        <w:rPr>
          <w:rFonts w:ascii="仿宋_GB2312" w:eastAsia="仿宋_GB2312" w:hAnsi="仿宋_GB2312" w:cs="仿宋_GB2312" w:hint="eastAsia"/>
          <w:sz w:val="32"/>
          <w:szCs w:val="32"/>
        </w:rPr>
        <w:t xml:space="preserve">  </w:t>
      </w:r>
    </w:p>
    <w:p w:rsidR="00412676" w:rsidRDefault="00A424E0">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四、绩效目标实现情况分析</w:t>
      </w:r>
    </w:p>
    <w:p w:rsidR="00412676" w:rsidRDefault="00A424E0">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w:t>
      </w:r>
      <w:r>
        <w:rPr>
          <w:rFonts w:ascii="仿宋_GB2312" w:eastAsia="仿宋_GB2312" w:hAnsi="仿宋_GB2312" w:cs="仿宋_GB2312" w:hint="eastAsia"/>
          <w:sz w:val="32"/>
          <w:szCs w:val="32"/>
        </w:rPr>
        <w:t>项目决策分析</w:t>
      </w:r>
    </w:p>
    <w:p w:rsidR="00412676" w:rsidRDefault="00A424E0">
      <w:pPr>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是根据</w:t>
      </w:r>
      <w:r>
        <w:rPr>
          <w:rFonts w:ascii="仿宋_GB2312" w:eastAsia="仿宋_GB2312" w:hAnsi="仿宋_GB2312" w:cs="仿宋_GB2312" w:hint="eastAsia"/>
          <w:sz w:val="32"/>
          <w:szCs w:val="32"/>
        </w:rPr>
        <w:t>《河北省环保机构监测监察执法垂直管理制度改革实施方案》（</w:t>
      </w:r>
      <w:proofErr w:type="gramStart"/>
      <w:r>
        <w:rPr>
          <w:rFonts w:ascii="仿宋_GB2312" w:eastAsia="仿宋_GB2312" w:hAnsi="仿宋_GB2312" w:cs="仿宋_GB2312" w:hint="eastAsia"/>
          <w:sz w:val="32"/>
          <w:szCs w:val="32"/>
        </w:rPr>
        <w:t>冀环办</w:t>
      </w:r>
      <w:proofErr w:type="gramEnd"/>
      <w:r>
        <w:rPr>
          <w:rFonts w:ascii="仿宋_GB2312" w:eastAsia="仿宋_GB2312" w:hint="eastAsia"/>
          <w:sz w:val="32"/>
          <w:szCs w:val="32"/>
        </w:rPr>
        <w:t>〔</w:t>
      </w:r>
      <w:r>
        <w:rPr>
          <w:rFonts w:ascii="仿宋_GB2312" w:eastAsia="仿宋_GB2312" w:hAnsi="仿宋_GB2312" w:cs="仿宋_GB2312" w:hint="eastAsia"/>
          <w:sz w:val="32"/>
          <w:szCs w:val="32"/>
        </w:rPr>
        <w:t>2016</w:t>
      </w:r>
      <w:r>
        <w:rPr>
          <w:rFonts w:ascii="仿宋_GB2312" w:eastAsia="仿宋_GB2312" w:hint="eastAsia"/>
          <w:sz w:val="32"/>
          <w:szCs w:val="32"/>
        </w:rPr>
        <w:t>〕</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的要求立项，依据</w:t>
      </w:r>
      <w:r>
        <w:rPr>
          <w:rFonts w:ascii="仿宋_GB2312" w:eastAsia="仿宋_GB2312" w:hAnsi="仿宋_GB2312" w:cs="仿宋_GB2312" w:hint="eastAsia"/>
          <w:sz w:val="32"/>
          <w:szCs w:val="32"/>
        </w:rPr>
        <w:t>《检验检测机构资质认定评审准则》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JGJ91-93</w:t>
      </w:r>
      <w:r>
        <w:rPr>
          <w:rFonts w:ascii="仿宋_GB2312" w:eastAsia="仿宋_GB2312" w:hAnsi="仿宋_GB2312" w:cs="仿宋_GB2312" w:hint="eastAsia"/>
          <w:sz w:val="32"/>
          <w:szCs w:val="32"/>
        </w:rPr>
        <w:t>《科学实验室建筑设计规范》、</w:t>
      </w:r>
      <w:r>
        <w:rPr>
          <w:rFonts w:ascii="仿宋_GB2312" w:eastAsia="仿宋_GB2312" w:hAnsi="仿宋_GB2312" w:cs="仿宋_GB2312" w:hint="eastAsia"/>
          <w:sz w:val="32"/>
          <w:szCs w:val="32"/>
        </w:rPr>
        <w:t>GB 20346-2004</w:t>
      </w:r>
      <w:r>
        <w:rPr>
          <w:rFonts w:ascii="仿宋_GB2312" w:eastAsia="仿宋_GB2312" w:hAnsi="仿宋_GB2312" w:cs="仿宋_GB2312" w:hint="eastAsia"/>
          <w:sz w:val="32"/>
          <w:szCs w:val="32"/>
        </w:rPr>
        <w:t>《实验室建筑技术规范》</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 xml:space="preserve">GB/T 32146-2015 </w:t>
      </w:r>
      <w:r>
        <w:rPr>
          <w:rFonts w:ascii="仿宋_GB2312" w:eastAsia="仿宋_GB2312" w:hAnsi="仿宋_GB2312" w:cs="仿宋_GB2312" w:hint="eastAsia"/>
          <w:sz w:val="32"/>
          <w:szCs w:val="32"/>
        </w:rPr>
        <w:t>《检验检测实验室设计与建设技术要求》</w:t>
      </w:r>
      <w:r>
        <w:rPr>
          <w:rFonts w:ascii="仿宋_GB2312" w:eastAsia="仿宋_GB2312" w:hAnsi="仿宋_GB2312" w:cs="仿宋_GB2312" w:hint="eastAsia"/>
          <w:sz w:val="32"/>
          <w:szCs w:val="32"/>
        </w:rPr>
        <w:t>组织实施，立项依据充分，建设方案切实可行，手续完整，档案保存完整。</w:t>
      </w:r>
    </w:p>
    <w:p w:rsidR="00412676" w:rsidRDefault="00A424E0">
      <w:pPr>
        <w:numPr>
          <w:ilvl w:val="0"/>
          <w:numId w:val="1"/>
        </w:numPr>
        <w:snapToGrid w:val="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项目</w:t>
      </w:r>
      <w:r>
        <w:rPr>
          <w:rFonts w:ascii="仿宋_GB2312" w:eastAsia="仿宋_GB2312" w:hAnsi="仿宋_GB2312" w:cs="仿宋_GB2312" w:hint="eastAsia"/>
          <w:b/>
          <w:bCs/>
          <w:sz w:val="32"/>
          <w:szCs w:val="32"/>
        </w:rPr>
        <w:t>资金</w:t>
      </w:r>
      <w:r>
        <w:rPr>
          <w:rFonts w:ascii="仿宋_GB2312" w:eastAsia="仿宋_GB2312" w:hAnsi="仿宋_GB2312" w:cs="仿宋_GB2312" w:hint="eastAsia"/>
          <w:b/>
          <w:bCs/>
          <w:sz w:val="32"/>
          <w:szCs w:val="32"/>
        </w:rPr>
        <w:t>管理</w:t>
      </w:r>
      <w:r>
        <w:rPr>
          <w:rFonts w:ascii="仿宋_GB2312" w:eastAsia="仿宋_GB2312" w:hAnsi="仿宋_GB2312" w:cs="仿宋_GB2312" w:hint="eastAsia"/>
          <w:b/>
          <w:bCs/>
          <w:sz w:val="32"/>
          <w:szCs w:val="32"/>
        </w:rPr>
        <w:t>分析</w:t>
      </w:r>
    </w:p>
    <w:p w:rsidR="00412676" w:rsidRDefault="00A424E0">
      <w:pPr>
        <w:snapToGrid w:val="0"/>
        <w:spacing w:line="360" w:lineRule="auto"/>
        <w:ind w:leftChars="200" w:left="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项目资金到位及执行情况分析</w:t>
      </w:r>
    </w:p>
    <w:p w:rsidR="00412676" w:rsidRDefault="00A424E0">
      <w:pPr>
        <w:tabs>
          <w:tab w:val="left" w:pos="6120"/>
        </w:tabs>
        <w:snapToGrid w:val="0"/>
        <w:spacing w:line="348" w:lineRule="auto"/>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承德市财政局下达</w:t>
      </w: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实验室迁建经费</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万元，实际到位资金</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万元，目前已支付</w:t>
      </w:r>
      <w:r>
        <w:rPr>
          <w:rFonts w:ascii="仿宋_GB2312" w:eastAsia="仿宋_GB2312" w:hAnsi="仿宋_GB2312" w:cs="仿宋_GB2312" w:hint="eastAsia"/>
          <w:sz w:val="32"/>
          <w:szCs w:val="32"/>
        </w:rPr>
        <w:t>328.5</w:t>
      </w:r>
      <w:r>
        <w:rPr>
          <w:rFonts w:ascii="仿宋_GB2312" w:eastAsia="仿宋_GB2312" w:hAnsi="仿宋_GB2312" w:cs="仿宋_GB2312" w:hint="eastAsia"/>
          <w:sz w:val="32"/>
          <w:szCs w:val="32"/>
        </w:rPr>
        <w:t>万元，预算执行率</w:t>
      </w:r>
      <w:r>
        <w:rPr>
          <w:rFonts w:ascii="仿宋_GB2312" w:eastAsia="仿宋_GB2312" w:hAnsi="仿宋_GB2312" w:cs="仿宋_GB2312" w:hint="eastAsia"/>
          <w:sz w:val="32"/>
          <w:szCs w:val="32"/>
        </w:rPr>
        <w:t>98.35%</w:t>
      </w:r>
      <w:r>
        <w:rPr>
          <w:rFonts w:ascii="仿宋_GB2312" w:eastAsia="仿宋_GB2312" w:hAnsi="仿宋_GB2312" w:cs="仿宋_GB2312" w:hint="eastAsia"/>
          <w:sz w:val="32"/>
          <w:szCs w:val="32"/>
        </w:rPr>
        <w:t>，扣留质保金</w:t>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万元，预算执行率较高。</w:t>
      </w:r>
    </w:p>
    <w:p w:rsidR="00412676" w:rsidRDefault="00A424E0">
      <w:pPr>
        <w:tabs>
          <w:tab w:val="left" w:pos="6120"/>
        </w:tabs>
        <w:snapToGrid w:val="0"/>
        <w:spacing w:line="348"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2.</w:t>
      </w:r>
      <w:r>
        <w:rPr>
          <w:rFonts w:ascii="仿宋_GB2312" w:eastAsia="仿宋_GB2312" w:hAnsi="仿宋_GB2312" w:cs="仿宋_GB2312" w:hint="eastAsia"/>
          <w:b/>
          <w:bCs/>
          <w:sz w:val="32"/>
          <w:szCs w:val="32"/>
        </w:rPr>
        <w:t>执行财务制度情况分析</w:t>
      </w:r>
    </w:p>
    <w:p w:rsidR="00412676" w:rsidRDefault="00A424E0">
      <w:pPr>
        <w:tabs>
          <w:tab w:val="left" w:pos="6120"/>
        </w:tabs>
        <w:snapToGrid w:val="0"/>
        <w:spacing w:line="348"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为了有效管好、用好实验室迁建经费，承德市环境监控中心从资金源头抓起，一是进一步完善财务管理制度，项目资金实行专项核算，资金管理部门</w:t>
      </w:r>
      <w:proofErr w:type="gramStart"/>
      <w:r>
        <w:rPr>
          <w:rFonts w:ascii="仿宋_GB2312" w:eastAsia="仿宋_GB2312" w:hAnsi="仿宋_GB2312" w:cs="仿宋_GB2312" w:hint="eastAsia"/>
          <w:sz w:val="32"/>
          <w:szCs w:val="32"/>
        </w:rPr>
        <w:t>本着不</w:t>
      </w:r>
      <w:proofErr w:type="gramEnd"/>
      <w:r>
        <w:rPr>
          <w:rFonts w:ascii="仿宋_GB2312" w:eastAsia="仿宋_GB2312" w:hAnsi="仿宋_GB2312" w:cs="仿宋_GB2312" w:hint="eastAsia"/>
          <w:sz w:val="32"/>
          <w:szCs w:val="32"/>
        </w:rPr>
        <w:t>符合规定票据不准入账的原则，严格遵守审批程序，恪守合同约定支付资金，会计资料完整，确保资金安全有效。</w:t>
      </w:r>
    </w:p>
    <w:p w:rsidR="00412676" w:rsidRDefault="00A424E0">
      <w:pPr>
        <w:spacing w:line="560" w:lineRule="exact"/>
        <w:ind w:firstLineChars="100" w:firstLine="321"/>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）产出指标完成情况分析</w:t>
      </w:r>
    </w:p>
    <w:p w:rsidR="00412676" w:rsidRDefault="00A424E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数据及时性分析</w:t>
      </w:r>
      <w:r>
        <w:rPr>
          <w:rFonts w:ascii="仿宋_GB2312" w:eastAsia="仿宋_GB2312" w:hAnsi="仿宋_GB2312" w:cs="仿宋_GB2312" w:hint="eastAsia"/>
          <w:b/>
          <w:bCs/>
          <w:sz w:val="32"/>
          <w:szCs w:val="32"/>
        </w:rPr>
        <w:t xml:space="preserve"> </w:t>
      </w:r>
    </w:p>
    <w:p w:rsidR="00412676" w:rsidRDefault="00A424E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实验室落成，</w:t>
      </w:r>
      <w:r>
        <w:rPr>
          <w:rFonts w:ascii="仿宋_GB2312" w:eastAsia="仿宋_GB2312" w:hAnsi="仿宋_GB2312" w:cs="仿宋_GB2312" w:hint="eastAsia"/>
          <w:sz w:val="32"/>
          <w:szCs w:val="32"/>
        </w:rPr>
        <w:t>布局</w:t>
      </w:r>
      <w:r>
        <w:rPr>
          <w:rFonts w:ascii="仿宋_GB2312" w:eastAsia="仿宋_GB2312" w:hAnsi="仿宋_GB2312" w:cs="仿宋_GB2312" w:hint="eastAsia"/>
          <w:sz w:val="32"/>
          <w:szCs w:val="32"/>
        </w:rPr>
        <w:t>合理</w:t>
      </w:r>
      <w:r>
        <w:rPr>
          <w:rFonts w:ascii="仿宋_GB2312" w:eastAsia="仿宋_GB2312" w:hAnsi="仿宋_GB2312" w:cs="仿宋_GB2312" w:hint="eastAsia"/>
          <w:sz w:val="32"/>
          <w:szCs w:val="32"/>
        </w:rPr>
        <w:t>，通风防尘、避震、温湿度控制等设施完备，</w:t>
      </w:r>
      <w:r>
        <w:rPr>
          <w:rFonts w:ascii="仿宋_GB2312" w:eastAsia="仿宋_GB2312" w:hAnsi="仿宋_GB2312" w:cs="仿宋_GB2312" w:hint="eastAsia"/>
          <w:sz w:val="32"/>
          <w:szCs w:val="32"/>
        </w:rPr>
        <w:t>极大地</w:t>
      </w:r>
      <w:r>
        <w:rPr>
          <w:rFonts w:ascii="仿宋_GB2312" w:eastAsia="仿宋_GB2312" w:hAnsi="仿宋_GB2312" w:cs="仿宋_GB2312" w:hint="eastAsia"/>
          <w:sz w:val="32"/>
          <w:szCs w:val="32"/>
        </w:rPr>
        <w:t>能够满足《检验检测机构资质认定能力评价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检验检测机构通用要求》（</w:t>
      </w:r>
      <w:r>
        <w:rPr>
          <w:rFonts w:ascii="仿宋_GB2312" w:eastAsia="仿宋_GB2312" w:hAnsi="仿宋_GB2312" w:cs="仿宋_GB2312" w:hint="eastAsia"/>
          <w:sz w:val="32"/>
          <w:szCs w:val="32"/>
        </w:rPr>
        <w:t>RB/T214-2017</w:t>
      </w:r>
      <w:r>
        <w:rPr>
          <w:rFonts w:ascii="仿宋_GB2312" w:eastAsia="仿宋_GB2312" w:hAnsi="仿宋_GB2312" w:cs="仿宋_GB2312" w:hint="eastAsia"/>
          <w:sz w:val="32"/>
          <w:szCs w:val="32"/>
        </w:rPr>
        <w:t>）和《检验检测机构资质认定生</w:t>
      </w:r>
      <w:r>
        <w:rPr>
          <w:rFonts w:ascii="仿宋_GB2312" w:eastAsia="仿宋_GB2312" w:hAnsi="仿宋_GB2312" w:cs="仿宋_GB2312" w:hint="eastAsia"/>
          <w:sz w:val="32"/>
          <w:szCs w:val="32"/>
        </w:rPr>
        <w:t>态环境监测机构评审补充要求》对于场地环境的要求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数据能</w:t>
      </w:r>
      <w:r>
        <w:rPr>
          <w:rFonts w:ascii="仿宋_GB2312" w:eastAsia="仿宋_GB2312" w:hAnsi="仿宋_GB2312" w:cs="仿宋_GB2312" w:hint="eastAsia"/>
          <w:sz w:val="32"/>
          <w:szCs w:val="32"/>
        </w:rPr>
        <w:lastRenderedPageBreak/>
        <w:t>够得到及时监控，从项目实施情况看，承德市环境监控中心认真履行环境监控职能，按照要求及时上报相关数据。</w:t>
      </w: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年上报常规水质监测数据</w:t>
      </w:r>
      <w:r>
        <w:rPr>
          <w:rFonts w:ascii="仿宋_GB2312" w:eastAsia="仿宋_GB2312" w:hAnsi="仿宋_GB2312" w:cs="仿宋_GB2312" w:hint="eastAsia"/>
          <w:sz w:val="32"/>
          <w:szCs w:val="32"/>
        </w:rPr>
        <w:t>30000</w:t>
      </w:r>
      <w:r>
        <w:rPr>
          <w:rFonts w:ascii="仿宋_GB2312" w:eastAsia="仿宋_GB2312" w:hAnsi="仿宋_GB2312" w:cs="仿宋_GB2312" w:hint="eastAsia"/>
          <w:sz w:val="32"/>
          <w:szCs w:val="32"/>
        </w:rPr>
        <w:t>余个，水质预警监测数据</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多个，全年接收样品</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余个，发放</w:t>
      </w:r>
      <w:r>
        <w:rPr>
          <w:rFonts w:ascii="仿宋_GB2312" w:eastAsia="仿宋_GB2312" w:hAnsi="仿宋_GB2312" w:cs="仿宋_GB2312" w:hint="eastAsia"/>
          <w:sz w:val="32"/>
          <w:szCs w:val="32"/>
        </w:rPr>
        <w:t>166</w:t>
      </w:r>
      <w:r>
        <w:rPr>
          <w:rFonts w:ascii="仿宋_GB2312" w:eastAsia="仿宋_GB2312" w:hAnsi="仿宋_GB2312" w:cs="仿宋_GB2312" w:hint="eastAsia"/>
          <w:sz w:val="32"/>
          <w:szCs w:val="32"/>
        </w:rPr>
        <w:t>只标准样品，审核质控数据</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余个。</w:t>
      </w:r>
    </w:p>
    <w:p w:rsidR="00412676" w:rsidRDefault="00A424E0">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数据准确性分析</w:t>
      </w:r>
    </w:p>
    <w:p w:rsidR="00412676" w:rsidRDefault="00A424E0">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实验室迁建项目的实施，能够</w:t>
      </w:r>
      <w:r>
        <w:rPr>
          <w:rFonts w:ascii="仿宋_GB2312" w:eastAsia="仿宋_GB2312" w:hAnsi="仿宋_GB2312" w:cs="仿宋_GB2312" w:hint="eastAsia"/>
          <w:sz w:val="32"/>
          <w:szCs w:val="32"/>
        </w:rPr>
        <w:t>按月完成辖区内</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家污水处理</w:t>
      </w:r>
      <w:proofErr w:type="gramStart"/>
      <w:r>
        <w:rPr>
          <w:rFonts w:ascii="仿宋_GB2312" w:eastAsia="仿宋_GB2312" w:hAnsi="仿宋_GB2312" w:cs="仿宋_GB2312" w:hint="eastAsia"/>
          <w:sz w:val="32"/>
          <w:szCs w:val="32"/>
        </w:rPr>
        <w:t>厂监督</w:t>
      </w:r>
      <w:proofErr w:type="gramEnd"/>
      <w:r>
        <w:rPr>
          <w:rFonts w:ascii="仿宋_GB2312" w:eastAsia="仿宋_GB2312" w:hAnsi="仿宋_GB2312" w:cs="仿宋_GB2312" w:hint="eastAsia"/>
          <w:sz w:val="32"/>
          <w:szCs w:val="32"/>
        </w:rPr>
        <w:t>性监测及预警加密监测；完成</w:t>
      </w:r>
      <w:proofErr w:type="gramStart"/>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家国省控</w:t>
      </w:r>
      <w:proofErr w:type="gramEnd"/>
      <w:r>
        <w:rPr>
          <w:rFonts w:ascii="仿宋_GB2312" w:eastAsia="仿宋_GB2312" w:hAnsi="仿宋_GB2312" w:cs="仿宋_GB2312" w:hint="eastAsia"/>
          <w:sz w:val="32"/>
          <w:szCs w:val="32"/>
        </w:rPr>
        <w:t>废气重点监控企业、</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家涉重金属企业污染物排放监督监测</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家重点排污单位在线监控系统比对</w:t>
      </w:r>
      <w:r>
        <w:rPr>
          <w:rFonts w:ascii="仿宋_GB2312" w:eastAsia="仿宋_GB2312" w:hAnsi="仿宋_GB2312" w:cs="仿宋_GB2312" w:hint="eastAsia"/>
          <w:sz w:val="32"/>
          <w:szCs w:val="32"/>
        </w:rPr>
        <w:t>监测。</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年共接收</w:t>
      </w:r>
      <w:r>
        <w:rPr>
          <w:rFonts w:ascii="仿宋_GB2312" w:eastAsia="仿宋_GB2312" w:hAnsi="仿宋_GB2312" w:cs="仿宋_GB2312" w:hint="eastAsia"/>
          <w:sz w:val="32"/>
          <w:szCs w:val="32"/>
        </w:rPr>
        <w:t>274</w:t>
      </w:r>
      <w:r>
        <w:rPr>
          <w:rFonts w:ascii="仿宋_GB2312" w:eastAsia="仿宋_GB2312" w:hAnsi="仿宋_GB2312" w:cs="仿宋_GB2312" w:hint="eastAsia"/>
          <w:sz w:val="32"/>
          <w:szCs w:val="32"/>
        </w:rPr>
        <w:t>个外协执法监测任务，出具</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多份外协检测报告。</w:t>
      </w:r>
      <w:r w:rsidR="00601CF2">
        <w:rPr>
          <w:rFonts w:ascii="仿宋_GB2312" w:eastAsia="仿宋_GB2312" w:hAnsi="仿宋_GB2312" w:cs="仿宋_GB2312" w:hint="eastAsia"/>
          <w:sz w:val="32"/>
          <w:szCs w:val="32"/>
        </w:rPr>
        <w:t>检测报告质量符合国家相关规定，截至</w:t>
      </w:r>
      <w:r>
        <w:rPr>
          <w:rFonts w:ascii="仿宋_GB2312" w:eastAsia="仿宋_GB2312" w:hAnsi="仿宋_GB2312" w:cs="仿宋_GB2312" w:hint="eastAsia"/>
          <w:sz w:val="32"/>
          <w:szCs w:val="32"/>
        </w:rPr>
        <w:t>目前检测数据结果未出现重大失误。</w:t>
      </w:r>
    </w:p>
    <w:p w:rsidR="00412676" w:rsidRDefault="00A424E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效益指标完成情况分析</w:t>
      </w:r>
    </w:p>
    <w:p w:rsidR="00412676" w:rsidRDefault="00A424E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项目实施的社会效益分析</w:t>
      </w:r>
    </w:p>
    <w:p w:rsidR="00412676" w:rsidRDefault="00A424E0">
      <w:pPr>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sz w:val="32"/>
          <w:szCs w:val="32"/>
        </w:rPr>
        <w:t>的实施，大大提升我市环境监控能力，按月完成</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个常规地表水监测断面进行监测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个市级地表水生态补偿跨界断面监测</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个地表水断面监测数据进行统计分析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按照河北省监测工作计划要求按时上报监测数据；每月</w:t>
      </w:r>
      <w:r>
        <w:rPr>
          <w:rFonts w:ascii="仿宋_GB2312" w:eastAsia="仿宋_GB2312" w:hAnsi="仿宋_GB2312" w:cs="仿宋_GB2312" w:hint="eastAsia"/>
          <w:sz w:val="32"/>
          <w:szCs w:val="32"/>
        </w:rPr>
        <w:t>完成</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个地表水监测点位、</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个地下水监测点位的国家重点生态功能区县</w:t>
      </w:r>
      <w:proofErr w:type="gramStart"/>
      <w:r>
        <w:rPr>
          <w:rFonts w:ascii="仿宋_GB2312" w:eastAsia="仿宋_GB2312" w:hAnsi="仿宋_GB2312" w:cs="仿宋_GB2312" w:hint="eastAsia"/>
          <w:sz w:val="32"/>
          <w:szCs w:val="32"/>
        </w:rPr>
        <w:t>域考核</w:t>
      </w:r>
      <w:proofErr w:type="gramEnd"/>
      <w:r>
        <w:rPr>
          <w:rFonts w:ascii="仿宋_GB2312" w:eastAsia="仿宋_GB2312" w:hAnsi="仿宋_GB2312" w:cs="仿宋_GB2312" w:hint="eastAsia"/>
          <w:sz w:val="32"/>
          <w:szCs w:val="32"/>
        </w:rPr>
        <w:t>监测工作任务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为更好发挥自身优势，拓宽环境监控工作向广域延伸，积极</w:t>
      </w:r>
      <w:r>
        <w:rPr>
          <w:rFonts w:ascii="仿宋_GB2312" w:eastAsia="仿宋_GB2312" w:hAnsi="仿宋_GB2312" w:cs="仿宋_GB2312" w:hint="eastAsia"/>
          <w:sz w:val="32"/>
          <w:szCs w:val="32"/>
        </w:rPr>
        <w:t>开展县级监控中心整合实施工作。通过整合以后，实现监测资源共享，在重大监测业务上形成合力，快</w:t>
      </w:r>
      <w:bookmarkStart w:id="1" w:name="_GoBack"/>
      <w:bookmarkEnd w:id="1"/>
      <w:r>
        <w:rPr>
          <w:rFonts w:ascii="仿宋_GB2312" w:eastAsia="仿宋_GB2312" w:hAnsi="仿宋_GB2312" w:cs="仿宋_GB2312" w:hint="eastAsia"/>
          <w:sz w:val="32"/>
          <w:szCs w:val="32"/>
        </w:rPr>
        <w:t>速反应，在全市环境管理和污染防治体系中，起到“顶梁柱”的作用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促进了社会健康和谐发展。</w:t>
      </w:r>
    </w:p>
    <w:p w:rsidR="00412676" w:rsidRDefault="00A424E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项目实施的可持续影响分析</w:t>
      </w:r>
    </w:p>
    <w:p w:rsidR="00412676" w:rsidRDefault="00A424E0">
      <w:pPr>
        <w:pStyle w:val="a7"/>
        <w:widowControl/>
        <w:spacing w:beforeAutospacing="0" w:afterAutospacing="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kern w:val="2"/>
          <w:sz w:val="32"/>
          <w:szCs w:val="32"/>
        </w:rPr>
        <w:t>人们的活动影响了自然环境，所以自然环境也反作用于人类。为了追求更健康的生存环境，人们通过掌握污染的趋势与变化规律，建立防范模式及预警、预报模式。通过采集的标志性数</w:t>
      </w:r>
      <w:r>
        <w:rPr>
          <w:rFonts w:ascii="仿宋_GB2312" w:eastAsia="仿宋_GB2312" w:hAnsi="仿宋_GB2312" w:cs="仿宋_GB2312" w:hint="eastAsia"/>
          <w:kern w:val="2"/>
          <w:sz w:val="32"/>
          <w:szCs w:val="32"/>
        </w:rPr>
        <w:t>值来评定环境质量，并提出控制环境污染的相关对策，一切举措的实现，首要条件拥有高标准化实验室。所以迁建实验室项目实施，为人类社会生存环境提供科学保障，可持续发展，不可取代。</w:t>
      </w:r>
    </w:p>
    <w:p w:rsidR="00412676" w:rsidRDefault="00A424E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满意度指标完成情况分析</w:t>
      </w:r>
    </w:p>
    <w:p w:rsidR="00412676" w:rsidRDefault="00A424E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从调查问卷情况看，</w:t>
      </w:r>
      <w:r>
        <w:rPr>
          <w:rFonts w:ascii="仿宋_GB2312" w:eastAsia="仿宋_GB2312" w:hAnsi="仿宋_GB2312" w:cs="仿宋_GB2312" w:hint="eastAsia"/>
          <w:sz w:val="32"/>
          <w:szCs w:val="32"/>
        </w:rPr>
        <w:t>承德市环境监控中心</w:t>
      </w:r>
      <w:r>
        <w:rPr>
          <w:rFonts w:ascii="仿宋_GB2312" w:eastAsia="仿宋_GB2312" w:hAnsi="仿宋_GB2312" w:cs="仿宋_GB2312" w:hint="eastAsia"/>
          <w:sz w:val="32"/>
          <w:szCs w:val="32"/>
        </w:rPr>
        <w:t>实验室安全性非常</w:t>
      </w:r>
      <w:proofErr w:type="gramStart"/>
      <w:r>
        <w:rPr>
          <w:rFonts w:ascii="仿宋_GB2312" w:eastAsia="仿宋_GB2312" w:hAnsi="仿宋_GB2312" w:cs="仿宋_GB2312" w:hint="eastAsia"/>
          <w:sz w:val="32"/>
          <w:szCs w:val="32"/>
        </w:rPr>
        <w:t>满意占</w:t>
      </w:r>
      <w:proofErr w:type="gramEnd"/>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承德市环境监控中心</w:t>
      </w:r>
      <w:r>
        <w:rPr>
          <w:rFonts w:ascii="仿宋_GB2312" w:eastAsia="仿宋_GB2312" w:hAnsi="仿宋_GB2312" w:cs="仿宋_GB2312" w:hint="eastAsia"/>
          <w:sz w:val="32"/>
          <w:szCs w:val="32"/>
        </w:rPr>
        <w:t>实验室环保能力非常</w:t>
      </w:r>
      <w:proofErr w:type="gramStart"/>
      <w:r>
        <w:rPr>
          <w:rFonts w:ascii="仿宋_GB2312" w:eastAsia="仿宋_GB2312" w:hAnsi="仿宋_GB2312" w:cs="仿宋_GB2312" w:hint="eastAsia"/>
          <w:sz w:val="32"/>
          <w:szCs w:val="32"/>
        </w:rPr>
        <w:t>满意占</w:t>
      </w:r>
      <w:proofErr w:type="gramEnd"/>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承德市环境监控中心</w:t>
      </w:r>
      <w:r>
        <w:rPr>
          <w:rFonts w:ascii="仿宋_GB2312" w:eastAsia="仿宋_GB2312" w:hAnsi="仿宋_GB2312" w:cs="仿宋_GB2312" w:hint="eastAsia"/>
          <w:sz w:val="32"/>
          <w:szCs w:val="32"/>
        </w:rPr>
        <w:t>监测能力非常</w:t>
      </w:r>
      <w:proofErr w:type="gramStart"/>
      <w:r>
        <w:rPr>
          <w:rFonts w:ascii="仿宋_GB2312" w:eastAsia="仿宋_GB2312" w:hAnsi="仿宋_GB2312" w:cs="仿宋_GB2312" w:hint="eastAsia"/>
          <w:sz w:val="32"/>
          <w:szCs w:val="32"/>
        </w:rPr>
        <w:t>满意占</w:t>
      </w:r>
      <w:proofErr w:type="gramEnd"/>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。综合满意指标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412676" w:rsidRDefault="00A424E0">
      <w:pPr>
        <w:numPr>
          <w:ilvl w:val="0"/>
          <w:numId w:val="2"/>
        </w:num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绩效评价</w:t>
      </w:r>
      <w:r>
        <w:rPr>
          <w:rFonts w:ascii="仿宋_GB2312" w:eastAsia="仿宋_GB2312" w:hAnsi="仿宋_GB2312" w:cs="仿宋_GB2312" w:hint="eastAsia"/>
          <w:b/>
          <w:sz w:val="32"/>
          <w:szCs w:val="32"/>
        </w:rPr>
        <w:t>发现的</w:t>
      </w:r>
      <w:r>
        <w:rPr>
          <w:rFonts w:ascii="仿宋_GB2312" w:eastAsia="仿宋_GB2312" w:hAnsi="仿宋_GB2312" w:cs="仿宋_GB2312" w:hint="eastAsia"/>
          <w:b/>
          <w:sz w:val="32"/>
          <w:szCs w:val="32"/>
        </w:rPr>
        <w:t>问题</w:t>
      </w:r>
      <w:r>
        <w:rPr>
          <w:rFonts w:ascii="仿宋_GB2312" w:eastAsia="仿宋_GB2312" w:hAnsi="仿宋_GB2312" w:cs="仿宋_GB2312" w:hint="eastAsia"/>
          <w:b/>
          <w:sz w:val="32"/>
          <w:szCs w:val="32"/>
        </w:rPr>
        <w:t>及整改措施</w:t>
      </w:r>
    </w:p>
    <w:p w:rsidR="00412676" w:rsidRDefault="00A424E0">
      <w:pPr>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年实验室迁建项目资金的使用和管理取得一定成效的同时，存在使用资金不规范的问题，表现在购置实验室家具中，含有一部分行政办公所需桌椅支出，该单位计划按相关法规规定进行账务处理。</w:t>
      </w:r>
    </w:p>
    <w:p w:rsidR="00412676" w:rsidRDefault="00A424E0">
      <w:pPr>
        <w:numPr>
          <w:ilvl w:val="0"/>
          <w:numId w:val="2"/>
        </w:num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绩效评价建议</w:t>
      </w:r>
    </w:p>
    <w:p w:rsidR="00412676" w:rsidRDefault="00A424E0">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今后要进一步规范财政专项资金支出行为，严守法规，确保财政资金安全有效。</w:t>
      </w:r>
    </w:p>
    <w:p w:rsidR="00412676" w:rsidRDefault="00412676">
      <w:pPr>
        <w:spacing w:line="560" w:lineRule="exact"/>
        <w:rPr>
          <w:rFonts w:ascii="仿宋_GB2312" w:eastAsia="仿宋_GB2312" w:hAnsi="仿宋_GB2312" w:cs="仿宋_GB2312"/>
          <w:sz w:val="32"/>
          <w:szCs w:val="32"/>
        </w:rPr>
      </w:pPr>
    </w:p>
    <w:p w:rsidR="00412676" w:rsidRDefault="00A424E0">
      <w:pPr>
        <w:rPr>
          <w:rFonts w:ascii="仿宋_GB2312" w:eastAsia="仿宋_GB2312" w:hAnsi="仿宋_GB2312" w:cs="仿宋_GB2312"/>
          <w:bCs/>
          <w:color w:val="000000"/>
          <w:w w:val="90"/>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承德市环境</w:t>
      </w:r>
      <w:r>
        <w:rPr>
          <w:rFonts w:ascii="仿宋_GB2312" w:eastAsia="仿宋_GB2312" w:hAnsi="仿宋_GB2312" w:cs="仿宋_GB2312" w:hint="eastAsia"/>
          <w:sz w:val="32"/>
          <w:szCs w:val="32"/>
        </w:rPr>
        <w:t>监控中心</w:t>
      </w:r>
      <w:r>
        <w:rPr>
          <w:rFonts w:ascii="仿宋_GB2312" w:eastAsia="仿宋_GB2312" w:hAnsi="仿宋_GB2312" w:cs="仿宋_GB2312" w:hint="eastAsia"/>
          <w:sz w:val="32"/>
          <w:szCs w:val="32"/>
        </w:rPr>
        <w:t>实验室</w:t>
      </w:r>
      <w:r>
        <w:rPr>
          <w:rFonts w:ascii="仿宋_GB2312" w:eastAsia="仿宋_GB2312" w:hAnsi="仿宋_GB2312" w:cs="仿宋_GB2312" w:hint="eastAsia"/>
          <w:sz w:val="32"/>
          <w:szCs w:val="32"/>
        </w:rPr>
        <w:t>迁建项目</w:t>
      </w:r>
      <w:r>
        <w:rPr>
          <w:rFonts w:ascii="仿宋_GB2312" w:eastAsia="仿宋_GB2312" w:hAnsi="仿宋_GB2312" w:cs="仿宋_GB2312" w:hint="eastAsia"/>
          <w:bCs/>
          <w:color w:val="000000"/>
          <w:w w:val="90"/>
          <w:kern w:val="0"/>
          <w:sz w:val="32"/>
          <w:szCs w:val="32"/>
        </w:rPr>
        <w:t>绩效评价指标评分表</w:t>
      </w:r>
    </w:p>
    <w:p w:rsidR="00412676" w:rsidRDefault="00412676">
      <w:pPr>
        <w:spacing w:line="560" w:lineRule="exact"/>
        <w:rPr>
          <w:rFonts w:ascii="仿宋_GB2312" w:eastAsia="仿宋_GB2312" w:hAnsi="仿宋_GB2312" w:cs="仿宋_GB2312"/>
          <w:sz w:val="32"/>
          <w:szCs w:val="32"/>
        </w:rPr>
      </w:pPr>
    </w:p>
    <w:p w:rsidR="00412676" w:rsidRDefault="00412676">
      <w:pPr>
        <w:spacing w:line="560" w:lineRule="exact"/>
        <w:rPr>
          <w:rFonts w:ascii="仿宋_GB2312" w:eastAsia="仿宋_GB2312" w:hAnsi="仿宋_GB2312" w:cs="仿宋_GB2312"/>
          <w:sz w:val="32"/>
          <w:szCs w:val="32"/>
        </w:rPr>
      </w:pPr>
    </w:p>
    <w:p w:rsidR="00412676" w:rsidRDefault="00A424E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承德市生态环境局</w:t>
      </w:r>
    </w:p>
    <w:p w:rsidR="00412676" w:rsidRDefault="00A424E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412676" w:rsidRDefault="00412676">
      <w:pPr>
        <w:pStyle w:val="21"/>
        <w:tabs>
          <w:tab w:val="left" w:pos="6300"/>
        </w:tabs>
        <w:spacing w:line="400" w:lineRule="exact"/>
        <w:ind w:firstLine="640"/>
        <w:rPr>
          <w:rFonts w:ascii="仿宋_GB2312" w:eastAsia="仿宋_GB2312" w:hAnsi="楷体"/>
          <w:sz w:val="32"/>
          <w:szCs w:val="32"/>
        </w:rPr>
      </w:pPr>
    </w:p>
    <w:p w:rsidR="00412676" w:rsidRDefault="00412676">
      <w:pPr>
        <w:pStyle w:val="21"/>
        <w:tabs>
          <w:tab w:val="left" w:pos="6300"/>
        </w:tabs>
        <w:spacing w:line="400" w:lineRule="exact"/>
        <w:ind w:firstLine="640"/>
        <w:rPr>
          <w:rFonts w:ascii="仿宋_GB2312" w:eastAsia="仿宋_GB2312" w:hAnsi="楷体"/>
          <w:sz w:val="32"/>
          <w:szCs w:val="32"/>
        </w:rPr>
      </w:pPr>
    </w:p>
    <w:p w:rsidR="00412676" w:rsidRDefault="00412676">
      <w:pPr>
        <w:pStyle w:val="21"/>
        <w:tabs>
          <w:tab w:val="left" w:pos="6300"/>
        </w:tabs>
        <w:spacing w:line="400" w:lineRule="exact"/>
        <w:ind w:firstLineChars="300" w:firstLine="960"/>
        <w:rPr>
          <w:rFonts w:ascii="仿宋_GB2312" w:eastAsia="仿宋_GB2312" w:hAnsi="楷体"/>
          <w:sz w:val="32"/>
          <w:szCs w:val="32"/>
        </w:rPr>
      </w:pPr>
    </w:p>
    <w:p w:rsidR="00412676" w:rsidRDefault="00412676">
      <w:pPr>
        <w:pStyle w:val="21"/>
        <w:tabs>
          <w:tab w:val="left" w:pos="6300"/>
        </w:tabs>
        <w:spacing w:line="400" w:lineRule="exact"/>
        <w:ind w:firstLineChars="300" w:firstLine="960"/>
        <w:rPr>
          <w:rFonts w:ascii="仿宋_GB2312" w:eastAsia="仿宋_GB2312" w:hAnsi="楷体"/>
          <w:sz w:val="32"/>
          <w:szCs w:val="32"/>
        </w:rPr>
      </w:pPr>
    </w:p>
    <w:p w:rsidR="00412676" w:rsidRDefault="00412676">
      <w:pPr>
        <w:pStyle w:val="21"/>
        <w:tabs>
          <w:tab w:val="left" w:pos="6300"/>
        </w:tabs>
        <w:spacing w:line="400" w:lineRule="exact"/>
        <w:ind w:firstLineChars="300" w:firstLine="960"/>
        <w:rPr>
          <w:rFonts w:ascii="仿宋_GB2312" w:eastAsia="仿宋_GB2312" w:hAnsi="楷体"/>
          <w:sz w:val="32"/>
          <w:szCs w:val="32"/>
        </w:rPr>
      </w:pPr>
    </w:p>
    <w:p w:rsidR="00412676" w:rsidRDefault="00412676">
      <w:pPr>
        <w:rPr>
          <w:rFonts w:ascii="方正小标宋简体" w:eastAsia="方正小标宋简体" w:hAnsi="宋体" w:cs="宋体"/>
          <w:bCs/>
          <w:color w:val="000000"/>
          <w:w w:val="90"/>
          <w:kern w:val="0"/>
          <w:sz w:val="32"/>
          <w:szCs w:val="32"/>
        </w:rPr>
      </w:pPr>
    </w:p>
    <w:p w:rsidR="00412676" w:rsidRDefault="00A424E0">
      <w:pPr>
        <w:rPr>
          <w:rFonts w:ascii="方正小标宋简体" w:eastAsia="方正小标宋简体" w:hAnsi="宋体" w:cs="宋体"/>
          <w:bCs/>
          <w:color w:val="000000"/>
          <w:w w:val="90"/>
          <w:kern w:val="0"/>
          <w:sz w:val="32"/>
          <w:szCs w:val="32"/>
        </w:rPr>
      </w:pPr>
      <w:r>
        <w:rPr>
          <w:rFonts w:ascii="方正小标宋简体" w:eastAsia="方正小标宋简体" w:hAnsi="宋体" w:cs="宋体" w:hint="eastAsia"/>
          <w:bCs/>
          <w:color w:val="000000"/>
          <w:w w:val="90"/>
          <w:kern w:val="0"/>
          <w:sz w:val="32"/>
          <w:szCs w:val="32"/>
        </w:rPr>
        <w:t>附件</w:t>
      </w:r>
    </w:p>
    <w:p w:rsidR="00412676" w:rsidRDefault="00A424E0">
      <w:pPr>
        <w:jc w:val="center"/>
        <w:rPr>
          <w:rFonts w:ascii="黑体" w:eastAsia="黑体" w:hAnsi="黑体" w:cs="黑体"/>
          <w:bCs/>
          <w:color w:val="000000"/>
          <w:w w:val="90"/>
          <w:kern w:val="0"/>
          <w:sz w:val="32"/>
          <w:szCs w:val="32"/>
        </w:rPr>
      </w:pPr>
      <w:r>
        <w:rPr>
          <w:rFonts w:ascii="黑体" w:eastAsia="黑体" w:hAnsi="黑体" w:cs="黑体" w:hint="eastAsia"/>
          <w:bCs/>
          <w:color w:val="000000"/>
          <w:w w:val="90"/>
          <w:kern w:val="0"/>
          <w:sz w:val="32"/>
          <w:szCs w:val="32"/>
        </w:rPr>
        <w:t>承德市环境监控中心实验室迁建经费</w:t>
      </w:r>
      <w:r>
        <w:rPr>
          <w:rFonts w:ascii="黑体" w:eastAsia="黑体" w:hAnsi="黑体" w:cs="黑体" w:hint="eastAsia"/>
          <w:bCs/>
          <w:color w:val="000000"/>
          <w:w w:val="90"/>
          <w:kern w:val="0"/>
          <w:sz w:val="32"/>
          <w:szCs w:val="32"/>
        </w:rPr>
        <w:t>绩效评价指标评分表</w:t>
      </w:r>
    </w:p>
    <w:tbl>
      <w:tblPr>
        <w:tblW w:w="9240" w:type="dxa"/>
        <w:tblInd w:w="16" w:type="dxa"/>
        <w:tblLayout w:type="fixed"/>
        <w:tblLook w:val="04A0" w:firstRow="1" w:lastRow="0" w:firstColumn="1" w:lastColumn="0" w:noHBand="0" w:noVBand="1"/>
      </w:tblPr>
      <w:tblGrid>
        <w:gridCol w:w="801"/>
        <w:gridCol w:w="892"/>
        <w:gridCol w:w="846"/>
        <w:gridCol w:w="1961"/>
        <w:gridCol w:w="645"/>
        <w:gridCol w:w="3105"/>
        <w:gridCol w:w="990"/>
      </w:tblGrid>
      <w:tr w:rsidR="00412676">
        <w:trPr>
          <w:trHeight w:val="465"/>
          <w:tblHeader/>
        </w:trPr>
        <w:tc>
          <w:tcPr>
            <w:tcW w:w="801"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一级</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p>
        </w:tc>
        <w:tc>
          <w:tcPr>
            <w:tcW w:w="892"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二级</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p>
        </w:tc>
        <w:tc>
          <w:tcPr>
            <w:tcW w:w="846"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三级</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p>
        </w:tc>
        <w:tc>
          <w:tcPr>
            <w:tcW w:w="1961"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具体指标</w:t>
            </w:r>
          </w:p>
        </w:tc>
        <w:tc>
          <w:tcPr>
            <w:tcW w:w="645"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值</w:t>
            </w:r>
          </w:p>
        </w:tc>
        <w:tc>
          <w:tcPr>
            <w:tcW w:w="3105"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计分标准</w:t>
            </w:r>
          </w:p>
        </w:tc>
        <w:tc>
          <w:tcPr>
            <w:tcW w:w="990"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FF"/>
                <w:kern w:val="0"/>
                <w:sz w:val="18"/>
                <w:szCs w:val="18"/>
              </w:rPr>
            </w:pPr>
            <w:r>
              <w:rPr>
                <w:rFonts w:ascii="宋体" w:eastAsia="宋体" w:hAnsi="宋体" w:cs="宋体" w:hint="eastAsia"/>
                <w:kern w:val="0"/>
                <w:sz w:val="18"/>
                <w:szCs w:val="18"/>
              </w:rPr>
              <w:t>得分</w:t>
            </w:r>
          </w:p>
        </w:tc>
      </w:tr>
      <w:tr w:rsidR="00412676">
        <w:trPr>
          <w:trHeight w:val="780"/>
        </w:trPr>
        <w:tc>
          <w:tcPr>
            <w:tcW w:w="8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2676" w:rsidRDefault="00A424E0">
            <w:pPr>
              <w:widowControl/>
              <w:spacing w:line="280" w:lineRule="exact"/>
              <w:ind w:left="113" w:right="11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项目决策（</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分）</w:t>
            </w:r>
          </w:p>
        </w:tc>
        <w:tc>
          <w:tcPr>
            <w:tcW w:w="892" w:type="dxa"/>
            <w:vMerge w:val="restart"/>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w:t>
            </w:r>
          </w:p>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立项</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spacing w:val="-8"/>
                <w:w w:val="90"/>
                <w:kern w:val="0"/>
                <w:sz w:val="18"/>
                <w:szCs w:val="18"/>
              </w:rPr>
              <w:t>（</w:t>
            </w:r>
            <w:r>
              <w:rPr>
                <w:rFonts w:ascii="宋体" w:eastAsia="宋体" w:hAnsi="宋体" w:cs="宋体" w:hint="eastAsia"/>
                <w:color w:val="000000"/>
                <w:spacing w:val="-8"/>
                <w:w w:val="90"/>
                <w:kern w:val="0"/>
                <w:sz w:val="18"/>
                <w:szCs w:val="18"/>
              </w:rPr>
              <w:t>8</w:t>
            </w:r>
            <w:r>
              <w:rPr>
                <w:rFonts w:ascii="宋体" w:eastAsia="宋体" w:hAnsi="宋体" w:cs="宋体" w:hint="eastAsia"/>
                <w:color w:val="000000"/>
                <w:spacing w:val="-8"/>
                <w:w w:val="90"/>
                <w:kern w:val="0"/>
                <w:sz w:val="18"/>
                <w:szCs w:val="18"/>
              </w:rPr>
              <w:t>分）</w:t>
            </w:r>
          </w:p>
        </w:tc>
        <w:tc>
          <w:tcPr>
            <w:tcW w:w="846"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立项依据充分性</w:t>
            </w:r>
          </w:p>
        </w:tc>
        <w:tc>
          <w:tcPr>
            <w:tcW w:w="1961"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项目立项符合法律法规及相关政策以及部门职责</w:t>
            </w:r>
          </w:p>
        </w:tc>
        <w:tc>
          <w:tcPr>
            <w:tcW w:w="645"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3105"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立项依据充分</w:t>
            </w:r>
            <w:r>
              <w:rPr>
                <w:rFonts w:ascii="宋体" w:eastAsia="宋体" w:hAnsi="宋体" w:cs="宋体" w:hint="eastAsia"/>
                <w:color w:val="000000"/>
                <w:kern w:val="0"/>
                <w:sz w:val="18"/>
                <w:szCs w:val="18"/>
              </w:rPr>
              <w:t>，出具相关</w:t>
            </w:r>
            <w:r>
              <w:rPr>
                <w:rFonts w:ascii="宋体" w:eastAsia="宋体" w:hAnsi="宋体" w:cs="宋体" w:hint="eastAsia"/>
                <w:color w:val="000000"/>
                <w:kern w:val="0"/>
                <w:sz w:val="18"/>
                <w:szCs w:val="18"/>
              </w:rPr>
              <w:t>政策法规</w:t>
            </w:r>
            <w:r>
              <w:rPr>
                <w:rFonts w:ascii="宋体" w:eastAsia="宋体" w:hAnsi="宋体" w:cs="宋体" w:hint="eastAsia"/>
                <w:color w:val="000000"/>
                <w:kern w:val="0"/>
                <w:sz w:val="18"/>
                <w:szCs w:val="18"/>
              </w:rPr>
              <w:t>、内容完整的，计</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否则不得分。</w:t>
            </w:r>
          </w:p>
        </w:tc>
        <w:tc>
          <w:tcPr>
            <w:tcW w:w="990"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r>
      <w:tr w:rsidR="00412676">
        <w:trPr>
          <w:trHeight w:val="1465"/>
        </w:trPr>
        <w:tc>
          <w:tcPr>
            <w:tcW w:w="801" w:type="dxa"/>
            <w:vMerge/>
            <w:tcBorders>
              <w:top w:val="single" w:sz="4" w:space="0" w:color="auto"/>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top w:val="single" w:sz="4" w:space="0" w:color="auto"/>
              <w:left w:val="single" w:sz="4" w:space="0" w:color="auto"/>
              <w:right w:val="single" w:sz="4" w:space="0" w:color="auto"/>
            </w:tcBorders>
            <w:vAlign w:val="center"/>
          </w:tcPr>
          <w:p w:rsidR="00412676" w:rsidRDefault="00412676">
            <w:pPr>
              <w:widowControl/>
              <w:spacing w:line="300" w:lineRule="exact"/>
              <w:jc w:val="left"/>
              <w:rPr>
                <w:rFonts w:ascii="宋体" w:eastAsia="宋体" w:hAnsi="宋体" w:cs="宋体"/>
                <w:color w:val="000000"/>
                <w:kern w:val="0"/>
                <w:sz w:val="18"/>
                <w:szCs w:val="18"/>
              </w:rPr>
            </w:pPr>
          </w:p>
        </w:tc>
        <w:tc>
          <w:tcPr>
            <w:tcW w:w="846" w:type="dxa"/>
            <w:tcBorders>
              <w:top w:val="single" w:sz="4" w:space="0" w:color="auto"/>
              <w:left w:val="nil"/>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立项程序规范性</w:t>
            </w:r>
          </w:p>
        </w:tc>
        <w:tc>
          <w:tcPr>
            <w:tcW w:w="1961" w:type="dxa"/>
            <w:tcBorders>
              <w:top w:val="single" w:sz="4" w:space="0" w:color="auto"/>
              <w:left w:val="nil"/>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立项编制项目建议书和实施方案，</w:t>
            </w:r>
            <w:r>
              <w:rPr>
                <w:rFonts w:ascii="宋体" w:eastAsia="宋体" w:hAnsi="宋体" w:cs="宋体" w:hint="eastAsia"/>
                <w:color w:val="000000"/>
                <w:kern w:val="0"/>
                <w:sz w:val="18"/>
                <w:szCs w:val="18"/>
              </w:rPr>
              <w:t>目标明确；</w:t>
            </w:r>
            <w:r>
              <w:rPr>
                <w:rFonts w:ascii="宋体" w:eastAsia="宋体" w:hAnsi="宋体" w:cs="宋体" w:hint="eastAsia"/>
                <w:color w:val="000000"/>
                <w:kern w:val="0"/>
                <w:sz w:val="18"/>
                <w:szCs w:val="18"/>
              </w:rPr>
              <w:t>申报程序合</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w:t>
            </w:r>
          </w:p>
        </w:tc>
        <w:tc>
          <w:tcPr>
            <w:tcW w:w="645" w:type="dxa"/>
            <w:tcBorders>
              <w:top w:val="single" w:sz="4" w:space="0" w:color="auto"/>
              <w:left w:val="nil"/>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3105" w:type="dxa"/>
            <w:tcBorders>
              <w:top w:val="single" w:sz="4" w:space="0" w:color="auto"/>
              <w:left w:val="nil"/>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①</w:t>
            </w:r>
            <w:r>
              <w:rPr>
                <w:rFonts w:ascii="宋体" w:eastAsia="宋体" w:hAnsi="宋体" w:cs="宋体" w:hint="eastAsia"/>
                <w:color w:val="000000"/>
                <w:kern w:val="0"/>
                <w:sz w:val="18"/>
                <w:szCs w:val="18"/>
              </w:rPr>
              <w:t>检测实验室改造项目编制项目建议书计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②</w:t>
            </w:r>
            <w:r>
              <w:rPr>
                <w:rFonts w:ascii="宋体" w:eastAsia="宋体" w:hAnsi="宋体" w:cs="宋体" w:hint="eastAsia"/>
                <w:color w:val="000000"/>
                <w:kern w:val="0"/>
                <w:sz w:val="18"/>
                <w:szCs w:val="18"/>
              </w:rPr>
              <w:t>编制实施方案计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③目标</w:t>
            </w:r>
            <w:proofErr w:type="gramStart"/>
            <w:r>
              <w:rPr>
                <w:rFonts w:ascii="宋体" w:eastAsia="宋体" w:hAnsi="宋体" w:cs="宋体" w:hint="eastAsia"/>
                <w:color w:val="000000"/>
                <w:kern w:val="0"/>
                <w:sz w:val="18"/>
                <w:szCs w:val="18"/>
              </w:rPr>
              <w:t>明确计</w:t>
            </w:r>
            <w:proofErr w:type="gramEnd"/>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fldChar w:fldCharType="begin"/>
            </w:r>
            <w:r>
              <w:rPr>
                <w:rFonts w:ascii="宋体" w:eastAsia="宋体" w:hAnsi="宋体" w:cs="宋体" w:hint="eastAsia"/>
                <w:color w:val="000000"/>
                <w:kern w:val="0"/>
                <w:sz w:val="18"/>
                <w:szCs w:val="18"/>
              </w:rPr>
              <w:instrText xml:space="preserve"> = 4 \* GB3 \* MERGEFORMAT </w:instrText>
            </w:r>
            <w:r>
              <w:rPr>
                <w:rFonts w:ascii="宋体" w:eastAsia="宋体" w:hAnsi="宋体" w:cs="宋体" w:hint="eastAsia"/>
                <w:color w:val="000000"/>
                <w:kern w:val="0"/>
                <w:sz w:val="18"/>
                <w:szCs w:val="18"/>
              </w:rPr>
              <w:fldChar w:fldCharType="separate"/>
            </w:r>
            <w:r>
              <w:rPr>
                <w:rFonts w:ascii="宋体" w:eastAsia="宋体" w:hAnsi="宋体" w:cs="宋体" w:hint="eastAsia"/>
                <w:sz w:val="18"/>
                <w:szCs w:val="18"/>
              </w:rPr>
              <w:t>④</w:t>
            </w:r>
            <w:r>
              <w:rPr>
                <w:rFonts w:ascii="宋体" w:eastAsia="宋体" w:hAnsi="宋体" w:cs="宋体" w:hint="eastAsia"/>
                <w:color w:val="000000"/>
                <w:kern w:val="0"/>
                <w:sz w:val="18"/>
                <w:szCs w:val="18"/>
              </w:rPr>
              <w:fldChar w:fldCharType="end"/>
            </w:r>
            <w:r>
              <w:rPr>
                <w:rFonts w:ascii="宋体" w:eastAsia="宋体" w:hAnsi="宋体" w:cs="宋体" w:hint="eastAsia"/>
                <w:color w:val="000000"/>
                <w:kern w:val="0"/>
                <w:sz w:val="18"/>
                <w:szCs w:val="18"/>
              </w:rPr>
              <w:t>上报相关部门审批计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p>
        </w:tc>
        <w:tc>
          <w:tcPr>
            <w:tcW w:w="990"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r>
      <w:tr w:rsidR="00412676">
        <w:trPr>
          <w:trHeight w:val="1197"/>
        </w:trPr>
        <w:tc>
          <w:tcPr>
            <w:tcW w:w="801" w:type="dxa"/>
            <w:vMerge/>
            <w:tcBorders>
              <w:left w:val="single" w:sz="4" w:space="0" w:color="auto"/>
              <w:right w:val="single" w:sz="4" w:space="0" w:color="auto"/>
            </w:tcBorders>
            <w:vAlign w:val="center"/>
          </w:tcPr>
          <w:p w:rsidR="00412676" w:rsidRDefault="00A424E0">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333333</w:t>
            </w:r>
          </w:p>
        </w:tc>
        <w:tc>
          <w:tcPr>
            <w:tcW w:w="892" w:type="dxa"/>
            <w:vMerge/>
            <w:tcBorders>
              <w:left w:val="single" w:sz="4" w:space="0" w:color="auto"/>
              <w:bottom w:val="single" w:sz="4" w:space="0" w:color="auto"/>
              <w:right w:val="single" w:sz="4" w:space="0" w:color="auto"/>
            </w:tcBorders>
          </w:tcPr>
          <w:p w:rsidR="00412676" w:rsidRDefault="00A424E0">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绩效目标</w:t>
            </w:r>
            <w:r>
              <w:rPr>
                <w:rFonts w:ascii="宋体" w:eastAsia="宋体" w:hAnsi="宋体" w:cs="宋体" w:hint="eastAsia"/>
                <w:color w:val="000000"/>
                <w:spacing w:val="-8"/>
                <w:w w:val="90"/>
                <w:kern w:val="0"/>
                <w:sz w:val="18"/>
                <w:szCs w:val="18"/>
              </w:rPr>
              <w:t>（</w:t>
            </w:r>
            <w:r>
              <w:rPr>
                <w:rFonts w:ascii="宋体" w:eastAsia="宋体" w:hAnsi="宋体" w:cs="宋体" w:hint="eastAsia"/>
                <w:color w:val="000000"/>
                <w:spacing w:val="-8"/>
                <w:w w:val="90"/>
                <w:kern w:val="0"/>
                <w:sz w:val="18"/>
                <w:szCs w:val="18"/>
              </w:rPr>
              <w:t>2</w:t>
            </w:r>
            <w:r>
              <w:rPr>
                <w:rFonts w:ascii="宋体" w:eastAsia="宋体" w:hAnsi="宋体" w:cs="宋体" w:hint="eastAsia"/>
                <w:color w:val="000000"/>
                <w:spacing w:val="-8"/>
                <w:w w:val="90"/>
                <w:kern w:val="0"/>
                <w:sz w:val="18"/>
                <w:szCs w:val="18"/>
              </w:rPr>
              <w:t>分）</w:t>
            </w:r>
          </w:p>
        </w:tc>
        <w:tc>
          <w:tcPr>
            <w:tcW w:w="846" w:type="dxa"/>
            <w:tcBorders>
              <w:top w:val="single" w:sz="4" w:space="0" w:color="auto"/>
              <w:left w:val="single" w:sz="4" w:space="0" w:color="auto"/>
              <w:bottom w:val="single" w:sz="4" w:space="0" w:color="auto"/>
              <w:right w:val="single" w:sz="4" w:space="0" w:color="auto"/>
            </w:tcBorders>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绩效目标合理性及明确性</w:t>
            </w:r>
          </w:p>
        </w:tc>
        <w:tc>
          <w:tcPr>
            <w:tcW w:w="1961" w:type="dxa"/>
            <w:tcBorders>
              <w:top w:val="single" w:sz="4" w:space="0" w:color="auto"/>
              <w:left w:val="single" w:sz="4" w:space="0" w:color="auto"/>
              <w:bottom w:val="single" w:sz="4" w:space="0" w:color="auto"/>
              <w:right w:val="single" w:sz="4" w:space="0" w:color="auto"/>
            </w:tcBorders>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绩效目标符合实际，绩效指标清晰，细化。</w:t>
            </w:r>
          </w:p>
        </w:tc>
        <w:tc>
          <w:tcPr>
            <w:tcW w:w="645" w:type="dxa"/>
            <w:tcBorders>
              <w:top w:val="nil"/>
              <w:left w:val="nil"/>
              <w:bottom w:val="single" w:sz="4" w:space="0" w:color="auto"/>
              <w:right w:val="single" w:sz="4" w:space="0" w:color="auto"/>
            </w:tcBorders>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3105" w:type="dxa"/>
            <w:tcBorders>
              <w:top w:val="nil"/>
              <w:left w:val="nil"/>
              <w:bottom w:val="single" w:sz="4" w:space="0" w:color="auto"/>
              <w:right w:val="single" w:sz="4" w:space="0" w:color="auto"/>
            </w:tcBorders>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立项绩效目标明确与实施项目相符</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，绩效指标清晰、细化与立项目标相互应，计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hAnsi="宋体" w:cs="宋体" w:hint="eastAsia"/>
                <w:color w:val="000000"/>
                <w:kern w:val="0"/>
                <w:sz w:val="18"/>
                <w:szCs w:val="18"/>
              </w:rPr>
              <w:t>2</w:t>
            </w:r>
          </w:p>
        </w:tc>
      </w:tr>
      <w:tr w:rsidR="00412676">
        <w:trPr>
          <w:trHeight w:val="1355"/>
        </w:trPr>
        <w:tc>
          <w:tcPr>
            <w:tcW w:w="801" w:type="dxa"/>
            <w:vMerge/>
            <w:tcBorders>
              <w:left w:val="single" w:sz="4" w:space="0" w:color="auto"/>
              <w:right w:val="single" w:sz="4" w:space="0" w:color="auto"/>
            </w:tcBorders>
            <w:vAlign w:val="center"/>
          </w:tcPr>
          <w:p w:rsidR="00412676" w:rsidRDefault="00A424E0">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92" w:type="dxa"/>
            <w:tcBorders>
              <w:top w:val="nil"/>
              <w:left w:val="single" w:sz="4" w:space="0" w:color="auto"/>
              <w:bottom w:val="single" w:sz="4" w:space="0" w:color="auto"/>
              <w:right w:val="single" w:sz="4" w:space="0" w:color="auto"/>
            </w:tcBorders>
            <w:vAlign w:val="center"/>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资金预算编制（</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w:t>
            </w:r>
          </w:p>
        </w:tc>
        <w:tc>
          <w:tcPr>
            <w:tcW w:w="846" w:type="dxa"/>
            <w:tcBorders>
              <w:top w:val="single" w:sz="4" w:space="0" w:color="auto"/>
              <w:left w:val="single" w:sz="4" w:space="0" w:color="auto"/>
              <w:bottom w:val="single" w:sz="4" w:space="0" w:color="auto"/>
              <w:right w:val="single" w:sz="4" w:space="0" w:color="auto"/>
            </w:tcBorders>
            <w:vAlign w:val="center"/>
          </w:tcPr>
          <w:p w:rsidR="00412676" w:rsidRDefault="00A424E0">
            <w:pPr>
              <w:widowControl/>
              <w:spacing w:line="30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预算编制科学性</w:t>
            </w:r>
          </w:p>
        </w:tc>
        <w:tc>
          <w:tcPr>
            <w:tcW w:w="1961" w:type="dxa"/>
            <w:tcBorders>
              <w:top w:val="single" w:sz="4" w:space="0" w:color="auto"/>
              <w:left w:val="nil"/>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预算内容与项目内容相匹配。</w:t>
            </w:r>
          </w:p>
        </w:tc>
        <w:tc>
          <w:tcPr>
            <w:tcW w:w="645" w:type="dxa"/>
            <w:tcBorders>
              <w:top w:val="nil"/>
              <w:left w:val="nil"/>
              <w:bottom w:val="single" w:sz="4" w:space="0" w:color="auto"/>
              <w:right w:val="single" w:sz="4" w:space="0" w:color="auto"/>
            </w:tcBorders>
            <w:vAlign w:val="center"/>
          </w:tcPr>
          <w:p w:rsidR="00412676" w:rsidRDefault="00A424E0">
            <w:pPr>
              <w:widowControl/>
              <w:spacing w:line="30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3105" w:type="dxa"/>
            <w:tcBorders>
              <w:top w:val="nil"/>
              <w:left w:val="nil"/>
              <w:bottom w:val="single" w:sz="4" w:space="0" w:color="auto"/>
              <w:right w:val="single" w:sz="4" w:space="0" w:color="auto"/>
            </w:tcBorders>
            <w:vAlign w:val="center"/>
          </w:tcPr>
          <w:p w:rsidR="00412676" w:rsidRDefault="00A424E0">
            <w:pPr>
              <w:widowControl/>
              <w:spacing w:line="30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工程实施结果与预算编制内容相符计</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分，基本相符计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分，出入较大不计分。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412676">
        <w:trPr>
          <w:trHeight w:val="870"/>
        </w:trPr>
        <w:tc>
          <w:tcPr>
            <w:tcW w:w="801" w:type="dxa"/>
            <w:vMerge w:val="restart"/>
            <w:tcBorders>
              <w:top w:val="nil"/>
              <w:left w:val="single" w:sz="4" w:space="0" w:color="auto"/>
              <w:right w:val="single" w:sz="4" w:space="0" w:color="auto"/>
            </w:tcBorders>
            <w:textDirection w:val="tbRlV"/>
            <w:vAlign w:val="center"/>
          </w:tcPr>
          <w:p w:rsidR="00412676" w:rsidRDefault="00A424E0">
            <w:pPr>
              <w:widowControl/>
              <w:spacing w:line="280" w:lineRule="exact"/>
              <w:ind w:left="113" w:right="11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资金</w:t>
            </w:r>
            <w:r>
              <w:rPr>
                <w:rFonts w:ascii="宋体" w:eastAsia="宋体" w:hAnsi="宋体" w:cs="宋体" w:hint="eastAsia"/>
                <w:color w:val="000000"/>
                <w:kern w:val="0"/>
                <w:sz w:val="18"/>
                <w:szCs w:val="18"/>
              </w:rPr>
              <w:t>管理（</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分）</w:t>
            </w:r>
          </w:p>
        </w:tc>
        <w:tc>
          <w:tcPr>
            <w:tcW w:w="892" w:type="dxa"/>
            <w:vMerge w:val="restart"/>
            <w:tcBorders>
              <w:top w:val="nil"/>
              <w:left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资金</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spacing w:val="-8"/>
                <w:w w:val="90"/>
                <w:kern w:val="0"/>
                <w:sz w:val="18"/>
                <w:szCs w:val="18"/>
              </w:rPr>
              <w:t>（</w:t>
            </w:r>
            <w:r>
              <w:rPr>
                <w:rFonts w:ascii="宋体" w:eastAsia="宋体" w:hAnsi="宋体" w:cs="宋体" w:hint="eastAsia"/>
                <w:color w:val="000000"/>
                <w:spacing w:val="-8"/>
                <w:w w:val="90"/>
                <w:kern w:val="0"/>
                <w:sz w:val="18"/>
                <w:szCs w:val="18"/>
              </w:rPr>
              <w:t>20</w:t>
            </w:r>
            <w:r>
              <w:rPr>
                <w:rFonts w:ascii="宋体" w:eastAsia="宋体" w:hAnsi="宋体" w:cs="宋体" w:hint="eastAsia"/>
                <w:color w:val="000000"/>
                <w:spacing w:val="-8"/>
                <w:w w:val="90"/>
                <w:kern w:val="0"/>
                <w:sz w:val="18"/>
                <w:szCs w:val="18"/>
              </w:rPr>
              <w:t>分）</w:t>
            </w: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资金</w:t>
            </w:r>
          </w:p>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到位率</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实际到位资金与预算资金</w:t>
            </w:r>
            <w:proofErr w:type="gramStart"/>
            <w:r>
              <w:rPr>
                <w:rFonts w:ascii="宋体" w:eastAsia="宋体" w:hAnsi="宋体" w:cs="宋体" w:hint="eastAsia"/>
                <w:color w:val="000000"/>
                <w:kern w:val="0"/>
                <w:sz w:val="18"/>
                <w:szCs w:val="18"/>
              </w:rPr>
              <w:t>比列</w:t>
            </w:r>
            <w:proofErr w:type="gramEnd"/>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实际到位资金与预算资金的比率</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以上（含</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,90%-95%</w:t>
            </w:r>
            <w:r>
              <w:rPr>
                <w:rFonts w:ascii="宋体" w:eastAsia="宋体" w:hAnsi="宋体" w:cs="宋体" w:hint="eastAsia"/>
                <w:color w:val="000000"/>
                <w:kern w:val="0"/>
                <w:sz w:val="18"/>
                <w:szCs w:val="18"/>
              </w:rPr>
              <w:t>（含</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分，低于</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不得分。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540"/>
        </w:trPr>
        <w:tc>
          <w:tcPr>
            <w:tcW w:w="801"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预算执行率</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项目预算按照预算执行</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实际支出资金与实际到位资金的比例</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以上（含</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,90%-95%</w:t>
            </w:r>
            <w:r>
              <w:rPr>
                <w:rFonts w:ascii="宋体" w:eastAsia="宋体" w:hAnsi="宋体" w:cs="宋体" w:hint="eastAsia"/>
                <w:color w:val="000000"/>
                <w:kern w:val="0"/>
                <w:sz w:val="18"/>
                <w:szCs w:val="18"/>
              </w:rPr>
              <w:t>（含</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分，低于</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不得分。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570"/>
        </w:trPr>
        <w:tc>
          <w:tcPr>
            <w:tcW w:w="801"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财务</w:t>
            </w:r>
          </w:p>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管理</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专项资金管理规范、财务核算健全、资料齐全。</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①专项资金支出单独列支的，计</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分；②票据合法合</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、手续完善、财务核算规范的计</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分；③资料齐全的计</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r>
      <w:tr w:rsidR="00412676">
        <w:trPr>
          <w:trHeight w:val="960"/>
        </w:trPr>
        <w:tc>
          <w:tcPr>
            <w:tcW w:w="801" w:type="dxa"/>
            <w:vMerge/>
            <w:tcBorders>
              <w:left w:val="single" w:sz="4" w:space="0" w:color="auto"/>
              <w:bottom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left w:val="single" w:sz="4" w:space="0" w:color="auto"/>
              <w:bottom w:val="single" w:sz="4" w:space="0" w:color="000000"/>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资金使用合</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性</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按专项资金管理办法等相关政策制度规定使用资金，无挤占、截留、挪用的，计</w:t>
            </w:r>
            <w:r>
              <w:rPr>
                <w:rFonts w:ascii="宋体" w:eastAsia="宋体" w:hAnsi="宋体" w:cs="宋体" w:hint="eastAsia"/>
                <w:color w:val="000000"/>
                <w:kern w:val="0"/>
                <w:sz w:val="18"/>
                <w:szCs w:val="18"/>
              </w:rPr>
              <w:t>0</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6</w:t>
            </w:r>
            <w:r>
              <w:rPr>
                <w:rFonts w:ascii="宋体" w:eastAsia="宋体" w:hAnsi="宋体" w:cs="宋体" w:hint="eastAsia"/>
                <w:color w:val="000000"/>
                <w:kern w:val="0"/>
                <w:sz w:val="18"/>
                <w:szCs w:val="18"/>
              </w:rPr>
              <w:t>分。</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①</w:t>
            </w:r>
            <w:r>
              <w:rPr>
                <w:rFonts w:ascii="宋体" w:eastAsia="宋体" w:hAnsi="宋体" w:cs="宋体" w:hint="eastAsia"/>
                <w:color w:val="000000"/>
                <w:kern w:val="0"/>
                <w:sz w:val="18"/>
                <w:szCs w:val="18"/>
              </w:rPr>
              <w:t>按照国家财经纪律和财务管理制度支付资金</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分；②</w:t>
            </w:r>
            <w:r>
              <w:rPr>
                <w:rFonts w:ascii="宋体" w:eastAsia="宋体" w:hAnsi="宋体" w:cs="宋体" w:hint="eastAsia"/>
                <w:color w:val="000000"/>
                <w:kern w:val="0"/>
                <w:sz w:val="18"/>
                <w:szCs w:val="18"/>
              </w:rPr>
              <w:t>资金拨付审批和手续完整计</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分，③按照合同约定使用资金</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fldChar w:fldCharType="begin"/>
            </w:r>
            <w:r>
              <w:rPr>
                <w:rFonts w:ascii="宋体" w:eastAsia="宋体" w:hAnsi="宋体" w:cs="宋体" w:hint="eastAsia"/>
                <w:color w:val="000000"/>
                <w:kern w:val="0"/>
                <w:sz w:val="18"/>
                <w:szCs w:val="18"/>
              </w:rPr>
              <w:instrText xml:space="preserve"> = 4 \* GB3 \* MERGEFORMAT </w:instrText>
            </w:r>
            <w:r>
              <w:rPr>
                <w:rFonts w:ascii="宋体" w:eastAsia="宋体" w:hAnsi="宋体" w:cs="宋体" w:hint="eastAsia"/>
                <w:color w:val="000000"/>
                <w:kern w:val="0"/>
                <w:sz w:val="18"/>
                <w:szCs w:val="18"/>
              </w:rPr>
              <w:fldChar w:fldCharType="separate"/>
            </w:r>
            <w:r>
              <w:rPr>
                <w:rFonts w:ascii="宋体" w:eastAsia="宋体" w:hAnsi="宋体" w:cs="宋体" w:hint="eastAsia"/>
                <w:sz w:val="18"/>
                <w:szCs w:val="18"/>
              </w:rPr>
              <w:t>④</w:t>
            </w:r>
            <w:r>
              <w:rPr>
                <w:rFonts w:ascii="宋体" w:eastAsia="宋体" w:hAnsi="宋体" w:cs="宋体" w:hint="eastAsia"/>
                <w:color w:val="000000"/>
                <w:kern w:val="0"/>
                <w:sz w:val="18"/>
                <w:szCs w:val="18"/>
              </w:rPr>
              <w:fldChar w:fldCharType="end"/>
            </w:r>
            <w:r>
              <w:rPr>
                <w:rFonts w:ascii="宋体" w:eastAsia="宋体" w:hAnsi="宋体" w:cs="宋体" w:hint="eastAsia"/>
                <w:color w:val="000000"/>
                <w:kern w:val="0"/>
                <w:sz w:val="18"/>
                <w:szCs w:val="18"/>
              </w:rPr>
              <w:t>无挤占、截留、挪用的</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r>
      <w:tr w:rsidR="00412676">
        <w:trPr>
          <w:trHeight w:val="570"/>
        </w:trPr>
        <w:tc>
          <w:tcPr>
            <w:tcW w:w="8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2676" w:rsidRDefault="00A424E0">
            <w:pPr>
              <w:widowControl/>
              <w:spacing w:line="280" w:lineRule="exact"/>
              <w:ind w:left="113" w:right="11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项目</w:t>
            </w:r>
            <w:r>
              <w:rPr>
                <w:rFonts w:ascii="宋体" w:eastAsia="宋体" w:hAnsi="宋体" w:cs="宋体" w:hint="eastAsia"/>
                <w:color w:val="000000"/>
                <w:kern w:val="0"/>
                <w:sz w:val="18"/>
                <w:szCs w:val="18"/>
              </w:rPr>
              <w:t>产出</w:t>
            </w: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p>
        </w:tc>
        <w:tc>
          <w:tcPr>
            <w:tcW w:w="892" w:type="dxa"/>
            <w:vMerge w:val="restart"/>
            <w:tcBorders>
              <w:top w:val="nil"/>
              <w:left w:val="single" w:sz="4" w:space="0" w:color="auto"/>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spacing w:val="-8"/>
                <w:w w:val="90"/>
                <w:kern w:val="0"/>
                <w:sz w:val="18"/>
                <w:szCs w:val="18"/>
              </w:rPr>
            </w:pPr>
            <w:r>
              <w:rPr>
                <w:rFonts w:ascii="宋体" w:eastAsia="宋体" w:hAnsi="宋体" w:cs="宋体" w:hint="eastAsia"/>
                <w:color w:val="000000"/>
                <w:kern w:val="0"/>
                <w:sz w:val="18"/>
                <w:szCs w:val="18"/>
              </w:rPr>
              <w:t>项目运行</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50</w:t>
            </w:r>
            <w:r>
              <w:rPr>
                <w:rFonts w:ascii="宋体" w:eastAsia="宋体" w:hAnsi="宋体" w:cs="宋体" w:hint="eastAsia"/>
                <w:color w:val="000000"/>
                <w:kern w:val="0"/>
                <w:sz w:val="18"/>
                <w:szCs w:val="18"/>
              </w:rPr>
              <w:t>分）</w:t>
            </w: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管理制度健全性</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单位财务制度和业务管理制度健全。</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ind w:firstLineChars="100" w:firstLine="180"/>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单位财务制度和业务管理制度</w:t>
            </w:r>
            <w:proofErr w:type="gramStart"/>
            <w:r>
              <w:rPr>
                <w:rFonts w:ascii="宋体" w:eastAsia="宋体" w:hAnsi="宋体" w:cs="宋体" w:hint="eastAsia"/>
                <w:color w:val="000000"/>
                <w:kern w:val="0"/>
                <w:sz w:val="18"/>
                <w:szCs w:val="18"/>
              </w:rPr>
              <w:t>健全计</w:t>
            </w:r>
            <w:proofErr w:type="gramEnd"/>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分，财务制度和管理制度合法、合</w:t>
            </w:r>
            <w:proofErr w:type="gramStart"/>
            <w:r>
              <w:rPr>
                <w:rFonts w:ascii="宋体" w:eastAsia="宋体" w:hAnsi="宋体" w:cs="宋体" w:hint="eastAsia"/>
                <w:color w:val="000000"/>
                <w:kern w:val="0"/>
                <w:sz w:val="18"/>
                <w:szCs w:val="18"/>
              </w:rPr>
              <w:t>规</w:t>
            </w:r>
            <w:proofErr w:type="gramEnd"/>
            <w:r>
              <w:rPr>
                <w:rFonts w:ascii="宋体" w:eastAsia="宋体" w:hAnsi="宋体" w:cs="宋体" w:hint="eastAsia"/>
                <w:color w:val="000000"/>
                <w:kern w:val="0"/>
                <w:sz w:val="18"/>
                <w:szCs w:val="18"/>
              </w:rPr>
              <w:t>、完整计</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r>
      <w:tr w:rsidR="00412676">
        <w:trPr>
          <w:trHeight w:val="570"/>
        </w:trPr>
        <w:tc>
          <w:tcPr>
            <w:tcW w:w="801" w:type="dxa"/>
            <w:vMerge/>
            <w:tcBorders>
              <w:left w:val="single" w:sz="4" w:space="0" w:color="auto"/>
              <w:right w:val="single" w:sz="4" w:space="0" w:color="auto"/>
            </w:tcBorders>
            <w:textDirection w:val="tbRlV"/>
            <w:vAlign w:val="center"/>
          </w:tcPr>
          <w:p w:rsidR="00412676" w:rsidRDefault="00412676">
            <w:pPr>
              <w:widowControl/>
              <w:spacing w:line="280" w:lineRule="exact"/>
              <w:ind w:left="113" w:right="113"/>
              <w:rPr>
                <w:rFonts w:ascii="宋体" w:eastAsia="宋体" w:hAnsi="宋体" w:cs="宋体"/>
                <w:color w:val="000000"/>
                <w:kern w:val="0"/>
                <w:sz w:val="18"/>
                <w:szCs w:val="18"/>
              </w:rPr>
            </w:pPr>
          </w:p>
        </w:tc>
        <w:tc>
          <w:tcPr>
            <w:tcW w:w="892" w:type="dxa"/>
            <w:vMerge/>
            <w:tcBorders>
              <w:left w:val="single" w:sz="4" w:space="0" w:color="auto"/>
              <w:right w:val="single" w:sz="4" w:space="0" w:color="auto"/>
            </w:tcBorders>
            <w:vAlign w:val="center"/>
          </w:tcPr>
          <w:p w:rsidR="00412676" w:rsidRDefault="00412676">
            <w:pPr>
              <w:widowControl/>
              <w:spacing w:line="280" w:lineRule="exact"/>
              <w:rPr>
                <w:rFonts w:ascii="宋体" w:eastAsia="宋体" w:hAnsi="宋体" w:cs="宋体"/>
                <w:color w:val="000000"/>
                <w:spacing w:val="-8"/>
                <w:w w:val="90"/>
                <w:kern w:val="0"/>
                <w:sz w:val="18"/>
                <w:szCs w:val="18"/>
              </w:rPr>
            </w:pPr>
          </w:p>
        </w:tc>
        <w:tc>
          <w:tcPr>
            <w:tcW w:w="846"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制度执行有效性</w:t>
            </w:r>
          </w:p>
        </w:tc>
        <w:tc>
          <w:tcPr>
            <w:tcW w:w="1961"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项目实施，程序符合相关法律法规规定。</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遵守相关法律和法规计</w:t>
            </w:r>
            <w:r>
              <w:rPr>
                <w:rFonts w:ascii="宋体" w:eastAsia="宋体" w:hAnsi="宋体" w:cs="宋体" w:hint="eastAsia"/>
                <w:color w:val="000000"/>
                <w:kern w:val="0"/>
                <w:sz w:val="18"/>
                <w:szCs w:val="18"/>
              </w:rPr>
              <w:t>4</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，合同书、验收报告手续完备</w:t>
            </w:r>
            <w:r>
              <w:rPr>
                <w:rFonts w:ascii="宋体" w:hAnsi="宋体" w:cs="宋体" w:hint="eastAsia"/>
                <w:color w:val="000000"/>
                <w:kern w:val="0"/>
                <w:sz w:val="18"/>
                <w:szCs w:val="18"/>
              </w:rPr>
              <w:t>6</w:t>
            </w:r>
            <w:r>
              <w:rPr>
                <w:rFonts w:ascii="宋体" w:eastAsia="宋体" w:hAnsi="宋体" w:cs="宋体" w:hint="eastAsia"/>
                <w:color w:val="000000"/>
                <w:kern w:val="0"/>
                <w:sz w:val="18"/>
                <w:szCs w:val="18"/>
              </w:rPr>
              <w:t>分</w:t>
            </w:r>
            <w:r>
              <w:rPr>
                <w:rFonts w:ascii="宋体" w:hAnsi="宋体" w:cs="宋体" w:hint="eastAsia"/>
                <w:color w:val="000000"/>
                <w:kern w:val="0"/>
                <w:sz w:val="18"/>
                <w:szCs w:val="18"/>
              </w:rPr>
              <w:t>。</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hAnsi="宋体" w:cs="宋体" w:hint="eastAsia"/>
                <w:color w:val="000000"/>
                <w:kern w:val="0"/>
                <w:sz w:val="18"/>
                <w:szCs w:val="18"/>
              </w:rPr>
              <w:t>8</w:t>
            </w:r>
          </w:p>
        </w:tc>
      </w:tr>
      <w:tr w:rsidR="00412676">
        <w:trPr>
          <w:trHeight w:val="780"/>
        </w:trPr>
        <w:tc>
          <w:tcPr>
            <w:tcW w:w="801" w:type="dxa"/>
            <w:vMerge/>
            <w:tcBorders>
              <w:top w:val="single" w:sz="4" w:space="0" w:color="auto"/>
              <w:left w:val="single" w:sz="4" w:space="0" w:color="auto"/>
              <w:bottom w:val="single" w:sz="4" w:space="0" w:color="auto"/>
              <w:right w:val="single" w:sz="4" w:space="0" w:color="auto"/>
            </w:tcBorders>
            <w:vAlign w:val="center"/>
          </w:tcPr>
          <w:p w:rsidR="00412676" w:rsidRDefault="00412676">
            <w:pPr>
              <w:widowControl/>
              <w:spacing w:line="280" w:lineRule="exact"/>
              <w:rPr>
                <w:rFonts w:ascii="宋体" w:eastAsia="宋体" w:hAnsi="宋体" w:cs="宋体"/>
                <w:color w:val="000000"/>
                <w:kern w:val="0"/>
                <w:sz w:val="18"/>
                <w:szCs w:val="18"/>
              </w:rPr>
            </w:pPr>
          </w:p>
        </w:tc>
        <w:tc>
          <w:tcPr>
            <w:tcW w:w="892" w:type="dxa"/>
            <w:vMerge/>
            <w:tcBorders>
              <w:top w:val="nil"/>
              <w:left w:val="single" w:sz="4" w:space="0" w:color="auto"/>
              <w:bottom w:val="single" w:sz="4" w:space="0" w:color="auto"/>
              <w:right w:val="single" w:sz="4" w:space="0" w:color="auto"/>
            </w:tcBorders>
            <w:vAlign w:val="center"/>
          </w:tcPr>
          <w:p w:rsidR="00412676" w:rsidRDefault="00412676">
            <w:pPr>
              <w:widowControl/>
              <w:spacing w:line="280" w:lineRule="exact"/>
              <w:rPr>
                <w:rFonts w:ascii="宋体" w:eastAsia="宋体" w:hAnsi="宋体" w:cs="宋体"/>
                <w:color w:val="000000"/>
                <w:kern w:val="0"/>
                <w:sz w:val="18"/>
                <w:szCs w:val="18"/>
              </w:rPr>
            </w:pPr>
          </w:p>
        </w:tc>
        <w:tc>
          <w:tcPr>
            <w:tcW w:w="846" w:type="dxa"/>
            <w:tcBorders>
              <w:top w:val="single" w:sz="4" w:space="0" w:color="auto"/>
              <w:left w:val="single" w:sz="4" w:space="0" w:color="auto"/>
              <w:bottom w:val="nil"/>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sz w:val="18"/>
                <w:szCs w:val="18"/>
              </w:rPr>
              <w:t>数据质量</w:t>
            </w:r>
          </w:p>
        </w:tc>
        <w:tc>
          <w:tcPr>
            <w:tcW w:w="1961" w:type="dxa"/>
            <w:tcBorders>
              <w:top w:val="nil"/>
              <w:left w:val="single" w:sz="4" w:space="0" w:color="auto"/>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sz w:val="18"/>
                <w:szCs w:val="18"/>
              </w:rPr>
              <w:t>监测数据及时性</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sz w:val="18"/>
                <w:szCs w:val="18"/>
              </w:rPr>
              <w:t>及时</w:t>
            </w:r>
            <w:r>
              <w:rPr>
                <w:rFonts w:ascii="宋体" w:eastAsia="宋体" w:hAnsi="宋体" w:cs="宋体" w:hint="eastAsia"/>
                <w:sz w:val="18"/>
                <w:szCs w:val="18"/>
              </w:rPr>
              <w:t>计</w:t>
            </w:r>
            <w:r>
              <w:rPr>
                <w:rFonts w:ascii="宋体" w:eastAsia="宋体" w:hAnsi="宋体" w:cs="宋体" w:hint="eastAsia"/>
                <w:sz w:val="18"/>
                <w:szCs w:val="18"/>
              </w:rPr>
              <w:t>15</w:t>
            </w:r>
            <w:r>
              <w:rPr>
                <w:rFonts w:ascii="宋体" w:eastAsia="宋体" w:hAnsi="宋体" w:cs="宋体" w:hint="eastAsia"/>
                <w:sz w:val="18"/>
                <w:szCs w:val="18"/>
              </w:rPr>
              <w:t>分；存在个别不及时的情况</w:t>
            </w:r>
            <w:r>
              <w:rPr>
                <w:rFonts w:ascii="宋体" w:eastAsia="宋体" w:hAnsi="宋体" w:cs="宋体" w:hint="eastAsia"/>
                <w:sz w:val="18"/>
                <w:szCs w:val="18"/>
              </w:rPr>
              <w:t>计</w:t>
            </w:r>
            <w:r>
              <w:rPr>
                <w:rFonts w:ascii="宋体" w:eastAsia="宋体" w:hAnsi="宋体" w:cs="宋体" w:hint="eastAsia"/>
                <w:sz w:val="18"/>
                <w:szCs w:val="18"/>
              </w:rPr>
              <w:t>10</w:t>
            </w:r>
            <w:r>
              <w:rPr>
                <w:rFonts w:ascii="宋体" w:eastAsia="宋体" w:hAnsi="宋体" w:cs="宋体" w:hint="eastAsia"/>
                <w:sz w:val="18"/>
                <w:szCs w:val="18"/>
              </w:rPr>
              <w:t>分；存在较多不及时的情况</w:t>
            </w:r>
            <w:r>
              <w:rPr>
                <w:rFonts w:ascii="宋体" w:eastAsia="宋体" w:hAnsi="宋体" w:cs="宋体" w:hint="eastAsia"/>
                <w:sz w:val="18"/>
                <w:szCs w:val="18"/>
              </w:rPr>
              <w:t>计</w:t>
            </w:r>
            <w:r>
              <w:rPr>
                <w:rFonts w:ascii="宋体" w:eastAsia="宋体" w:hAnsi="宋体" w:cs="宋体" w:hint="eastAsia"/>
                <w:sz w:val="18"/>
                <w:szCs w:val="18"/>
              </w:rPr>
              <w:t>8</w:t>
            </w:r>
            <w:r>
              <w:rPr>
                <w:rFonts w:ascii="宋体" w:eastAsia="宋体" w:hAnsi="宋体" w:cs="宋体" w:hint="eastAsia"/>
                <w:sz w:val="18"/>
                <w:szCs w:val="18"/>
              </w:rPr>
              <w:t>分；不及时的情况很多</w:t>
            </w:r>
            <w:r>
              <w:rPr>
                <w:rFonts w:ascii="宋体" w:eastAsia="宋体" w:hAnsi="宋体" w:cs="宋体" w:hint="eastAsia"/>
                <w:sz w:val="18"/>
                <w:szCs w:val="18"/>
              </w:rPr>
              <w:t>计</w:t>
            </w:r>
            <w:r>
              <w:rPr>
                <w:rFonts w:ascii="宋体" w:eastAsia="宋体" w:hAnsi="宋体" w:cs="宋体" w:hint="eastAsia"/>
                <w:sz w:val="18"/>
                <w:szCs w:val="18"/>
              </w:rPr>
              <w:t>0</w:t>
            </w:r>
            <w:r>
              <w:rPr>
                <w:rFonts w:ascii="宋体" w:eastAsia="宋体" w:hAnsi="宋体" w:cs="宋体" w:hint="eastAsia"/>
                <w:sz w:val="18"/>
                <w:szCs w:val="18"/>
              </w:rPr>
              <w:t>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r>
      <w:tr w:rsidR="00412676">
        <w:trPr>
          <w:trHeight w:val="555"/>
        </w:trPr>
        <w:tc>
          <w:tcPr>
            <w:tcW w:w="801" w:type="dxa"/>
            <w:vMerge/>
            <w:tcBorders>
              <w:top w:val="single" w:sz="4" w:space="0" w:color="auto"/>
              <w:left w:val="single" w:sz="4" w:space="0" w:color="auto"/>
              <w:bottom w:val="single" w:sz="4" w:space="0" w:color="auto"/>
              <w:right w:val="single" w:sz="4" w:space="0" w:color="auto"/>
            </w:tcBorders>
            <w:vAlign w:val="center"/>
          </w:tcPr>
          <w:p w:rsidR="00412676" w:rsidRDefault="00412676">
            <w:pPr>
              <w:widowControl/>
              <w:spacing w:line="280" w:lineRule="exact"/>
              <w:rPr>
                <w:rFonts w:ascii="宋体" w:eastAsia="宋体" w:hAnsi="宋体" w:cs="宋体"/>
                <w:color w:val="000000"/>
                <w:kern w:val="0"/>
                <w:sz w:val="18"/>
                <w:szCs w:val="18"/>
              </w:rPr>
            </w:pPr>
          </w:p>
        </w:tc>
        <w:tc>
          <w:tcPr>
            <w:tcW w:w="892" w:type="dxa"/>
            <w:vMerge/>
            <w:tcBorders>
              <w:top w:val="nil"/>
              <w:left w:val="single" w:sz="4" w:space="0" w:color="auto"/>
              <w:bottom w:val="single" w:sz="4" w:space="0" w:color="auto"/>
              <w:right w:val="single" w:sz="4" w:space="0" w:color="auto"/>
            </w:tcBorders>
            <w:vAlign w:val="center"/>
          </w:tcPr>
          <w:p w:rsidR="00412676" w:rsidRDefault="00412676">
            <w:pPr>
              <w:widowControl/>
              <w:spacing w:line="280" w:lineRule="exact"/>
              <w:rPr>
                <w:rFonts w:ascii="宋体" w:eastAsia="宋体" w:hAnsi="宋体" w:cs="宋体"/>
                <w:color w:val="000000"/>
                <w:kern w:val="0"/>
                <w:sz w:val="18"/>
                <w:szCs w:val="18"/>
              </w:rPr>
            </w:pPr>
          </w:p>
        </w:tc>
        <w:tc>
          <w:tcPr>
            <w:tcW w:w="846" w:type="dxa"/>
            <w:tcBorders>
              <w:top w:val="nil"/>
              <w:left w:val="single" w:sz="4" w:space="0" w:color="auto"/>
              <w:bottom w:val="single" w:sz="4" w:space="0" w:color="auto"/>
              <w:right w:val="single" w:sz="4" w:space="0" w:color="auto"/>
            </w:tcBorders>
            <w:vAlign w:val="center"/>
          </w:tcPr>
          <w:p w:rsidR="00412676" w:rsidRDefault="00412676">
            <w:pPr>
              <w:widowControl/>
              <w:spacing w:line="240" w:lineRule="exact"/>
              <w:jc w:val="center"/>
              <w:rPr>
                <w:rFonts w:ascii="宋体" w:eastAsia="宋体" w:hAnsi="宋体" w:cs="宋体"/>
                <w:color w:val="000000"/>
                <w:kern w:val="0"/>
                <w:sz w:val="18"/>
                <w:szCs w:val="18"/>
              </w:rPr>
            </w:pPr>
          </w:p>
        </w:tc>
        <w:tc>
          <w:tcPr>
            <w:tcW w:w="1961" w:type="dxa"/>
            <w:tcBorders>
              <w:top w:val="nil"/>
              <w:left w:val="single" w:sz="4" w:space="0" w:color="auto"/>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sz w:val="18"/>
                <w:szCs w:val="18"/>
              </w:rPr>
              <w:t>监测数据准确性</w:t>
            </w:r>
          </w:p>
        </w:tc>
        <w:tc>
          <w:tcPr>
            <w:tcW w:w="645" w:type="dxa"/>
            <w:tcBorders>
              <w:top w:val="nil"/>
              <w:left w:val="nil"/>
              <w:bottom w:val="single" w:sz="4" w:space="0" w:color="auto"/>
              <w:right w:val="single" w:sz="4" w:space="0" w:color="auto"/>
            </w:tcBorders>
            <w:vAlign w:val="center"/>
          </w:tcPr>
          <w:p w:rsidR="00412676" w:rsidRDefault="00A424E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3105" w:type="dxa"/>
            <w:tcBorders>
              <w:top w:val="nil"/>
              <w:left w:val="nil"/>
              <w:bottom w:val="single" w:sz="4" w:space="0" w:color="auto"/>
              <w:right w:val="single" w:sz="4" w:space="0" w:color="auto"/>
            </w:tcBorders>
            <w:vAlign w:val="center"/>
          </w:tcPr>
          <w:p w:rsidR="00412676" w:rsidRDefault="00A424E0">
            <w:pPr>
              <w:widowControl/>
              <w:spacing w:line="240" w:lineRule="exact"/>
              <w:rPr>
                <w:rFonts w:ascii="宋体" w:eastAsia="宋体" w:hAnsi="宋体" w:cs="宋体"/>
                <w:color w:val="000000"/>
                <w:kern w:val="0"/>
                <w:sz w:val="18"/>
                <w:szCs w:val="18"/>
              </w:rPr>
            </w:pPr>
            <w:r>
              <w:rPr>
                <w:rFonts w:ascii="宋体" w:eastAsia="宋体" w:hAnsi="宋体" w:cs="宋体" w:hint="eastAsia"/>
                <w:sz w:val="18"/>
                <w:szCs w:val="18"/>
              </w:rPr>
              <w:t>监测数据准确性（准确：</w:t>
            </w:r>
            <w:r>
              <w:rPr>
                <w:rFonts w:ascii="宋体" w:eastAsia="宋体" w:hAnsi="宋体" w:cs="宋体" w:hint="eastAsia"/>
                <w:sz w:val="18"/>
                <w:szCs w:val="18"/>
              </w:rPr>
              <w:t>15</w:t>
            </w:r>
            <w:r>
              <w:rPr>
                <w:rFonts w:ascii="宋体" w:eastAsia="宋体" w:hAnsi="宋体" w:cs="宋体" w:hint="eastAsia"/>
                <w:sz w:val="18"/>
                <w:szCs w:val="18"/>
              </w:rPr>
              <w:t>分；存在个别不准确的情况：</w:t>
            </w:r>
            <w:r>
              <w:rPr>
                <w:rFonts w:ascii="宋体" w:eastAsia="宋体" w:hAnsi="宋体" w:cs="宋体" w:hint="eastAsia"/>
                <w:sz w:val="18"/>
                <w:szCs w:val="18"/>
              </w:rPr>
              <w:t>10</w:t>
            </w:r>
            <w:r>
              <w:rPr>
                <w:rFonts w:ascii="宋体" w:eastAsia="宋体" w:hAnsi="宋体" w:cs="宋体" w:hint="eastAsia"/>
                <w:sz w:val="18"/>
                <w:szCs w:val="18"/>
              </w:rPr>
              <w:t>分；存在较多不准确的情况：</w:t>
            </w:r>
            <w:r>
              <w:rPr>
                <w:rFonts w:ascii="宋体" w:eastAsia="宋体" w:hAnsi="宋体" w:cs="宋体" w:hint="eastAsia"/>
                <w:sz w:val="18"/>
                <w:szCs w:val="18"/>
              </w:rPr>
              <w:t>5</w:t>
            </w:r>
            <w:r>
              <w:rPr>
                <w:rFonts w:ascii="宋体" w:eastAsia="宋体" w:hAnsi="宋体" w:cs="宋体" w:hint="eastAsia"/>
                <w:sz w:val="18"/>
                <w:szCs w:val="18"/>
              </w:rPr>
              <w:t>分；基本不准确：</w:t>
            </w:r>
            <w:r>
              <w:rPr>
                <w:rFonts w:ascii="宋体" w:eastAsia="宋体" w:hAnsi="宋体" w:cs="宋体" w:hint="eastAsia"/>
                <w:sz w:val="18"/>
                <w:szCs w:val="18"/>
              </w:rPr>
              <w:t>0</w:t>
            </w:r>
            <w:r>
              <w:rPr>
                <w:rFonts w:ascii="宋体" w:eastAsia="宋体" w:hAnsi="宋体" w:cs="宋体" w:hint="eastAsia"/>
                <w:sz w:val="18"/>
                <w:szCs w:val="18"/>
              </w:rPr>
              <w:t>分）（由于设计、安装设备原始质量原因导致数据不精确不作为考核指标）</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r>
      <w:tr w:rsidR="00412676">
        <w:trPr>
          <w:trHeight w:val="912"/>
        </w:trPr>
        <w:tc>
          <w:tcPr>
            <w:tcW w:w="801" w:type="dxa"/>
            <w:vMerge w:val="restart"/>
            <w:tcBorders>
              <w:top w:val="nil"/>
              <w:left w:val="single" w:sz="4" w:space="0" w:color="auto"/>
              <w:right w:val="single" w:sz="4" w:space="0" w:color="auto"/>
            </w:tcBorders>
            <w:textDirection w:val="tbRlV"/>
            <w:vAlign w:val="center"/>
          </w:tcPr>
          <w:p w:rsidR="00412676" w:rsidRDefault="00A424E0">
            <w:pPr>
              <w:widowControl/>
              <w:spacing w:line="280" w:lineRule="exact"/>
              <w:ind w:left="113" w:right="113"/>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项目绩效（</w:t>
            </w:r>
            <w:r>
              <w:rPr>
                <w:rFonts w:ascii="宋体" w:eastAsia="宋体" w:hAnsi="宋体" w:cs="宋体" w:hint="eastAsia"/>
                <w:color w:val="000000"/>
                <w:kern w:val="0"/>
                <w:sz w:val="18"/>
                <w:szCs w:val="18"/>
              </w:rPr>
              <w:t>20</w:t>
            </w:r>
            <w:r>
              <w:rPr>
                <w:rFonts w:ascii="宋体" w:eastAsia="宋体" w:hAnsi="宋体" w:cs="宋体" w:hint="eastAsia"/>
                <w:color w:val="000000"/>
                <w:kern w:val="0"/>
                <w:sz w:val="18"/>
                <w:szCs w:val="18"/>
              </w:rPr>
              <w:t>分）</w:t>
            </w:r>
          </w:p>
        </w:tc>
        <w:tc>
          <w:tcPr>
            <w:tcW w:w="892" w:type="dxa"/>
            <w:vMerge w:val="restart"/>
            <w:tcBorders>
              <w:top w:val="nil"/>
              <w:left w:val="single" w:sz="4" w:space="0" w:color="auto"/>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指标</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spacing w:val="-8"/>
                <w:w w:val="90"/>
                <w:kern w:val="0"/>
                <w:sz w:val="18"/>
                <w:szCs w:val="18"/>
              </w:rPr>
              <w:t>（</w:t>
            </w:r>
            <w:r>
              <w:rPr>
                <w:rFonts w:ascii="宋体" w:eastAsia="宋体" w:hAnsi="宋体" w:cs="宋体" w:hint="eastAsia"/>
                <w:color w:val="000000"/>
                <w:spacing w:val="-8"/>
                <w:w w:val="90"/>
                <w:kern w:val="0"/>
                <w:sz w:val="18"/>
                <w:szCs w:val="18"/>
              </w:rPr>
              <w:t>20</w:t>
            </w:r>
            <w:r>
              <w:rPr>
                <w:rFonts w:ascii="宋体" w:eastAsia="宋体" w:hAnsi="宋体" w:cs="宋体" w:hint="eastAsia"/>
                <w:color w:val="000000"/>
                <w:spacing w:val="-8"/>
                <w:w w:val="90"/>
                <w:kern w:val="0"/>
                <w:sz w:val="18"/>
                <w:szCs w:val="18"/>
              </w:rPr>
              <w:t>分）</w:t>
            </w:r>
          </w:p>
        </w:tc>
        <w:tc>
          <w:tcPr>
            <w:tcW w:w="846" w:type="dxa"/>
            <w:tcBorders>
              <w:top w:val="single" w:sz="4" w:space="0" w:color="auto"/>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社会</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效益</w:t>
            </w:r>
            <w:r>
              <w:rPr>
                <w:rFonts w:ascii="宋体" w:eastAsia="宋体" w:hAnsi="宋体" w:cs="宋体" w:hint="eastAsia"/>
                <w:color w:val="000000"/>
                <w:kern w:val="0"/>
                <w:sz w:val="18"/>
                <w:szCs w:val="18"/>
              </w:rPr>
              <w:t xml:space="preserve"> </w:t>
            </w:r>
          </w:p>
        </w:tc>
        <w:tc>
          <w:tcPr>
            <w:tcW w:w="1961"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sz w:val="18"/>
                <w:szCs w:val="18"/>
              </w:rPr>
              <w:t>数据使用范围</w:t>
            </w:r>
          </w:p>
        </w:tc>
        <w:tc>
          <w:tcPr>
            <w:tcW w:w="645"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sz w:val="18"/>
                <w:szCs w:val="18"/>
              </w:rPr>
              <w:t>监测数据使用范围（常规地表水监测断面进行监测</w:t>
            </w:r>
            <w:r>
              <w:rPr>
                <w:rFonts w:ascii="宋体" w:eastAsia="宋体" w:hAnsi="宋体" w:cs="宋体" w:hint="eastAsia"/>
                <w:sz w:val="18"/>
                <w:szCs w:val="18"/>
              </w:rPr>
              <w:t>，</w:t>
            </w:r>
            <w:r>
              <w:rPr>
                <w:rFonts w:ascii="宋体" w:eastAsia="宋体" w:hAnsi="宋体" w:cs="宋体" w:hint="eastAsia"/>
                <w:sz w:val="18"/>
                <w:szCs w:val="18"/>
              </w:rPr>
              <w:t>市级地表水生态补偿跨界断面监测</w:t>
            </w:r>
            <w:r>
              <w:rPr>
                <w:rFonts w:ascii="宋体" w:eastAsia="宋体" w:hAnsi="宋体" w:cs="宋体" w:hint="eastAsia"/>
                <w:sz w:val="18"/>
                <w:szCs w:val="18"/>
              </w:rPr>
              <w:t>，</w:t>
            </w:r>
            <w:r>
              <w:rPr>
                <w:rFonts w:ascii="宋体" w:eastAsia="宋体" w:hAnsi="宋体" w:cs="宋体" w:hint="eastAsia"/>
                <w:sz w:val="18"/>
                <w:szCs w:val="18"/>
              </w:rPr>
              <w:t>承德市辖区环境噪声开展常规监测</w:t>
            </w:r>
            <w:r>
              <w:rPr>
                <w:rFonts w:ascii="宋体" w:eastAsia="宋体" w:hAnsi="宋体" w:cs="宋体" w:hint="eastAsia"/>
                <w:sz w:val="18"/>
                <w:szCs w:val="18"/>
              </w:rPr>
              <w:t>）计</w:t>
            </w:r>
            <w:r>
              <w:rPr>
                <w:rFonts w:ascii="宋体" w:eastAsia="宋体" w:hAnsi="宋体" w:cs="宋体" w:hint="eastAsia"/>
                <w:sz w:val="18"/>
                <w:szCs w:val="18"/>
              </w:rPr>
              <w:t>5</w:t>
            </w:r>
            <w:r>
              <w:rPr>
                <w:rFonts w:ascii="宋体" w:eastAsia="宋体" w:hAnsi="宋体" w:cs="宋体" w:hint="eastAsia"/>
                <w:sz w:val="18"/>
                <w:szCs w:val="18"/>
              </w:rPr>
              <w:t>分，否则少一项不得分。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912"/>
        </w:trPr>
        <w:tc>
          <w:tcPr>
            <w:tcW w:w="801" w:type="dxa"/>
            <w:vMerge/>
            <w:tcBorders>
              <w:left w:val="single" w:sz="4" w:space="0" w:color="auto"/>
              <w:right w:val="single" w:sz="4" w:space="0" w:color="auto"/>
            </w:tcBorders>
            <w:textDirection w:val="tbRlV"/>
            <w:vAlign w:val="center"/>
          </w:tcPr>
          <w:p w:rsidR="00412676" w:rsidRDefault="00412676">
            <w:pPr>
              <w:widowControl/>
              <w:spacing w:line="280" w:lineRule="exact"/>
              <w:ind w:left="113" w:right="113"/>
              <w:jc w:val="center"/>
              <w:rPr>
                <w:rFonts w:ascii="宋体" w:eastAsia="宋体" w:hAnsi="宋体" w:cs="宋体"/>
                <w:color w:val="000000"/>
                <w:kern w:val="0"/>
                <w:sz w:val="18"/>
                <w:szCs w:val="18"/>
              </w:rPr>
            </w:pPr>
          </w:p>
        </w:tc>
        <w:tc>
          <w:tcPr>
            <w:tcW w:w="892" w:type="dxa"/>
            <w:vMerge/>
            <w:tcBorders>
              <w:left w:val="single" w:sz="4" w:space="0" w:color="auto"/>
              <w:right w:val="single" w:sz="4" w:space="0" w:color="auto"/>
            </w:tcBorders>
            <w:vAlign w:val="center"/>
          </w:tcPr>
          <w:p w:rsidR="00412676" w:rsidRDefault="00412676">
            <w:pPr>
              <w:widowControl/>
              <w:spacing w:line="280" w:lineRule="exact"/>
              <w:jc w:val="center"/>
              <w:rPr>
                <w:rFonts w:ascii="宋体" w:eastAsia="宋体" w:hAnsi="宋体" w:cs="宋体"/>
                <w:color w:val="000000"/>
                <w:spacing w:val="-8"/>
                <w:w w:val="90"/>
                <w:kern w:val="0"/>
                <w:sz w:val="18"/>
                <w:szCs w:val="18"/>
              </w:rPr>
            </w:pPr>
          </w:p>
        </w:tc>
        <w:tc>
          <w:tcPr>
            <w:tcW w:w="846" w:type="dxa"/>
            <w:tcBorders>
              <w:top w:val="nil"/>
              <w:left w:val="nil"/>
              <w:bottom w:val="single" w:sz="4" w:space="0" w:color="auto"/>
              <w:right w:val="single" w:sz="4" w:space="0" w:color="auto"/>
            </w:tcBorders>
            <w:vAlign w:val="center"/>
          </w:tcPr>
          <w:p w:rsidR="00412676" w:rsidRDefault="00412676">
            <w:pPr>
              <w:widowControl/>
              <w:spacing w:line="280" w:lineRule="exact"/>
              <w:jc w:val="center"/>
              <w:rPr>
                <w:rFonts w:ascii="宋体" w:eastAsia="宋体" w:hAnsi="宋体" w:cs="宋体"/>
                <w:color w:val="000000"/>
                <w:kern w:val="0"/>
                <w:sz w:val="18"/>
                <w:szCs w:val="18"/>
              </w:rPr>
            </w:pPr>
          </w:p>
        </w:tc>
        <w:tc>
          <w:tcPr>
            <w:tcW w:w="1961"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sz w:val="18"/>
                <w:szCs w:val="18"/>
              </w:rPr>
              <w:t>数据使用效果</w:t>
            </w:r>
          </w:p>
        </w:tc>
        <w:tc>
          <w:tcPr>
            <w:tcW w:w="645"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测评满意度</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90%-95%</w:t>
            </w:r>
            <w:r>
              <w:rPr>
                <w:rFonts w:ascii="宋体" w:eastAsia="宋体" w:hAnsi="宋体" w:cs="宋体" w:hint="eastAsia"/>
                <w:color w:val="000000"/>
                <w:kern w:val="0"/>
                <w:sz w:val="18"/>
                <w:szCs w:val="18"/>
              </w:rPr>
              <w:t>（不含</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以下不得分。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555"/>
        </w:trPr>
        <w:tc>
          <w:tcPr>
            <w:tcW w:w="801"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top w:val="nil"/>
              <w:left w:val="single" w:sz="4" w:space="0" w:color="auto"/>
              <w:bottom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46"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可持续发展</w:t>
            </w:r>
          </w:p>
        </w:tc>
        <w:tc>
          <w:tcPr>
            <w:tcW w:w="1961"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sz w:val="18"/>
                <w:szCs w:val="18"/>
              </w:rPr>
              <w:t>对促进减排、改善地方生态环境的作用</w:t>
            </w:r>
          </w:p>
        </w:tc>
        <w:tc>
          <w:tcPr>
            <w:tcW w:w="645"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测评满意度</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90%-95%</w:t>
            </w:r>
            <w:r>
              <w:rPr>
                <w:rFonts w:ascii="宋体" w:eastAsia="宋体" w:hAnsi="宋体" w:cs="宋体" w:hint="eastAsia"/>
                <w:color w:val="000000"/>
                <w:kern w:val="0"/>
                <w:sz w:val="18"/>
                <w:szCs w:val="18"/>
              </w:rPr>
              <w:t>（不含</w:t>
            </w:r>
            <w:r>
              <w:rPr>
                <w:rFonts w:ascii="宋体" w:eastAsia="宋体" w:hAnsi="宋体" w:cs="宋体" w:hint="eastAsia"/>
                <w:color w:val="000000"/>
                <w:kern w:val="0"/>
                <w:sz w:val="18"/>
                <w:szCs w:val="18"/>
              </w:rPr>
              <w:t>95%</w:t>
            </w:r>
            <w:r>
              <w:rPr>
                <w:rFonts w:ascii="宋体" w:eastAsia="宋体" w:hAnsi="宋体" w:cs="宋体" w:hint="eastAsia"/>
                <w:color w:val="000000"/>
                <w:kern w:val="0"/>
                <w:sz w:val="18"/>
                <w:szCs w:val="18"/>
              </w:rPr>
              <w:t>）计</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以下不得分</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735"/>
        </w:trPr>
        <w:tc>
          <w:tcPr>
            <w:tcW w:w="801" w:type="dxa"/>
            <w:vMerge/>
            <w:tcBorders>
              <w:left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92" w:type="dxa"/>
            <w:vMerge/>
            <w:tcBorders>
              <w:top w:val="nil"/>
              <w:left w:val="single" w:sz="4" w:space="0" w:color="auto"/>
              <w:bottom w:val="single" w:sz="4" w:space="0" w:color="auto"/>
              <w:right w:val="single" w:sz="4" w:space="0" w:color="auto"/>
            </w:tcBorders>
            <w:vAlign w:val="center"/>
          </w:tcPr>
          <w:p w:rsidR="00412676" w:rsidRDefault="00412676">
            <w:pPr>
              <w:widowControl/>
              <w:spacing w:line="280" w:lineRule="exact"/>
              <w:jc w:val="left"/>
              <w:rPr>
                <w:rFonts w:ascii="宋体" w:eastAsia="宋体" w:hAnsi="宋体" w:cs="宋体"/>
                <w:color w:val="000000"/>
                <w:kern w:val="0"/>
                <w:sz w:val="18"/>
                <w:szCs w:val="18"/>
              </w:rPr>
            </w:pPr>
          </w:p>
        </w:tc>
        <w:tc>
          <w:tcPr>
            <w:tcW w:w="846" w:type="dxa"/>
            <w:tcBorders>
              <w:top w:val="nil"/>
              <w:left w:val="single" w:sz="4" w:space="0" w:color="auto"/>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服务</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对象</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满意</w:t>
            </w:r>
          </w:p>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程度</w:t>
            </w:r>
          </w:p>
        </w:tc>
        <w:tc>
          <w:tcPr>
            <w:tcW w:w="1961"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通过</w:t>
            </w:r>
            <w:r>
              <w:rPr>
                <w:rFonts w:ascii="宋体" w:eastAsia="宋体" w:hAnsi="宋体" w:cs="宋体" w:hint="eastAsia"/>
                <w:color w:val="000000"/>
                <w:kern w:val="0"/>
                <w:sz w:val="18"/>
                <w:szCs w:val="18"/>
              </w:rPr>
              <w:t>走访</w:t>
            </w:r>
            <w:r>
              <w:rPr>
                <w:rFonts w:ascii="宋体" w:eastAsia="宋体" w:hAnsi="宋体" w:cs="宋体" w:hint="eastAsia"/>
                <w:color w:val="000000"/>
                <w:kern w:val="0"/>
                <w:sz w:val="18"/>
                <w:szCs w:val="18"/>
              </w:rPr>
              <w:t>、电话访问、等形式，对</w:t>
            </w:r>
            <w:r>
              <w:rPr>
                <w:rFonts w:ascii="宋体" w:eastAsia="宋体" w:hAnsi="宋体" w:cs="宋体" w:hint="eastAsia"/>
                <w:color w:val="000000"/>
                <w:kern w:val="0"/>
                <w:sz w:val="18"/>
                <w:szCs w:val="18"/>
              </w:rPr>
              <w:t>服务</w:t>
            </w:r>
            <w:r>
              <w:rPr>
                <w:rFonts w:ascii="宋体" w:eastAsia="宋体" w:hAnsi="宋体" w:cs="宋体" w:hint="eastAsia"/>
                <w:color w:val="000000"/>
                <w:kern w:val="0"/>
                <w:sz w:val="18"/>
                <w:szCs w:val="18"/>
              </w:rPr>
              <w:t>企</w:t>
            </w:r>
            <w:r>
              <w:rPr>
                <w:rFonts w:ascii="宋体" w:eastAsia="宋体" w:hAnsi="宋体" w:cs="宋体" w:hint="eastAsia"/>
                <w:color w:val="000000"/>
                <w:kern w:val="0"/>
                <w:sz w:val="18"/>
                <w:szCs w:val="18"/>
              </w:rPr>
              <w:t>事业单位实验室筹建及相关事项</w:t>
            </w:r>
            <w:r>
              <w:rPr>
                <w:rFonts w:ascii="宋体" w:eastAsia="宋体" w:hAnsi="宋体" w:cs="宋体" w:hint="eastAsia"/>
                <w:color w:val="000000"/>
                <w:kern w:val="0"/>
                <w:sz w:val="18"/>
                <w:szCs w:val="18"/>
              </w:rPr>
              <w:t>满意度进行调查。</w:t>
            </w:r>
          </w:p>
        </w:tc>
        <w:tc>
          <w:tcPr>
            <w:tcW w:w="645"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3105" w:type="dxa"/>
            <w:tcBorders>
              <w:top w:val="nil"/>
              <w:left w:val="nil"/>
              <w:bottom w:val="single" w:sz="4" w:space="0" w:color="auto"/>
              <w:right w:val="single" w:sz="4" w:space="0" w:color="auto"/>
            </w:tcBorders>
            <w:vAlign w:val="center"/>
          </w:tcPr>
          <w:p w:rsidR="00412676" w:rsidRDefault="00A424E0">
            <w:pPr>
              <w:widowControl/>
              <w:spacing w:line="280" w:lineRule="exact"/>
              <w:rPr>
                <w:rFonts w:ascii="宋体" w:eastAsia="宋体" w:hAnsi="宋体" w:cs="宋体"/>
                <w:color w:val="000000"/>
                <w:kern w:val="0"/>
                <w:sz w:val="18"/>
                <w:szCs w:val="18"/>
              </w:rPr>
            </w:pPr>
            <w:r>
              <w:rPr>
                <w:rFonts w:ascii="宋体" w:eastAsia="宋体" w:hAnsi="宋体" w:cs="宋体" w:hint="eastAsia"/>
                <w:color w:val="000000"/>
                <w:kern w:val="0"/>
                <w:sz w:val="18"/>
                <w:szCs w:val="18"/>
              </w:rPr>
              <w:t>调查满意度达</w:t>
            </w:r>
            <w:r>
              <w:rPr>
                <w:rFonts w:ascii="宋体" w:eastAsia="宋体" w:hAnsi="宋体" w:cs="宋体" w:hint="eastAsia"/>
                <w:color w:val="000000"/>
                <w:kern w:val="0"/>
                <w:sz w:val="18"/>
                <w:szCs w:val="18"/>
              </w:rPr>
              <w:t>90%</w:t>
            </w:r>
            <w:r>
              <w:rPr>
                <w:rFonts w:ascii="宋体" w:eastAsia="宋体" w:hAnsi="宋体" w:cs="宋体" w:hint="eastAsia"/>
                <w:color w:val="000000"/>
                <w:kern w:val="0"/>
                <w:sz w:val="18"/>
                <w:szCs w:val="18"/>
              </w:rPr>
              <w:t>以上</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5</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 xml:space="preserve"> 80%-89%</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r>
              <w:rPr>
                <w:rFonts w:ascii="宋体" w:eastAsia="宋体" w:hAnsi="宋体" w:cs="宋体" w:hint="eastAsia"/>
                <w:color w:val="000000"/>
                <w:kern w:val="0"/>
                <w:sz w:val="18"/>
                <w:szCs w:val="18"/>
              </w:rPr>
              <w:t>分），</w:t>
            </w:r>
            <w:r>
              <w:rPr>
                <w:rFonts w:ascii="宋体" w:eastAsia="宋体" w:hAnsi="宋体" w:cs="宋体" w:hint="eastAsia"/>
                <w:color w:val="000000"/>
                <w:kern w:val="0"/>
                <w:sz w:val="18"/>
                <w:szCs w:val="18"/>
              </w:rPr>
              <w:t>80%</w:t>
            </w:r>
            <w:r>
              <w:rPr>
                <w:rFonts w:ascii="宋体" w:eastAsia="宋体" w:hAnsi="宋体" w:cs="宋体" w:hint="eastAsia"/>
                <w:color w:val="000000"/>
                <w:kern w:val="0"/>
                <w:sz w:val="18"/>
                <w:szCs w:val="18"/>
              </w:rPr>
              <w:t>以下的不计分。</w:t>
            </w:r>
            <w:r>
              <w:rPr>
                <w:rFonts w:ascii="宋体" w:eastAsia="宋体" w:hAnsi="宋体" w:cs="宋体" w:hint="eastAsia"/>
                <w:color w:val="000000"/>
                <w:kern w:val="0"/>
                <w:sz w:val="18"/>
                <w:szCs w:val="18"/>
              </w:rPr>
              <w:t xml:space="preserve"> </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r>
      <w:tr w:rsidR="00412676">
        <w:trPr>
          <w:trHeight w:val="480"/>
        </w:trPr>
        <w:tc>
          <w:tcPr>
            <w:tcW w:w="801" w:type="dxa"/>
            <w:tcBorders>
              <w:top w:val="nil"/>
              <w:left w:val="single" w:sz="4" w:space="0" w:color="auto"/>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合</w:t>
            </w:r>
            <w:r>
              <w:rPr>
                <w:rFonts w:ascii="宋体" w:eastAsia="宋体" w:hAnsi="宋体" w:cs="宋体" w:hint="eastAsia"/>
                <w:color w:val="000000"/>
                <w:kern w:val="0"/>
                <w:sz w:val="18"/>
                <w:szCs w:val="18"/>
              </w:rPr>
              <w:t xml:space="preserve">  </w:t>
            </w:r>
            <w:r>
              <w:rPr>
                <w:rFonts w:ascii="宋体" w:eastAsia="宋体" w:hAnsi="宋体" w:cs="宋体" w:hint="eastAsia"/>
                <w:color w:val="000000"/>
                <w:kern w:val="0"/>
                <w:sz w:val="18"/>
                <w:szCs w:val="18"/>
              </w:rPr>
              <w:t>计</w:t>
            </w:r>
          </w:p>
        </w:tc>
        <w:tc>
          <w:tcPr>
            <w:tcW w:w="892"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846"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961" w:type="dxa"/>
            <w:tcBorders>
              <w:top w:val="nil"/>
              <w:left w:val="nil"/>
              <w:bottom w:val="single" w:sz="4" w:space="0" w:color="auto"/>
              <w:right w:val="single" w:sz="4" w:space="0" w:color="auto"/>
            </w:tcBorders>
            <w:vAlign w:val="center"/>
          </w:tcPr>
          <w:p w:rsidR="00412676" w:rsidRDefault="00A424E0">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645"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3105" w:type="dxa"/>
            <w:tcBorders>
              <w:top w:val="nil"/>
              <w:left w:val="nil"/>
              <w:bottom w:val="single" w:sz="4" w:space="0" w:color="auto"/>
              <w:right w:val="single" w:sz="4" w:space="0" w:color="auto"/>
            </w:tcBorders>
            <w:vAlign w:val="center"/>
          </w:tcPr>
          <w:p w:rsidR="00412676" w:rsidRDefault="00A424E0">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990" w:type="dxa"/>
            <w:tcBorders>
              <w:top w:val="nil"/>
              <w:left w:val="nil"/>
              <w:bottom w:val="single" w:sz="4" w:space="0" w:color="auto"/>
              <w:right w:val="single" w:sz="4" w:space="0" w:color="auto"/>
            </w:tcBorders>
            <w:vAlign w:val="center"/>
          </w:tcPr>
          <w:p w:rsidR="00412676" w:rsidRDefault="00A424E0">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94</w:t>
            </w:r>
          </w:p>
        </w:tc>
      </w:tr>
    </w:tbl>
    <w:p w:rsidR="00412676" w:rsidRDefault="00412676">
      <w:pPr>
        <w:rPr>
          <w:color w:val="000000"/>
        </w:rPr>
      </w:pPr>
    </w:p>
    <w:p w:rsidR="00412676" w:rsidRDefault="00A424E0">
      <w:pPr>
        <w:rPr>
          <w:rFonts w:ascii="宋体"/>
          <w:color w:val="000000"/>
          <w:szCs w:val="21"/>
        </w:rPr>
      </w:pPr>
      <w:r>
        <w:rPr>
          <w:rFonts w:ascii="宋体"/>
          <w:color w:val="000000"/>
          <w:szCs w:val="21"/>
        </w:rPr>
        <w:t xml:space="preserve"> </w:t>
      </w:r>
    </w:p>
    <w:p w:rsidR="00412676" w:rsidRDefault="00412676"/>
    <w:sectPr w:rsidR="00412676">
      <w:headerReference w:type="default" r:id="rId8"/>
      <w:footerReference w:type="default" r:id="rId9"/>
      <w:headerReference w:type="first" r:id="rId10"/>
      <w:footerReference w:type="first" r:id="rId11"/>
      <w:type w:val="continuous"/>
      <w:pgSz w:w="11906" w:h="16838"/>
      <w:pgMar w:top="1134" w:right="1134" w:bottom="1134" w:left="1134" w:header="720" w:footer="567" w:gutter="0"/>
      <w:cols w:space="720"/>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E0" w:rsidRDefault="00A424E0">
      <w:r>
        <w:separator/>
      </w:r>
    </w:p>
  </w:endnote>
  <w:endnote w:type="continuationSeparator" w:id="0">
    <w:p w:rsidR="00A424E0" w:rsidRDefault="00A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76" w:rsidRDefault="00412676">
    <w:pPr>
      <w:pStyle w:val="a3"/>
      <w:ind w:right="360"/>
      <w:rPr>
        <w:rFonts w:ascii="楷体_GB2312" w:eastAsia="楷体_GB2312"/>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76" w:rsidRDefault="004126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E0" w:rsidRDefault="00A424E0">
      <w:r>
        <w:separator/>
      </w:r>
    </w:p>
  </w:footnote>
  <w:footnote w:type="continuationSeparator" w:id="0">
    <w:p w:rsidR="00A424E0" w:rsidRDefault="00A4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76" w:rsidRDefault="00412676">
    <w:pPr>
      <w:pStyle w:val="a5"/>
      <w:pBdr>
        <w:bottom w:val="none" w:sz="0" w:space="5" w:color="auto"/>
      </w:pBdr>
      <w:jc w:val="left"/>
      <w:rPr>
        <w:rStyle w:val="a9"/>
        <w:rFonts w:ascii="仿宋" w:eastAsia="仿宋" w:hAnsi="仿宋" w:cs="仿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76" w:rsidRDefault="00412676">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F096D"/>
    <w:multiLevelType w:val="singleLevel"/>
    <w:tmpl w:val="87BF096D"/>
    <w:lvl w:ilvl="0">
      <w:start w:val="5"/>
      <w:numFmt w:val="chineseCounting"/>
      <w:suff w:val="nothing"/>
      <w:lvlText w:val="%1、"/>
      <w:lvlJc w:val="left"/>
      <w:rPr>
        <w:rFonts w:cs="Times New Roman" w:hint="eastAsia"/>
      </w:rPr>
    </w:lvl>
  </w:abstractNum>
  <w:abstractNum w:abstractNumId="1" w15:restartNumberingAfterBreak="0">
    <w:nsid w:val="8CAE2B23"/>
    <w:multiLevelType w:val="singleLevel"/>
    <w:tmpl w:val="8CAE2B23"/>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C2"/>
    <w:rsid w:val="000C719F"/>
    <w:rsid w:val="002D4CB6"/>
    <w:rsid w:val="00412676"/>
    <w:rsid w:val="004517C2"/>
    <w:rsid w:val="004A246C"/>
    <w:rsid w:val="00601CF2"/>
    <w:rsid w:val="00681DD7"/>
    <w:rsid w:val="00735F5C"/>
    <w:rsid w:val="007414BF"/>
    <w:rsid w:val="007C31CD"/>
    <w:rsid w:val="009555BC"/>
    <w:rsid w:val="00A424E0"/>
    <w:rsid w:val="00AB3F87"/>
    <w:rsid w:val="00B95C75"/>
    <w:rsid w:val="00BB6A6E"/>
    <w:rsid w:val="00BF5E5F"/>
    <w:rsid w:val="00C71D55"/>
    <w:rsid w:val="00E4318A"/>
    <w:rsid w:val="00E909A4"/>
    <w:rsid w:val="00EB2A03"/>
    <w:rsid w:val="00EF4750"/>
    <w:rsid w:val="00F60E01"/>
    <w:rsid w:val="010B7F73"/>
    <w:rsid w:val="01474D93"/>
    <w:rsid w:val="026455E8"/>
    <w:rsid w:val="02905AE4"/>
    <w:rsid w:val="036711EC"/>
    <w:rsid w:val="04990BCF"/>
    <w:rsid w:val="049A2B56"/>
    <w:rsid w:val="0559285B"/>
    <w:rsid w:val="078F7590"/>
    <w:rsid w:val="07B23E67"/>
    <w:rsid w:val="086034FA"/>
    <w:rsid w:val="08626FA5"/>
    <w:rsid w:val="08901685"/>
    <w:rsid w:val="08A66D5F"/>
    <w:rsid w:val="08AE08B6"/>
    <w:rsid w:val="0A4A2070"/>
    <w:rsid w:val="0ABB6192"/>
    <w:rsid w:val="0B792586"/>
    <w:rsid w:val="0B801D09"/>
    <w:rsid w:val="0BEE0489"/>
    <w:rsid w:val="0CAB542F"/>
    <w:rsid w:val="0CF76317"/>
    <w:rsid w:val="0D8D5CF2"/>
    <w:rsid w:val="0D8F0A21"/>
    <w:rsid w:val="0E1710B4"/>
    <w:rsid w:val="0F9D2F88"/>
    <w:rsid w:val="0FD410CA"/>
    <w:rsid w:val="1048547B"/>
    <w:rsid w:val="10EB71BF"/>
    <w:rsid w:val="11473E61"/>
    <w:rsid w:val="120564AF"/>
    <w:rsid w:val="12263674"/>
    <w:rsid w:val="127C15C6"/>
    <w:rsid w:val="1307279A"/>
    <w:rsid w:val="130B378A"/>
    <w:rsid w:val="13E3041E"/>
    <w:rsid w:val="14734CFF"/>
    <w:rsid w:val="14EA09FF"/>
    <w:rsid w:val="150A1753"/>
    <w:rsid w:val="16802313"/>
    <w:rsid w:val="168C2AEF"/>
    <w:rsid w:val="18561CA6"/>
    <w:rsid w:val="18D45E5D"/>
    <w:rsid w:val="19A33A0A"/>
    <w:rsid w:val="1A311052"/>
    <w:rsid w:val="1CA53750"/>
    <w:rsid w:val="1D0F5D1D"/>
    <w:rsid w:val="1D2910AD"/>
    <w:rsid w:val="1E43377D"/>
    <w:rsid w:val="1E4A777A"/>
    <w:rsid w:val="1E4F06CD"/>
    <w:rsid w:val="1E7D5299"/>
    <w:rsid w:val="1F270BD1"/>
    <w:rsid w:val="1F501EE2"/>
    <w:rsid w:val="202D347B"/>
    <w:rsid w:val="20E77CF1"/>
    <w:rsid w:val="21627873"/>
    <w:rsid w:val="21E34242"/>
    <w:rsid w:val="241F247B"/>
    <w:rsid w:val="24543AD2"/>
    <w:rsid w:val="25493A83"/>
    <w:rsid w:val="26593CEE"/>
    <w:rsid w:val="266A2D67"/>
    <w:rsid w:val="26BB0434"/>
    <w:rsid w:val="27554102"/>
    <w:rsid w:val="27975C96"/>
    <w:rsid w:val="299513F9"/>
    <w:rsid w:val="29E46D7F"/>
    <w:rsid w:val="2A154A1C"/>
    <w:rsid w:val="2AAC5FD2"/>
    <w:rsid w:val="2B226B6C"/>
    <w:rsid w:val="2B271466"/>
    <w:rsid w:val="2B9A541F"/>
    <w:rsid w:val="2BE833E8"/>
    <w:rsid w:val="2C884ECB"/>
    <w:rsid w:val="2D945BBC"/>
    <w:rsid w:val="2E68362A"/>
    <w:rsid w:val="2E834F22"/>
    <w:rsid w:val="31A93914"/>
    <w:rsid w:val="320E4CFD"/>
    <w:rsid w:val="32235397"/>
    <w:rsid w:val="3268681F"/>
    <w:rsid w:val="328C4441"/>
    <w:rsid w:val="32B97C5B"/>
    <w:rsid w:val="34275C3B"/>
    <w:rsid w:val="34317A5D"/>
    <w:rsid w:val="34B56F82"/>
    <w:rsid w:val="34C30BE5"/>
    <w:rsid w:val="35554B72"/>
    <w:rsid w:val="360D0ADA"/>
    <w:rsid w:val="3697686C"/>
    <w:rsid w:val="36D9606E"/>
    <w:rsid w:val="373E3402"/>
    <w:rsid w:val="37A14A97"/>
    <w:rsid w:val="37E613D1"/>
    <w:rsid w:val="38110233"/>
    <w:rsid w:val="381C68F8"/>
    <w:rsid w:val="38934E6D"/>
    <w:rsid w:val="38E66C96"/>
    <w:rsid w:val="3AC20E1E"/>
    <w:rsid w:val="3C093619"/>
    <w:rsid w:val="3E307E5E"/>
    <w:rsid w:val="3E540773"/>
    <w:rsid w:val="3EDB44BE"/>
    <w:rsid w:val="3EF667BA"/>
    <w:rsid w:val="3FB36C04"/>
    <w:rsid w:val="4016640C"/>
    <w:rsid w:val="41305937"/>
    <w:rsid w:val="42AD0885"/>
    <w:rsid w:val="43A46B6E"/>
    <w:rsid w:val="44132BC3"/>
    <w:rsid w:val="452C40CA"/>
    <w:rsid w:val="455A135F"/>
    <w:rsid w:val="45B077FE"/>
    <w:rsid w:val="467F0871"/>
    <w:rsid w:val="46A22450"/>
    <w:rsid w:val="46CA491A"/>
    <w:rsid w:val="46EC0EB4"/>
    <w:rsid w:val="476709B3"/>
    <w:rsid w:val="486677F9"/>
    <w:rsid w:val="48880644"/>
    <w:rsid w:val="48BE31B6"/>
    <w:rsid w:val="4A275326"/>
    <w:rsid w:val="4A3763DD"/>
    <w:rsid w:val="4AA945C8"/>
    <w:rsid w:val="4ACD12DE"/>
    <w:rsid w:val="4AEC7F1B"/>
    <w:rsid w:val="4B2E53A8"/>
    <w:rsid w:val="4B7C7D5E"/>
    <w:rsid w:val="4C422571"/>
    <w:rsid w:val="4D1F731C"/>
    <w:rsid w:val="4D505DEE"/>
    <w:rsid w:val="4E1C04CC"/>
    <w:rsid w:val="4E371526"/>
    <w:rsid w:val="4E3C569F"/>
    <w:rsid w:val="4F6248FB"/>
    <w:rsid w:val="4FA60B09"/>
    <w:rsid w:val="4FAD4D8D"/>
    <w:rsid w:val="51DA677E"/>
    <w:rsid w:val="52784163"/>
    <w:rsid w:val="52F57008"/>
    <w:rsid w:val="52FC0346"/>
    <w:rsid w:val="53356916"/>
    <w:rsid w:val="535D1E7F"/>
    <w:rsid w:val="53FE41B6"/>
    <w:rsid w:val="5572413A"/>
    <w:rsid w:val="566A4C34"/>
    <w:rsid w:val="56D5724B"/>
    <w:rsid w:val="56DD2821"/>
    <w:rsid w:val="581D10CA"/>
    <w:rsid w:val="586C1FDA"/>
    <w:rsid w:val="59872A74"/>
    <w:rsid w:val="59877C8A"/>
    <w:rsid w:val="5A8F1F2B"/>
    <w:rsid w:val="5AF75304"/>
    <w:rsid w:val="5B5D605C"/>
    <w:rsid w:val="5BBC3400"/>
    <w:rsid w:val="5BE51AE7"/>
    <w:rsid w:val="5BE7238C"/>
    <w:rsid w:val="5BF73527"/>
    <w:rsid w:val="5C6F14EA"/>
    <w:rsid w:val="5C717FFD"/>
    <w:rsid w:val="5CD77A26"/>
    <w:rsid w:val="5D492F50"/>
    <w:rsid w:val="5E702F51"/>
    <w:rsid w:val="5F6D4387"/>
    <w:rsid w:val="60372545"/>
    <w:rsid w:val="60C8789C"/>
    <w:rsid w:val="60F945AD"/>
    <w:rsid w:val="61213423"/>
    <w:rsid w:val="61263605"/>
    <w:rsid w:val="618325CC"/>
    <w:rsid w:val="62FD53E9"/>
    <w:rsid w:val="630737FB"/>
    <w:rsid w:val="63BE4DF3"/>
    <w:rsid w:val="63D93FA7"/>
    <w:rsid w:val="654E5B36"/>
    <w:rsid w:val="65647449"/>
    <w:rsid w:val="65B80BBB"/>
    <w:rsid w:val="66F964D3"/>
    <w:rsid w:val="67520FA9"/>
    <w:rsid w:val="679E629C"/>
    <w:rsid w:val="67B43FCC"/>
    <w:rsid w:val="68773BBF"/>
    <w:rsid w:val="68DB517F"/>
    <w:rsid w:val="68E8154C"/>
    <w:rsid w:val="6A0536D2"/>
    <w:rsid w:val="6A69573E"/>
    <w:rsid w:val="6AB74A9B"/>
    <w:rsid w:val="6C2B6E5D"/>
    <w:rsid w:val="6D11486D"/>
    <w:rsid w:val="6D1E7480"/>
    <w:rsid w:val="6D291648"/>
    <w:rsid w:val="6DBE4ED9"/>
    <w:rsid w:val="6EA00FE7"/>
    <w:rsid w:val="6EA24902"/>
    <w:rsid w:val="6EDC05A7"/>
    <w:rsid w:val="6F7731C4"/>
    <w:rsid w:val="6F7937A3"/>
    <w:rsid w:val="6FC73527"/>
    <w:rsid w:val="70633CC2"/>
    <w:rsid w:val="70B930E3"/>
    <w:rsid w:val="70DE024D"/>
    <w:rsid w:val="718B09D3"/>
    <w:rsid w:val="71C20C32"/>
    <w:rsid w:val="71D33E90"/>
    <w:rsid w:val="72B95BD0"/>
    <w:rsid w:val="73145924"/>
    <w:rsid w:val="73B56754"/>
    <w:rsid w:val="74D762AA"/>
    <w:rsid w:val="74DF0C9A"/>
    <w:rsid w:val="750A7286"/>
    <w:rsid w:val="768E49A1"/>
    <w:rsid w:val="77254232"/>
    <w:rsid w:val="77513B44"/>
    <w:rsid w:val="775A1360"/>
    <w:rsid w:val="776D170D"/>
    <w:rsid w:val="78510986"/>
    <w:rsid w:val="78687139"/>
    <w:rsid w:val="788D7520"/>
    <w:rsid w:val="79841DDD"/>
    <w:rsid w:val="79B141F7"/>
    <w:rsid w:val="7A9B249D"/>
    <w:rsid w:val="7AAD7760"/>
    <w:rsid w:val="7B87782B"/>
    <w:rsid w:val="7BA23496"/>
    <w:rsid w:val="7C634947"/>
    <w:rsid w:val="7CC84756"/>
    <w:rsid w:val="7D0D0FF5"/>
    <w:rsid w:val="7D6B1F44"/>
    <w:rsid w:val="7E5C218C"/>
    <w:rsid w:val="7E963186"/>
    <w:rsid w:val="7F5849BD"/>
    <w:rsid w:val="7F9E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3AF3"/>
  <w15:docId w15:val="{F471899D-8A68-44EA-AFEF-EEB0B0F8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楷体_GB2312"/>
      <w:kern w:val="2"/>
      <w:sz w:val="21"/>
      <w:szCs w:val="24"/>
    </w:rPr>
  </w:style>
  <w:style w:type="paragraph" w:styleId="2">
    <w:name w:val="heading 2"/>
    <w:basedOn w:val="3"/>
    <w:next w:val="a"/>
    <w:link w:val="20"/>
    <w:qFormat/>
    <w:pPr>
      <w:pBdr>
        <w:bottom w:val="single" w:sz="12" w:space="1" w:color="auto"/>
      </w:pBdr>
      <w:spacing w:line="413" w:lineRule="auto"/>
      <w:ind w:leftChars="100" w:left="100" w:rightChars="100" w:right="100"/>
      <w:outlineLvl w:val="1"/>
    </w:pPr>
    <w:rPr>
      <w:rFonts w:ascii="Arial" w:eastAsia="黑体" w:hAnsi="Arial"/>
      <w:b w:val="0"/>
      <w:bCs w:val="0"/>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pPr>
      <w:spacing w:line="580" w:lineRule="exact"/>
      <w:ind w:firstLineChars="200" w:firstLine="600"/>
    </w:pPr>
    <w:rPr>
      <w:sz w:val="30"/>
    </w:rPr>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spacing w:beforeAutospacing="1" w:afterAutospacing="1"/>
      <w:jc w:val="left"/>
    </w:pPr>
    <w:rPr>
      <w:kern w:val="0"/>
      <w:sz w:val="24"/>
    </w:rPr>
  </w:style>
  <w:style w:type="character" w:styleId="a8">
    <w:name w:val="Strong"/>
    <w:basedOn w:val="a0"/>
    <w:uiPriority w:val="22"/>
    <w:qFormat/>
    <w:rPr>
      <w:b/>
    </w:r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20">
    <w:name w:val="标题 2 字符"/>
    <w:basedOn w:val="a0"/>
    <w:link w:val="2"/>
    <w:qFormat/>
    <w:rPr>
      <w:rFonts w:ascii="Arial" w:eastAsia="黑体" w:hAnsi="Arial" w:cs="Times New Roman"/>
      <w:sz w:val="32"/>
      <w:szCs w:val="32"/>
    </w:rPr>
  </w:style>
  <w:style w:type="character" w:customStyle="1" w:styleId="22">
    <w:name w:val="正文文本缩进 2 字符"/>
    <w:basedOn w:val="a0"/>
    <w:link w:val="21"/>
    <w:qFormat/>
    <w:rPr>
      <w:rFonts w:ascii="Times New Roman" w:eastAsia="楷体_GB2312" w:hAnsi="Times New Roman" w:cs="Times New Roman"/>
      <w:sz w:val="30"/>
      <w:szCs w:val="24"/>
    </w:rPr>
  </w:style>
  <w:style w:type="paragraph" w:customStyle="1" w:styleId="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30">
    <w:name w:val="标题 3 字符"/>
    <w:basedOn w:val="a0"/>
    <w:link w:val="3"/>
    <w:uiPriority w:val="9"/>
    <w:semiHidden/>
    <w:qFormat/>
    <w:rPr>
      <w:rFonts w:ascii="Times New Roman" w:eastAsia="楷体_GB2312" w:hAnsi="Times New Roman" w:cs="Times New Roman"/>
      <w:b/>
      <w:bCs/>
      <w:sz w:val="32"/>
      <w:szCs w:val="32"/>
    </w:rPr>
  </w:style>
  <w:style w:type="character" w:customStyle="1" w:styleId="result">
    <w:name w:val="result"/>
    <w:basedOn w:val="a0"/>
    <w:qFormat/>
  </w:style>
  <w:style w:type="character" w:customStyle="1" w:styleId="NormalCharacter">
    <w:name w:val="NormalCharacter"/>
    <w:qFormat/>
  </w:style>
  <w:style w:type="character" w:customStyle="1" w:styleId="font01">
    <w:name w:val="font01"/>
    <w:basedOn w:val="a0"/>
    <w:qFormat/>
    <w:rPr>
      <w:rFonts w:ascii="Arial" w:hAnsi="Arial" w:cs="Arial"/>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Arial" w:hAnsi="Arial" w:cs="Arial"/>
      <w:color w:val="000000"/>
      <w:sz w:val="18"/>
      <w:szCs w:val="18"/>
      <w:u w:val="none"/>
    </w:rPr>
  </w:style>
  <w:style w:type="character" w:customStyle="1" w:styleId="font41">
    <w:name w:val="font41"/>
    <w:basedOn w:val="a0"/>
    <w:qFormat/>
    <w:rPr>
      <w:rFonts w:ascii="Arial" w:hAnsi="Arial" w:cs="Arial"/>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786</Words>
  <Characters>4486</Characters>
  <Application>Microsoft Office Word</Application>
  <DocSecurity>0</DocSecurity>
  <Lines>37</Lines>
  <Paragraphs>10</Paragraphs>
  <ScaleCrop>false</ScaleCrop>
  <Company>HP</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NTKO</cp:lastModifiedBy>
  <cp:revision>2</cp:revision>
  <cp:lastPrinted>2020-09-30T02:04:00Z</cp:lastPrinted>
  <dcterms:created xsi:type="dcterms:W3CDTF">2023-05-31T03:38:00Z</dcterms:created>
  <dcterms:modified xsi:type="dcterms:W3CDTF">2023-05-31T03:38:00Z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