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7CA07D">
      <w:pPr>
        <w:adjustRightInd w:val="0"/>
        <w:snapToGrid w:val="0"/>
        <w:rPr>
          <w:rFonts w:ascii="Times New Roman" w:hAnsi="Times New Roman" w:eastAsia="宋体"/>
          <w:color w:val="auto"/>
          <w:sz w:val="36"/>
          <w:szCs w:val="36"/>
        </w:rPr>
      </w:pPr>
      <w:bookmarkStart w:id="25" w:name="_GoBack"/>
      <w:bookmarkEnd w:id="25"/>
    </w:p>
    <w:p w14:paraId="0F0F4E0C">
      <w:pPr>
        <w:adjustRightInd w:val="0"/>
        <w:snapToGrid w:val="0"/>
        <w:rPr>
          <w:rFonts w:ascii="Times New Roman" w:hAnsi="Times New Roman" w:eastAsia="宋体"/>
          <w:color w:val="auto"/>
          <w:sz w:val="36"/>
          <w:szCs w:val="36"/>
        </w:rPr>
      </w:pPr>
    </w:p>
    <w:p w14:paraId="0B5B1303">
      <w:pPr>
        <w:pStyle w:val="80"/>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auto"/>
          <w:sz w:val="72"/>
          <w:szCs w:val="72"/>
        </w:rPr>
      </w:pPr>
      <w:r>
        <w:rPr>
          <w:rFonts w:hint="eastAsia" w:ascii="宋体" w:hAnsi="宋体" w:eastAsia="宋体" w:cs="宋体"/>
          <w:color w:val="auto"/>
          <w:sz w:val="72"/>
          <w:szCs w:val="72"/>
        </w:rPr>
        <w:t>建设项目环境影响报告表</w:t>
      </w:r>
    </w:p>
    <w:p w14:paraId="2F001EA4">
      <w:pPr>
        <w:pStyle w:val="80"/>
        <w:keepNext w:val="0"/>
        <w:keepLines w:val="0"/>
        <w:pageBreakBefore w:val="0"/>
        <w:widowControl/>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44"/>
          <w:szCs w:val="44"/>
        </w:rPr>
      </w:pPr>
      <w:bookmarkStart w:id="0" w:name="_Hlk57883728"/>
      <w:r>
        <w:rPr>
          <w:rFonts w:hint="eastAsia" w:ascii="宋体" w:hAnsi="宋体" w:eastAsia="宋体" w:cs="宋体"/>
          <w:color w:val="auto"/>
          <w:sz w:val="44"/>
          <w:szCs w:val="44"/>
        </w:rPr>
        <w:t>（</w:t>
      </w:r>
      <w:r>
        <w:rPr>
          <w:rFonts w:hint="eastAsia" w:ascii="宋体" w:hAnsi="宋体" w:eastAsia="宋体" w:cs="宋体"/>
          <w:color w:val="auto"/>
          <w:sz w:val="44"/>
          <w:szCs w:val="44"/>
          <w:lang w:val="en-US" w:eastAsia="zh-CN"/>
        </w:rPr>
        <w:t>送审</w:t>
      </w:r>
      <w:r>
        <w:rPr>
          <w:rFonts w:hint="eastAsia" w:ascii="宋体" w:hAnsi="宋体" w:eastAsia="宋体" w:cs="宋体"/>
          <w:color w:val="auto"/>
          <w:sz w:val="44"/>
          <w:szCs w:val="44"/>
        </w:rPr>
        <w:t>版）</w:t>
      </w:r>
    </w:p>
    <w:p w14:paraId="33691A15">
      <w:pPr>
        <w:pStyle w:val="80"/>
        <w:bidi w:val="0"/>
        <w:jc w:val="both"/>
        <w:rPr>
          <w:rFonts w:hint="eastAsia"/>
          <w:color w:val="auto"/>
        </w:rPr>
      </w:pPr>
    </w:p>
    <w:p w14:paraId="6438FBE9">
      <w:pPr>
        <w:pStyle w:val="80"/>
        <w:bidi w:val="0"/>
        <w:rPr>
          <w:rFonts w:hint="eastAsia"/>
          <w:color w:val="auto"/>
        </w:rPr>
      </w:pPr>
    </w:p>
    <w:p w14:paraId="3B2BB4D1">
      <w:pPr>
        <w:pStyle w:val="80"/>
        <w:bidi w:val="0"/>
        <w:jc w:val="both"/>
        <w:rPr>
          <w:rFonts w:hint="eastAsia" w:eastAsia="黑体"/>
          <w:color w:val="auto"/>
          <w:lang w:val="en-US" w:eastAsia="zh-CN"/>
        </w:rPr>
      </w:pPr>
    </w:p>
    <w:p w14:paraId="7B33E5DD">
      <w:pPr>
        <w:pStyle w:val="80"/>
        <w:bidi w:val="0"/>
        <w:rPr>
          <w:color w:val="auto"/>
        </w:rPr>
      </w:pPr>
    </w:p>
    <w:bookmarkEnd w:id="0"/>
    <w:p w14:paraId="3BE9F56E">
      <w:pPr>
        <w:pStyle w:val="80"/>
        <w:keepNext w:val="0"/>
        <w:keepLines w:val="0"/>
        <w:pageBreakBefore w:val="0"/>
        <w:widowControl/>
        <w:kinsoku/>
        <w:wordWrap/>
        <w:overflowPunct/>
        <w:topLinePunct w:val="0"/>
        <w:autoSpaceDE/>
        <w:autoSpaceDN/>
        <w:bidi w:val="0"/>
        <w:adjustRightInd/>
        <w:snapToGrid/>
        <w:ind w:left="1807" w:hanging="1807" w:hangingChars="500"/>
        <w:jc w:val="left"/>
        <w:textAlignment w:val="auto"/>
        <w:rPr>
          <w:rFonts w:hint="default" w:eastAsia="宋体"/>
          <w:color w:val="auto"/>
          <w:lang w:val="en-US" w:eastAsia="zh-CN"/>
        </w:rPr>
      </w:pPr>
      <w:r>
        <w:rPr>
          <w:rFonts w:hint="eastAsia" w:ascii="宋体" w:hAnsi="宋体" w:eastAsia="宋体" w:cs="宋体"/>
          <w:color w:val="auto"/>
          <w:sz w:val="36"/>
          <w:szCs w:val="36"/>
        </w:rPr>
        <w:t>项目名称：</w:t>
      </w:r>
      <w:bookmarkStart w:id="1" w:name="_Hlk119661528"/>
      <w:r>
        <w:rPr>
          <w:rFonts w:hint="eastAsia" w:ascii="宋体" w:hAnsi="宋体" w:eastAsia="宋体" w:cs="宋体"/>
          <w:color w:val="auto"/>
          <w:sz w:val="36"/>
          <w:szCs w:val="36"/>
          <w:lang w:val="en-US" w:eastAsia="zh-CN"/>
        </w:rPr>
        <w:t>京能国际承德县200MW光伏项目220kV送出工程项目</w:t>
      </w:r>
    </w:p>
    <w:bookmarkEnd w:id="1"/>
    <w:p w14:paraId="0CB6146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宋体" w:hAnsi="宋体" w:eastAsia="宋体" w:cs="宋体"/>
          <w:b/>
          <w:color w:val="auto"/>
          <w:kern w:val="0"/>
          <w:sz w:val="36"/>
          <w:szCs w:val="36"/>
          <w:lang w:val="en-US" w:eastAsia="zh-CN"/>
        </w:rPr>
      </w:pPr>
      <w:r>
        <w:rPr>
          <w:rStyle w:val="81"/>
          <w:rFonts w:hint="eastAsia" w:ascii="宋体" w:hAnsi="宋体" w:eastAsia="宋体" w:cs="宋体"/>
          <w:color w:val="auto"/>
          <w:sz w:val="36"/>
          <w:szCs w:val="36"/>
        </w:rPr>
        <w:t>建设单位</w:t>
      </w:r>
      <w:r>
        <w:rPr>
          <w:rStyle w:val="81"/>
          <w:rFonts w:hint="eastAsia" w:ascii="宋体" w:hAnsi="宋体" w:eastAsia="宋体" w:cs="宋体"/>
          <w:color w:val="auto"/>
          <w:sz w:val="36"/>
          <w:szCs w:val="36"/>
          <w:lang w:eastAsia="zh-CN"/>
        </w:rPr>
        <w:t>（</w:t>
      </w:r>
      <w:r>
        <w:rPr>
          <w:rStyle w:val="81"/>
          <w:rFonts w:hint="eastAsia" w:ascii="宋体" w:hAnsi="宋体" w:eastAsia="宋体" w:cs="宋体"/>
          <w:color w:val="auto"/>
          <w:sz w:val="36"/>
          <w:szCs w:val="36"/>
          <w:lang w:val="en-US" w:eastAsia="zh-CN"/>
        </w:rPr>
        <w:t>盖章</w:t>
      </w:r>
      <w:r>
        <w:rPr>
          <w:rStyle w:val="81"/>
          <w:rFonts w:hint="eastAsia" w:ascii="宋体" w:hAnsi="宋体" w:eastAsia="宋体" w:cs="宋体"/>
          <w:color w:val="auto"/>
          <w:sz w:val="36"/>
          <w:szCs w:val="36"/>
          <w:lang w:eastAsia="zh-CN"/>
        </w:rPr>
        <w:t>）</w:t>
      </w:r>
      <w:r>
        <w:rPr>
          <w:rStyle w:val="81"/>
          <w:rFonts w:hint="eastAsia" w:ascii="宋体" w:hAnsi="宋体" w:eastAsia="宋体" w:cs="宋体"/>
          <w:color w:val="auto"/>
          <w:sz w:val="36"/>
          <w:szCs w:val="36"/>
        </w:rPr>
        <w:t>：</w:t>
      </w:r>
      <w:r>
        <w:rPr>
          <w:rFonts w:hint="eastAsia" w:ascii="宋体" w:hAnsi="宋体" w:eastAsia="宋体" w:cs="宋体"/>
          <w:b/>
          <w:color w:val="auto"/>
          <w:kern w:val="0"/>
          <w:sz w:val="36"/>
          <w:szCs w:val="36"/>
          <w:lang w:val="en-US" w:eastAsia="zh-CN"/>
        </w:rPr>
        <w:t>京能（承德县）新能源有限公司</w:t>
      </w:r>
    </w:p>
    <w:p w14:paraId="66E1464F">
      <w:pPr>
        <w:pStyle w:val="80"/>
        <w:bidi w:val="0"/>
        <w:rPr>
          <w:color w:val="auto"/>
        </w:rPr>
      </w:pPr>
    </w:p>
    <w:p w14:paraId="15C2ED29">
      <w:pPr>
        <w:pStyle w:val="80"/>
        <w:bidi w:val="0"/>
        <w:rPr>
          <w:color w:val="auto"/>
        </w:rPr>
      </w:pPr>
    </w:p>
    <w:p w14:paraId="655E51A9">
      <w:pPr>
        <w:pStyle w:val="80"/>
        <w:keepNext w:val="0"/>
        <w:keepLines w:val="0"/>
        <w:pageBreakBefore w:val="0"/>
        <w:widowControl/>
        <w:kinsoku/>
        <w:wordWrap/>
        <w:overflowPunct/>
        <w:topLinePunct w:val="0"/>
        <w:autoSpaceDE/>
        <w:autoSpaceDN/>
        <w:bidi w:val="0"/>
        <w:adjustRightInd/>
        <w:snapToGrid/>
        <w:ind w:firstLine="1265" w:firstLineChars="350"/>
        <w:jc w:val="left"/>
        <w:textAlignment w:val="auto"/>
        <w:rPr>
          <w:rFonts w:hint="eastAsia" w:ascii="宋体" w:hAnsi="宋体" w:eastAsia="宋体" w:cs="宋体"/>
          <w:color w:val="auto"/>
          <w:sz w:val="36"/>
          <w:szCs w:val="36"/>
          <w:lang w:eastAsia="zh-CN"/>
        </w:rPr>
      </w:pPr>
      <w:r>
        <w:rPr>
          <w:rFonts w:hint="eastAsia" w:ascii="宋体" w:hAnsi="宋体" w:eastAsia="宋体" w:cs="宋体"/>
          <w:color w:val="auto"/>
          <w:sz w:val="36"/>
          <w:szCs w:val="36"/>
        </w:rPr>
        <w:t>编制单位：</w:t>
      </w:r>
      <w:r>
        <w:rPr>
          <w:rFonts w:hint="eastAsia" w:ascii="宋体" w:hAnsi="宋体" w:eastAsia="宋体" w:cs="宋体"/>
          <w:color w:val="auto"/>
          <w:sz w:val="36"/>
          <w:szCs w:val="36"/>
          <w:lang w:val="en-US" w:eastAsia="zh-CN"/>
        </w:rPr>
        <w:t>承德永清环保工程有限公司</w:t>
      </w:r>
    </w:p>
    <w:p w14:paraId="7C6B351E">
      <w:pPr>
        <w:pStyle w:val="80"/>
        <w:keepNext w:val="0"/>
        <w:keepLines w:val="0"/>
        <w:pageBreakBefore w:val="0"/>
        <w:widowControl/>
        <w:kinsoku/>
        <w:wordWrap/>
        <w:overflowPunct/>
        <w:topLinePunct w:val="0"/>
        <w:autoSpaceDE/>
        <w:autoSpaceDN/>
        <w:bidi w:val="0"/>
        <w:adjustRightInd/>
        <w:snapToGrid/>
        <w:ind w:firstLine="1265" w:firstLineChars="350"/>
        <w:jc w:val="left"/>
        <w:textAlignment w:val="auto"/>
        <w:rPr>
          <w:rFonts w:hint="default" w:ascii="宋体" w:hAnsi="宋体" w:eastAsia="宋体" w:cs="宋体"/>
          <w:color w:val="auto"/>
          <w:sz w:val="36"/>
          <w:szCs w:val="36"/>
          <w:lang w:val="en-US" w:eastAsia="zh-CN"/>
        </w:rPr>
      </w:pPr>
      <w:r>
        <w:rPr>
          <w:rFonts w:hint="eastAsia" w:ascii="宋体" w:hAnsi="宋体" w:eastAsia="宋体" w:cs="宋体"/>
          <w:color w:val="auto"/>
          <w:sz w:val="36"/>
          <w:szCs w:val="36"/>
        </w:rPr>
        <w:t>编制日期：</w:t>
      </w:r>
      <w:r>
        <w:rPr>
          <w:rFonts w:hint="eastAsia" w:ascii="宋体" w:hAnsi="宋体" w:eastAsia="宋体" w:cs="宋体"/>
          <w:color w:val="auto"/>
          <w:sz w:val="36"/>
          <w:szCs w:val="36"/>
          <w:lang w:val="en-US" w:eastAsia="zh-CN"/>
        </w:rPr>
        <w:t xml:space="preserve">      </w:t>
      </w:r>
      <w:r>
        <w:rPr>
          <w:rFonts w:hint="eastAsia" w:ascii="宋体" w:hAnsi="宋体" w:eastAsia="宋体" w:cs="宋体"/>
          <w:color w:val="auto"/>
          <w:sz w:val="36"/>
          <w:szCs w:val="36"/>
        </w:rPr>
        <w:t>202</w:t>
      </w:r>
      <w:r>
        <w:rPr>
          <w:rFonts w:hint="eastAsia" w:ascii="宋体" w:hAnsi="宋体" w:eastAsia="宋体" w:cs="宋体"/>
          <w:color w:val="auto"/>
          <w:sz w:val="36"/>
          <w:szCs w:val="36"/>
          <w:lang w:val="en-US" w:eastAsia="zh-CN"/>
        </w:rPr>
        <w:t>5</w:t>
      </w:r>
      <w:r>
        <w:rPr>
          <w:rFonts w:hint="eastAsia" w:ascii="宋体" w:hAnsi="宋体" w:eastAsia="宋体" w:cs="宋体"/>
          <w:color w:val="auto"/>
          <w:sz w:val="36"/>
          <w:szCs w:val="36"/>
        </w:rPr>
        <w:t>年</w:t>
      </w:r>
      <w:r>
        <w:rPr>
          <w:rFonts w:hint="eastAsia" w:ascii="宋体" w:hAnsi="宋体" w:eastAsia="宋体" w:cs="宋体"/>
          <w:color w:val="auto"/>
          <w:sz w:val="36"/>
          <w:szCs w:val="36"/>
          <w:lang w:val="en-US" w:eastAsia="zh-CN"/>
        </w:rPr>
        <w:t>5</w:t>
      </w:r>
      <w:r>
        <w:rPr>
          <w:rFonts w:hint="eastAsia" w:ascii="宋体" w:hAnsi="宋体" w:eastAsia="宋体" w:cs="宋体"/>
          <w:color w:val="auto"/>
          <w:sz w:val="36"/>
          <w:szCs w:val="36"/>
        </w:rPr>
        <w:t>月</w:t>
      </w:r>
    </w:p>
    <w:p w14:paraId="0D231273"/>
    <w:p w14:paraId="05304F91">
      <w:pPr>
        <w:adjustRightInd w:val="0"/>
        <w:snapToGrid w:val="0"/>
        <w:spacing w:line="288" w:lineRule="auto"/>
        <w:jc w:val="center"/>
        <w:rPr>
          <w:color w:val="000000" w:themeColor="text1"/>
          <w14:textFill>
            <w14:solidFill>
              <w14:schemeClr w14:val="tx1"/>
            </w14:solidFill>
          </w14:textFill>
        </w:rPr>
        <w:sectPr>
          <w:footerReference r:id="rId3" w:type="default"/>
          <w:pgSz w:w="11906" w:h="16838"/>
          <w:pgMar w:top="1701" w:right="1531" w:bottom="1701" w:left="1531" w:header="851" w:footer="1077" w:gutter="0"/>
          <w:pgNumType w:start="1"/>
          <w:cols w:space="720" w:num="1"/>
          <w:docGrid w:linePitch="312" w:charSpace="0"/>
        </w:sectPr>
      </w:pPr>
    </w:p>
    <w:p w14:paraId="610356D8">
      <w:pPr>
        <w:adjustRightInd w:val="0"/>
        <w:snapToGrid w:val="0"/>
        <w:spacing w:line="288" w:lineRule="auto"/>
        <w:jc w:val="center"/>
        <w:rPr>
          <w:color w:val="000000" w:themeColor="text1"/>
          <w14:textFill>
            <w14:solidFill>
              <w14:schemeClr w14:val="tx1"/>
            </w14:solidFill>
          </w14:textFill>
        </w:rPr>
        <w:sectPr>
          <w:pgSz w:w="11906" w:h="16838"/>
          <w:pgMar w:top="1701" w:right="1531" w:bottom="1701" w:left="1531" w:header="851" w:footer="1077" w:gutter="0"/>
          <w:pgNumType w:start="1"/>
          <w:cols w:space="720" w:num="1"/>
          <w:docGrid w:linePitch="312" w:charSpace="0"/>
        </w:sectPr>
      </w:pPr>
    </w:p>
    <w:sdt>
      <w:sdtPr>
        <w:rPr>
          <w:rFonts w:ascii="宋体" w:hAnsi="宋体"/>
          <w:color w:val="000000" w:themeColor="text1"/>
          <w14:textFill>
            <w14:solidFill>
              <w14:schemeClr w14:val="tx1"/>
            </w14:solidFill>
          </w14:textFill>
        </w:rPr>
        <w:id w:val="147453386"/>
        <w15:color w:val="DBDBDB"/>
        <w:docPartObj>
          <w:docPartGallery w:val="Table of Contents"/>
          <w:docPartUnique/>
        </w:docPartObj>
      </w:sdtPr>
      <w:sdtEndPr>
        <w:rPr>
          <w:rFonts w:ascii="Times New Roman" w:hAnsi="Times New Roman"/>
          <w:color w:val="000000" w:themeColor="text1"/>
          <w:kern w:val="0"/>
          <w14:textFill>
            <w14:solidFill>
              <w14:schemeClr w14:val="tx1"/>
            </w14:solidFill>
          </w14:textFill>
        </w:rPr>
      </w:sdtEndPr>
      <w:sdtContent>
        <w:p w14:paraId="2689A801">
          <w:pPr>
            <w:jc w:val="center"/>
            <w:rPr>
              <w:color w:val="000000" w:themeColor="text1"/>
              <w:sz w:val="24"/>
              <w14:textFill>
                <w14:solidFill>
                  <w14:schemeClr w14:val="tx1"/>
                </w14:solidFill>
              </w14:textFill>
            </w:rPr>
          </w:pPr>
          <w:r>
            <w:rPr>
              <w:rFonts w:hint="eastAsia" w:ascii="黑体" w:hAnsi="黑体" w:eastAsia="黑体" w:cs="黑体"/>
              <w:color w:val="000000" w:themeColor="text1"/>
              <w:sz w:val="36"/>
              <w:szCs w:val="36"/>
              <w14:textFill>
                <w14:solidFill>
                  <w14:schemeClr w14:val="tx1"/>
                </w14:solidFill>
              </w14:textFill>
            </w:rPr>
            <w:t>目 录</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TOC \o "1-1" \h \u </w:instrText>
          </w:r>
          <w:r>
            <w:rPr>
              <w:color w:val="000000" w:themeColor="text1"/>
              <w:sz w:val="24"/>
              <w14:textFill>
                <w14:solidFill>
                  <w14:schemeClr w14:val="tx1"/>
                </w14:solidFill>
              </w14:textFill>
            </w:rPr>
            <w:fldChar w:fldCharType="separate"/>
          </w:r>
        </w:p>
        <w:p w14:paraId="01BB5C94">
          <w:pPr>
            <w:pStyle w:val="79"/>
            <w:tabs>
              <w:tab w:val="right" w:leader="dot" w:pos="8844"/>
            </w:tabs>
            <w:spacing w:line="480" w:lineRule="exact"/>
            <w:rPr>
              <w:rFonts w:ascii="黑体" w:hAnsi="黑体" w:eastAsia="黑体" w:cs="黑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"_Toc20986" </w:instrText>
          </w:r>
          <w:r>
            <w:rPr>
              <w:color w:val="000000" w:themeColor="text1"/>
              <w14:textFill>
                <w14:solidFill>
                  <w14:schemeClr w14:val="tx1"/>
                </w14:solidFill>
              </w14:textFill>
            </w:rPr>
            <w:fldChar w:fldCharType="separate"/>
          </w:r>
          <w:r>
            <w:rPr>
              <w:rFonts w:hint="eastAsia" w:ascii="黑体" w:hAnsi="黑体" w:eastAsia="黑体" w:cs="黑体"/>
              <w:snapToGrid w:val="0"/>
              <w:color w:val="000000" w:themeColor="text1"/>
              <w:sz w:val="24"/>
              <w:szCs w:val="24"/>
              <w14:textFill>
                <w14:solidFill>
                  <w14:schemeClr w14:val="tx1"/>
                </w14:solidFill>
              </w14:textFill>
            </w:rPr>
            <w:t>一、建设项目基本情况</w:t>
          </w:r>
          <w:r>
            <w:rPr>
              <w:rFonts w:hint="eastAsia" w:ascii="黑体" w:hAnsi="黑体" w:eastAsia="黑体" w:cs="黑体"/>
              <w:color w:val="000000" w:themeColor="text1"/>
              <w:sz w:val="24"/>
              <w:szCs w:val="24"/>
              <w14:textFill>
                <w14:solidFill>
                  <w14:schemeClr w14:val="tx1"/>
                </w14:solidFill>
              </w14:textFill>
            </w:rPr>
            <w:tab/>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PAGEREF _Toc20986 \h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1</w:t>
          </w:r>
          <w:r>
            <w:rPr>
              <w:rFonts w:hint="eastAsia" w:ascii="黑体" w:hAnsi="黑体" w:eastAsia="黑体" w:cs="黑体"/>
              <w:color w:val="000000" w:themeColor="text1"/>
              <w:sz w:val="24"/>
              <w:szCs w:val="24"/>
              <w14:textFill>
                <w14:solidFill>
                  <w14:schemeClr w14:val="tx1"/>
                </w14:solidFill>
              </w14:textFill>
            </w:rPr>
            <w:fldChar w:fldCharType="end"/>
          </w:r>
          <w:r>
            <w:rPr>
              <w:rFonts w:hint="eastAsia" w:ascii="黑体" w:hAnsi="黑体" w:eastAsia="黑体" w:cs="黑体"/>
              <w:color w:val="000000" w:themeColor="text1"/>
              <w:sz w:val="24"/>
              <w:szCs w:val="24"/>
              <w14:textFill>
                <w14:solidFill>
                  <w14:schemeClr w14:val="tx1"/>
                </w14:solidFill>
              </w14:textFill>
            </w:rPr>
            <w:fldChar w:fldCharType="end"/>
          </w:r>
        </w:p>
        <w:p w14:paraId="153CB5EB">
          <w:pPr>
            <w:pStyle w:val="79"/>
            <w:tabs>
              <w:tab w:val="right" w:leader="dot" w:pos="8844"/>
            </w:tabs>
            <w:spacing w:line="480" w:lineRule="exact"/>
            <w:rPr>
              <w:rFonts w:ascii="黑体" w:hAnsi="黑体" w:eastAsia="黑体" w:cs="黑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"_Toc1285" </w:instrText>
          </w:r>
          <w:r>
            <w:rPr>
              <w:color w:val="000000" w:themeColor="text1"/>
              <w14:textFill>
                <w14:solidFill>
                  <w14:schemeClr w14:val="tx1"/>
                </w14:solidFill>
              </w14:textFill>
            </w:rPr>
            <w:fldChar w:fldCharType="separate"/>
          </w:r>
          <w:r>
            <w:rPr>
              <w:rFonts w:hint="eastAsia" w:ascii="黑体" w:hAnsi="黑体" w:eastAsia="黑体" w:cs="黑体"/>
              <w:snapToGrid w:val="0"/>
              <w:color w:val="000000" w:themeColor="text1"/>
              <w:sz w:val="24"/>
              <w:szCs w:val="24"/>
              <w14:textFill>
                <w14:solidFill>
                  <w14:schemeClr w14:val="tx1"/>
                </w14:solidFill>
              </w14:textFill>
            </w:rPr>
            <w:t>二、建设内容</w:t>
          </w:r>
          <w:r>
            <w:rPr>
              <w:rFonts w:hint="eastAsia" w:ascii="黑体" w:hAnsi="黑体" w:eastAsia="黑体" w:cs="黑体"/>
              <w:color w:val="000000" w:themeColor="text1"/>
              <w:sz w:val="24"/>
              <w:szCs w:val="24"/>
              <w14:textFill>
                <w14:solidFill>
                  <w14:schemeClr w14:val="tx1"/>
                </w14:solidFill>
              </w14:textFill>
            </w:rPr>
            <w:tab/>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PAGEREF _Toc1285 \h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31</w:t>
          </w:r>
          <w:r>
            <w:rPr>
              <w:rFonts w:hint="eastAsia" w:ascii="黑体" w:hAnsi="黑体" w:eastAsia="黑体" w:cs="黑体"/>
              <w:color w:val="000000" w:themeColor="text1"/>
              <w:sz w:val="24"/>
              <w:szCs w:val="24"/>
              <w14:textFill>
                <w14:solidFill>
                  <w14:schemeClr w14:val="tx1"/>
                </w14:solidFill>
              </w14:textFill>
            </w:rPr>
            <w:fldChar w:fldCharType="end"/>
          </w:r>
          <w:r>
            <w:rPr>
              <w:rFonts w:hint="eastAsia" w:ascii="黑体" w:hAnsi="黑体" w:eastAsia="黑体" w:cs="黑体"/>
              <w:color w:val="000000" w:themeColor="text1"/>
              <w:sz w:val="24"/>
              <w:szCs w:val="24"/>
              <w14:textFill>
                <w14:solidFill>
                  <w14:schemeClr w14:val="tx1"/>
                </w14:solidFill>
              </w14:textFill>
            </w:rPr>
            <w:fldChar w:fldCharType="end"/>
          </w:r>
        </w:p>
        <w:p w14:paraId="0B427004">
          <w:pPr>
            <w:pStyle w:val="79"/>
            <w:tabs>
              <w:tab w:val="right" w:leader="dot" w:pos="8844"/>
            </w:tabs>
            <w:spacing w:line="480" w:lineRule="exact"/>
            <w:rPr>
              <w:rFonts w:ascii="黑体" w:hAnsi="黑体" w:eastAsia="黑体" w:cs="黑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"_Toc3611" </w:instrText>
          </w:r>
          <w:r>
            <w:rPr>
              <w:color w:val="000000" w:themeColor="text1"/>
              <w14:textFill>
                <w14:solidFill>
                  <w14:schemeClr w14:val="tx1"/>
                </w14:solidFill>
              </w14:textFill>
            </w:rPr>
            <w:fldChar w:fldCharType="separate"/>
          </w:r>
          <w:r>
            <w:rPr>
              <w:rFonts w:hint="eastAsia" w:ascii="黑体" w:hAnsi="黑体" w:eastAsia="黑体" w:cs="黑体"/>
              <w:snapToGrid w:val="0"/>
              <w:color w:val="000000" w:themeColor="text1"/>
              <w:sz w:val="24"/>
              <w:szCs w:val="24"/>
              <w14:textFill>
                <w14:solidFill>
                  <w14:schemeClr w14:val="tx1"/>
                </w14:solidFill>
              </w14:textFill>
            </w:rPr>
            <w:t>三、区域环境质量现状、环境保护目标及评价标准</w:t>
          </w:r>
          <w:r>
            <w:rPr>
              <w:rFonts w:hint="eastAsia" w:ascii="黑体" w:hAnsi="黑体" w:eastAsia="黑体" w:cs="黑体"/>
              <w:color w:val="000000" w:themeColor="text1"/>
              <w:sz w:val="24"/>
              <w:szCs w:val="24"/>
              <w14:textFill>
                <w14:solidFill>
                  <w14:schemeClr w14:val="tx1"/>
                </w14:solidFill>
              </w14:textFill>
            </w:rPr>
            <w:tab/>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PAGEREF _Toc3611 \h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49</w:t>
          </w:r>
          <w:r>
            <w:rPr>
              <w:rFonts w:hint="eastAsia" w:ascii="黑体" w:hAnsi="黑体" w:eastAsia="黑体" w:cs="黑体"/>
              <w:color w:val="000000" w:themeColor="text1"/>
              <w:sz w:val="24"/>
              <w:szCs w:val="24"/>
              <w14:textFill>
                <w14:solidFill>
                  <w14:schemeClr w14:val="tx1"/>
                </w14:solidFill>
              </w14:textFill>
            </w:rPr>
            <w:fldChar w:fldCharType="end"/>
          </w:r>
          <w:r>
            <w:rPr>
              <w:rFonts w:hint="eastAsia" w:ascii="黑体" w:hAnsi="黑体" w:eastAsia="黑体" w:cs="黑体"/>
              <w:color w:val="000000" w:themeColor="text1"/>
              <w:sz w:val="24"/>
              <w:szCs w:val="24"/>
              <w14:textFill>
                <w14:solidFill>
                  <w14:schemeClr w14:val="tx1"/>
                </w14:solidFill>
              </w14:textFill>
            </w:rPr>
            <w:fldChar w:fldCharType="end"/>
          </w:r>
        </w:p>
        <w:p w14:paraId="53C71964">
          <w:pPr>
            <w:pStyle w:val="79"/>
            <w:tabs>
              <w:tab w:val="right" w:leader="dot" w:pos="8844"/>
            </w:tabs>
            <w:spacing w:line="480" w:lineRule="exact"/>
            <w:rPr>
              <w:rFonts w:ascii="黑体" w:hAnsi="黑体" w:eastAsia="黑体" w:cs="黑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"_Toc14952" </w:instrText>
          </w:r>
          <w:r>
            <w:rPr>
              <w:color w:val="000000" w:themeColor="text1"/>
              <w14:textFill>
                <w14:solidFill>
                  <w14:schemeClr w14:val="tx1"/>
                </w14:solidFill>
              </w14:textFill>
            </w:rPr>
            <w:fldChar w:fldCharType="separate"/>
          </w:r>
          <w:r>
            <w:rPr>
              <w:rFonts w:hint="eastAsia" w:ascii="黑体" w:hAnsi="黑体" w:eastAsia="黑体" w:cs="黑体"/>
              <w:snapToGrid w:val="0"/>
              <w:color w:val="000000" w:themeColor="text1"/>
              <w:sz w:val="24"/>
              <w:szCs w:val="24"/>
              <w14:textFill>
                <w14:solidFill>
                  <w14:schemeClr w14:val="tx1"/>
                </w14:solidFill>
              </w14:textFill>
            </w:rPr>
            <w:t>四、主要环境影响</w:t>
          </w:r>
          <w:r>
            <w:rPr>
              <w:rFonts w:hint="eastAsia" w:ascii="黑体" w:hAnsi="黑体" w:eastAsia="黑体" w:cs="黑体"/>
              <w:color w:val="000000" w:themeColor="text1"/>
              <w:sz w:val="24"/>
              <w:szCs w:val="24"/>
              <w14:textFill>
                <w14:solidFill>
                  <w14:schemeClr w14:val="tx1"/>
                </w14:solidFill>
              </w14:textFill>
            </w:rPr>
            <w:tab/>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PAGEREF _Toc14952 \h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65</w:t>
          </w:r>
          <w:r>
            <w:rPr>
              <w:rFonts w:hint="eastAsia" w:ascii="黑体" w:hAnsi="黑体" w:eastAsia="黑体" w:cs="黑体"/>
              <w:color w:val="000000" w:themeColor="text1"/>
              <w:sz w:val="24"/>
              <w:szCs w:val="24"/>
              <w14:textFill>
                <w14:solidFill>
                  <w14:schemeClr w14:val="tx1"/>
                </w14:solidFill>
              </w14:textFill>
            </w:rPr>
            <w:fldChar w:fldCharType="end"/>
          </w:r>
          <w:r>
            <w:rPr>
              <w:rFonts w:hint="eastAsia" w:ascii="黑体" w:hAnsi="黑体" w:eastAsia="黑体" w:cs="黑体"/>
              <w:color w:val="000000" w:themeColor="text1"/>
              <w:sz w:val="24"/>
              <w:szCs w:val="24"/>
              <w14:textFill>
                <w14:solidFill>
                  <w14:schemeClr w14:val="tx1"/>
                </w14:solidFill>
              </w14:textFill>
            </w:rPr>
            <w:fldChar w:fldCharType="end"/>
          </w:r>
        </w:p>
        <w:p w14:paraId="18B8F052">
          <w:pPr>
            <w:pStyle w:val="79"/>
            <w:tabs>
              <w:tab w:val="right" w:leader="dot" w:pos="8844"/>
            </w:tabs>
            <w:spacing w:line="480" w:lineRule="exact"/>
            <w:rPr>
              <w:rFonts w:ascii="黑体" w:hAnsi="黑体" w:eastAsia="黑体" w:cs="黑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"_Toc5190" </w:instrText>
          </w:r>
          <w:r>
            <w:rPr>
              <w:color w:val="000000" w:themeColor="text1"/>
              <w14:textFill>
                <w14:solidFill>
                  <w14:schemeClr w14:val="tx1"/>
                </w14:solidFill>
              </w14:textFill>
            </w:rPr>
            <w:fldChar w:fldCharType="separate"/>
          </w:r>
          <w:r>
            <w:rPr>
              <w:rFonts w:hint="eastAsia" w:ascii="黑体" w:hAnsi="黑体" w:eastAsia="黑体" w:cs="黑体"/>
              <w:snapToGrid w:val="0"/>
              <w:color w:val="000000" w:themeColor="text1"/>
              <w:sz w:val="24"/>
              <w:szCs w:val="24"/>
              <w14:textFill>
                <w14:solidFill>
                  <w14:schemeClr w14:val="tx1"/>
                </w14:solidFill>
              </w14:textFill>
            </w:rPr>
            <w:t>五、主要生态环境保护措施</w:t>
          </w:r>
          <w:r>
            <w:rPr>
              <w:rFonts w:hint="eastAsia" w:ascii="黑体" w:hAnsi="黑体" w:eastAsia="黑体" w:cs="黑体"/>
              <w:color w:val="000000" w:themeColor="text1"/>
              <w:sz w:val="24"/>
              <w:szCs w:val="24"/>
              <w14:textFill>
                <w14:solidFill>
                  <w14:schemeClr w14:val="tx1"/>
                </w14:solidFill>
              </w14:textFill>
            </w:rPr>
            <w:tab/>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PAGEREF _Toc5190 \h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76</w:t>
          </w:r>
          <w:r>
            <w:rPr>
              <w:rFonts w:hint="eastAsia" w:ascii="黑体" w:hAnsi="黑体" w:eastAsia="黑体" w:cs="黑体"/>
              <w:color w:val="000000" w:themeColor="text1"/>
              <w:sz w:val="24"/>
              <w:szCs w:val="24"/>
              <w14:textFill>
                <w14:solidFill>
                  <w14:schemeClr w14:val="tx1"/>
                </w14:solidFill>
              </w14:textFill>
            </w:rPr>
            <w:fldChar w:fldCharType="end"/>
          </w:r>
          <w:r>
            <w:rPr>
              <w:rFonts w:hint="eastAsia" w:ascii="黑体" w:hAnsi="黑体" w:eastAsia="黑体" w:cs="黑体"/>
              <w:color w:val="000000" w:themeColor="text1"/>
              <w:sz w:val="24"/>
              <w:szCs w:val="24"/>
              <w14:textFill>
                <w14:solidFill>
                  <w14:schemeClr w14:val="tx1"/>
                </w14:solidFill>
              </w14:textFill>
            </w:rPr>
            <w:fldChar w:fldCharType="end"/>
          </w:r>
        </w:p>
        <w:p w14:paraId="519D7506">
          <w:pPr>
            <w:pStyle w:val="79"/>
            <w:tabs>
              <w:tab w:val="right" w:leader="dot" w:pos="8844"/>
            </w:tabs>
            <w:spacing w:line="480" w:lineRule="exact"/>
            <w:rPr>
              <w:rFonts w:ascii="黑体" w:hAnsi="黑体" w:eastAsia="黑体" w:cs="黑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"_Toc2575" </w:instrText>
          </w:r>
          <w:r>
            <w:rPr>
              <w:color w:val="000000" w:themeColor="text1"/>
              <w14:textFill>
                <w14:solidFill>
                  <w14:schemeClr w14:val="tx1"/>
                </w14:solidFill>
              </w14:textFill>
            </w:rPr>
            <w:fldChar w:fldCharType="separate"/>
          </w:r>
          <w:r>
            <w:rPr>
              <w:rFonts w:hint="eastAsia" w:ascii="黑体" w:hAnsi="黑体" w:eastAsia="黑体" w:cs="黑体"/>
              <w:snapToGrid w:val="0"/>
              <w:color w:val="000000" w:themeColor="text1"/>
              <w:sz w:val="24"/>
              <w:szCs w:val="24"/>
              <w14:textFill>
                <w14:solidFill>
                  <w14:schemeClr w14:val="tx1"/>
                </w14:solidFill>
              </w14:textFill>
            </w:rPr>
            <w:t>六、生态环境保护措施监督检查清单</w:t>
          </w:r>
          <w:r>
            <w:rPr>
              <w:rFonts w:hint="eastAsia" w:ascii="黑体" w:hAnsi="黑体" w:eastAsia="黑体" w:cs="黑体"/>
              <w:color w:val="000000" w:themeColor="text1"/>
              <w:sz w:val="24"/>
              <w:szCs w:val="24"/>
              <w14:textFill>
                <w14:solidFill>
                  <w14:schemeClr w14:val="tx1"/>
                </w14:solidFill>
              </w14:textFill>
            </w:rPr>
            <w:tab/>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PAGEREF _Toc2575 \h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89</w:t>
          </w:r>
          <w:r>
            <w:rPr>
              <w:rFonts w:hint="eastAsia" w:ascii="黑体" w:hAnsi="黑体" w:eastAsia="黑体" w:cs="黑体"/>
              <w:color w:val="000000" w:themeColor="text1"/>
              <w:sz w:val="24"/>
              <w:szCs w:val="24"/>
              <w14:textFill>
                <w14:solidFill>
                  <w14:schemeClr w14:val="tx1"/>
                </w14:solidFill>
              </w14:textFill>
            </w:rPr>
            <w:fldChar w:fldCharType="end"/>
          </w:r>
          <w:r>
            <w:rPr>
              <w:rFonts w:hint="eastAsia" w:ascii="黑体" w:hAnsi="黑体" w:eastAsia="黑体" w:cs="黑体"/>
              <w:color w:val="000000" w:themeColor="text1"/>
              <w:sz w:val="24"/>
              <w:szCs w:val="24"/>
              <w14:textFill>
                <w14:solidFill>
                  <w14:schemeClr w14:val="tx1"/>
                </w14:solidFill>
              </w14:textFill>
            </w:rPr>
            <w:fldChar w:fldCharType="end"/>
          </w:r>
        </w:p>
        <w:p w14:paraId="3E7BEB80">
          <w:pPr>
            <w:pStyle w:val="79"/>
            <w:tabs>
              <w:tab w:val="right" w:leader="dot" w:pos="8844"/>
            </w:tabs>
            <w:spacing w:line="480" w:lineRule="exact"/>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"_Toc5299" </w:instrText>
          </w:r>
          <w:r>
            <w:rPr>
              <w:color w:val="000000" w:themeColor="text1"/>
              <w14:textFill>
                <w14:solidFill>
                  <w14:schemeClr w14:val="tx1"/>
                </w14:solidFill>
              </w14:textFill>
            </w:rPr>
            <w:fldChar w:fldCharType="separate"/>
          </w:r>
          <w:r>
            <w:rPr>
              <w:rFonts w:hint="eastAsia" w:ascii="黑体" w:hAnsi="黑体" w:eastAsia="黑体" w:cs="黑体"/>
              <w:snapToGrid w:val="0"/>
              <w:color w:val="000000" w:themeColor="text1"/>
              <w:sz w:val="24"/>
              <w:szCs w:val="24"/>
              <w14:textFill>
                <w14:solidFill>
                  <w14:schemeClr w14:val="tx1"/>
                </w14:solidFill>
              </w14:textFill>
            </w:rPr>
            <w:t>七、结论</w:t>
          </w:r>
          <w:r>
            <w:rPr>
              <w:rFonts w:hint="eastAsia" w:ascii="黑体" w:hAnsi="黑体" w:eastAsia="黑体" w:cs="黑体"/>
              <w:color w:val="000000" w:themeColor="text1"/>
              <w:sz w:val="24"/>
              <w:szCs w:val="24"/>
              <w14:textFill>
                <w14:solidFill>
                  <w14:schemeClr w14:val="tx1"/>
                </w14:solidFill>
              </w14:textFill>
            </w:rPr>
            <w:tab/>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PAGEREF _Toc5299 \h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91</w:t>
          </w:r>
          <w:r>
            <w:rPr>
              <w:rFonts w:hint="eastAsia" w:ascii="黑体" w:hAnsi="黑体" w:eastAsia="黑体" w:cs="黑体"/>
              <w:color w:val="000000" w:themeColor="text1"/>
              <w:sz w:val="24"/>
              <w:szCs w:val="24"/>
              <w14:textFill>
                <w14:solidFill>
                  <w14:schemeClr w14:val="tx1"/>
                </w14:solidFill>
              </w14:textFill>
            </w:rPr>
            <w:fldChar w:fldCharType="end"/>
          </w:r>
          <w:r>
            <w:rPr>
              <w:rFonts w:hint="eastAsia" w:ascii="黑体" w:hAnsi="黑体" w:eastAsia="黑体" w:cs="黑体"/>
              <w:color w:val="000000" w:themeColor="text1"/>
              <w:sz w:val="24"/>
              <w:szCs w:val="24"/>
              <w14:textFill>
                <w14:solidFill>
                  <w14:schemeClr w14:val="tx1"/>
                </w14:solidFill>
              </w14:textFill>
            </w:rPr>
            <w:fldChar w:fldCharType="end"/>
          </w:r>
        </w:p>
        <w:p w14:paraId="3B5B2531">
          <w:pPr>
            <w:widowControl/>
            <w:spacing w:line="360" w:lineRule="auto"/>
            <w:jc w:val="left"/>
            <w:rPr>
              <w:rFonts w:hint="eastAsia" w:eastAsia="宋体"/>
              <w:color w:val="FF0000"/>
              <w:kern w:val="0"/>
              <w:sz w:val="24"/>
              <w:lang w:eastAsia="zh-CN"/>
            </w:rPr>
          </w:pPr>
          <w:r>
            <w:rPr>
              <w:color w:val="000000" w:themeColor="text1"/>
              <w:sz w:val="24"/>
              <w14:textFill>
                <w14:solidFill>
                  <w14:schemeClr w14:val="tx1"/>
                </w14:solidFill>
              </w14:textFill>
            </w:rPr>
            <w:fldChar w:fldCharType="end"/>
          </w:r>
        </w:p>
        <w:p w14:paraId="7A38BC6D">
          <w:pPr>
            <w:widowControl/>
            <w:spacing w:line="360" w:lineRule="auto"/>
            <w:jc w:val="left"/>
            <w:rPr>
              <w:rFonts w:hint="eastAsia"/>
              <w:color w:val="000000" w:themeColor="text1"/>
              <w:kern w:val="0"/>
              <w:sz w:val="24"/>
              <w14:textFill>
                <w14:solidFill>
                  <w14:schemeClr w14:val="tx1"/>
                </w14:solidFill>
              </w14:textFill>
            </w:rPr>
          </w:pPr>
        </w:p>
        <w:p w14:paraId="239C4920">
          <w:pPr>
            <w:pStyle w:val="17"/>
            <w:tabs>
              <w:tab w:val="right" w:pos="8844"/>
            </w:tabs>
            <w:ind w:left="0" w:firstLine="0" w:firstLineChars="0"/>
            <w:rPr>
              <w:color w:val="000000" w:themeColor="text1"/>
              <w14:textFill>
                <w14:solidFill>
                  <w14:schemeClr w14:val="tx1"/>
                </w14:solidFill>
              </w14:textFill>
            </w:rPr>
            <w:sectPr>
              <w:pgSz w:w="11906" w:h="16838"/>
              <w:pgMar w:top="1701" w:right="1531" w:bottom="1701" w:left="1531" w:header="851" w:footer="1077" w:gutter="0"/>
              <w:pgNumType w:start="1"/>
              <w:cols w:space="720" w:num="1"/>
              <w:docGrid w:linePitch="312" w:charSpace="0"/>
            </w:sectPr>
          </w:pPr>
          <w:r>
            <w:rPr>
              <w:rFonts w:hint="eastAsia"/>
              <w:color w:val="000000" w:themeColor="text1"/>
              <w14:textFill>
                <w14:solidFill>
                  <w14:schemeClr w14:val="tx1"/>
                </w14:solidFill>
              </w14:textFill>
            </w:rPr>
            <w:tab/>
          </w:r>
        </w:p>
        <w:p w14:paraId="63A99948">
          <w:pPr>
            <w:pStyle w:val="17"/>
            <w:tabs>
              <w:tab w:val="right" w:pos="8844"/>
            </w:tabs>
            <w:ind w:left="0" w:firstLine="0" w:firstLineChars="0"/>
            <w:rPr>
              <w:color w:val="000000" w:themeColor="text1"/>
              <w14:textFill>
                <w14:solidFill>
                  <w14:schemeClr w14:val="tx1"/>
                </w14:solidFill>
              </w14:textFill>
            </w:rPr>
            <w:sectPr>
              <w:pgSz w:w="11906" w:h="16838"/>
              <w:pgMar w:top="1701" w:right="1531" w:bottom="1701" w:left="1531" w:header="851" w:footer="1077" w:gutter="0"/>
              <w:pgNumType w:start="1"/>
              <w:cols w:space="720" w:num="1"/>
              <w:docGrid w:linePitch="312" w:charSpace="0"/>
            </w:sectPr>
          </w:pPr>
        </w:p>
      </w:sdtContent>
    </w:sdt>
    <w:p w14:paraId="1B379C41">
      <w:pPr>
        <w:pStyle w:val="20"/>
        <w:jc w:val="center"/>
        <w:outlineLvl w:val="0"/>
        <w:rPr>
          <w:rFonts w:ascii="黑体" w:hAnsi="黑体" w:eastAsia="黑体"/>
          <w:snapToGrid w:val="0"/>
          <w:color w:val="000000" w:themeColor="text1"/>
          <w:sz w:val="30"/>
          <w:szCs w:val="30"/>
          <w14:textFill>
            <w14:solidFill>
              <w14:schemeClr w14:val="tx1"/>
            </w14:solidFill>
          </w14:textFill>
        </w:rPr>
      </w:pPr>
      <w:bookmarkStart w:id="2" w:name="_Toc20986"/>
      <w:r>
        <w:rPr>
          <w:rFonts w:hint="eastAsia" w:ascii="黑体" w:hAnsi="黑体" w:eastAsia="黑体"/>
          <w:snapToGrid w:val="0"/>
          <w:color w:val="000000" w:themeColor="text1"/>
          <w:sz w:val="30"/>
          <w:szCs w:val="30"/>
          <w14:textFill>
            <w14:solidFill>
              <w14:schemeClr w14:val="tx1"/>
            </w14:solidFill>
          </w14:textFill>
        </w:rPr>
        <w:t>一、建设项目基本情况</w:t>
      </w:r>
      <w:bookmarkEnd w:id="2"/>
    </w:p>
    <w:tbl>
      <w:tblPr>
        <w:tblStyle w:val="23"/>
        <w:tblW w:w="9039" w:type="dxa"/>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78"/>
        <w:gridCol w:w="2270"/>
        <w:gridCol w:w="2035"/>
        <w:gridCol w:w="3056"/>
      </w:tblGrid>
      <w:tr w14:paraId="363E5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58980D1A">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建设项目名称</w:t>
            </w:r>
          </w:p>
        </w:tc>
        <w:tc>
          <w:tcPr>
            <w:tcW w:w="7361" w:type="dxa"/>
            <w:gridSpan w:val="3"/>
            <w:vAlign w:val="center"/>
          </w:tcPr>
          <w:p w14:paraId="3E144F37">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京能国际承德县200MW光伏项目220kV送出工程项目</w:t>
            </w:r>
          </w:p>
        </w:tc>
      </w:tr>
      <w:tr w14:paraId="63C8B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0C260CCA">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项目代码</w:t>
            </w:r>
          </w:p>
        </w:tc>
        <w:tc>
          <w:tcPr>
            <w:tcW w:w="7361" w:type="dxa"/>
            <w:gridSpan w:val="3"/>
            <w:vAlign w:val="center"/>
          </w:tcPr>
          <w:p w14:paraId="3EE43A51">
            <w:pPr>
              <w:adjustRightInd w:val="0"/>
              <w:snapToGrid w:val="0"/>
              <w:spacing w:line="32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2311-130800-89-01-138236</w:t>
            </w:r>
          </w:p>
        </w:tc>
      </w:tr>
      <w:tr w14:paraId="7680F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64CB0F52">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建设单位联系人</w:t>
            </w:r>
          </w:p>
        </w:tc>
        <w:tc>
          <w:tcPr>
            <w:tcW w:w="2270" w:type="dxa"/>
            <w:vAlign w:val="center"/>
          </w:tcPr>
          <w:p w14:paraId="1C121ED2">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冯冬</w:t>
            </w:r>
          </w:p>
        </w:tc>
        <w:tc>
          <w:tcPr>
            <w:tcW w:w="2035" w:type="dxa"/>
            <w:vAlign w:val="center"/>
          </w:tcPr>
          <w:p w14:paraId="7EB9CBFF">
            <w:pPr>
              <w:adjustRightInd w:val="0"/>
              <w:snapToGrid w:val="0"/>
              <w:spacing w:line="320" w:lineRule="exact"/>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联系方式</w:t>
            </w:r>
          </w:p>
        </w:tc>
        <w:tc>
          <w:tcPr>
            <w:tcW w:w="3056" w:type="dxa"/>
            <w:vAlign w:val="center"/>
          </w:tcPr>
          <w:p w14:paraId="2D64323D">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18611173349</w:t>
            </w:r>
          </w:p>
        </w:tc>
      </w:tr>
      <w:tr w14:paraId="3C5CD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468C9637">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建设地点</w:t>
            </w:r>
          </w:p>
        </w:tc>
        <w:tc>
          <w:tcPr>
            <w:tcW w:w="7361" w:type="dxa"/>
            <w:gridSpan w:val="3"/>
            <w:vAlign w:val="center"/>
          </w:tcPr>
          <w:p w14:paraId="3E5A29E8">
            <w:pPr>
              <w:adjustRightInd w:val="0"/>
              <w:snapToGrid w:val="0"/>
              <w:spacing w:line="32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u w:val="single"/>
                <w14:textFill>
                  <w14:solidFill>
                    <w14:schemeClr w14:val="tx1"/>
                  </w14:solidFill>
                </w14:textFill>
              </w:rPr>
              <w:t xml:space="preserve">河北 </w:t>
            </w:r>
            <w:r>
              <w:rPr>
                <w:rFonts w:hint="eastAsia"/>
                <w:color w:val="000000" w:themeColor="text1"/>
                <w:szCs w:val="21"/>
                <w14:textFill>
                  <w14:solidFill>
                    <w14:schemeClr w14:val="tx1"/>
                  </w14:solidFill>
                </w14:textFill>
              </w:rPr>
              <w:t>省</w:t>
            </w:r>
            <w:r>
              <w:rPr>
                <w:rFonts w:hint="eastAsia"/>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承德</w:t>
            </w:r>
            <w:r>
              <w:rPr>
                <w:rFonts w:hint="eastAsia"/>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市</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u w:val="single"/>
                <w:lang w:val="en-US" w:eastAsia="zh-CN"/>
                <w14:textFill>
                  <w14:solidFill>
                    <w14:schemeClr w14:val="tx1"/>
                  </w14:solidFill>
                </w14:textFill>
              </w:rPr>
              <w:t>承德</w:t>
            </w:r>
            <w:r>
              <w:rPr>
                <w:rFonts w:hint="eastAsia"/>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县</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u w:val="single"/>
                <w:lang w:val="en-US" w:eastAsia="zh-CN"/>
                <w14:textFill>
                  <w14:solidFill>
                    <w14:schemeClr w14:val="tx1"/>
                  </w14:solidFill>
                </w14:textFill>
              </w:rPr>
              <w:t>甲山</w:t>
            </w:r>
            <w:r>
              <w:rPr>
                <w:rFonts w:hint="eastAsia"/>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镇</w:t>
            </w:r>
            <w:r>
              <w:rPr>
                <w:rFonts w:hint="eastAsia"/>
                <w:color w:val="000000" w:themeColor="text1"/>
                <w:szCs w:val="21"/>
                <w14:textFill>
                  <w14:solidFill>
                    <w14:schemeClr w14:val="tx1"/>
                  </w14:solidFill>
                </w14:textFill>
              </w:rPr>
              <w:t>、</w:t>
            </w:r>
            <w:r>
              <w:rPr>
                <w:rFonts w:hint="eastAsia"/>
                <w:color w:val="000000" w:themeColor="text1"/>
                <w:szCs w:val="21"/>
                <w:u w:val="single"/>
                <w:lang w:val="en-US" w:eastAsia="zh-CN"/>
                <w14:textFill>
                  <w14:solidFill>
                    <w14:schemeClr w14:val="tx1"/>
                  </w14:solidFill>
                </w14:textFill>
              </w:rPr>
              <w:t>六沟</w:t>
            </w:r>
            <w:r>
              <w:rPr>
                <w:rFonts w:hint="eastAsia"/>
                <w:color w:val="000000" w:themeColor="text1"/>
                <w:szCs w:val="21"/>
                <w14:textFill>
                  <w14:solidFill>
                    <w14:schemeClr w14:val="tx1"/>
                  </w14:solidFill>
                </w14:textFill>
              </w:rPr>
              <w:t xml:space="preserve"> </w:t>
            </w:r>
            <w:r>
              <w:rPr>
                <w:rFonts w:hint="eastAsia"/>
                <w:color w:val="000000" w:themeColor="text1"/>
                <w:szCs w:val="21"/>
                <w:lang w:val="en-US" w:eastAsia="zh-CN"/>
                <w14:textFill>
                  <w14:solidFill>
                    <w14:schemeClr w14:val="tx1"/>
                  </w14:solidFill>
                </w14:textFill>
              </w:rPr>
              <w:t>镇</w:t>
            </w:r>
            <w:r>
              <w:rPr>
                <w:rFonts w:hint="eastAsia"/>
                <w:color w:val="000000" w:themeColor="text1"/>
                <w:szCs w:val="21"/>
                <w14:textFill>
                  <w14:solidFill>
                    <w14:schemeClr w14:val="tx1"/>
                  </w14:solidFill>
                </w14:textFill>
              </w:rPr>
              <w:t>、</w:t>
            </w:r>
            <w:r>
              <w:rPr>
                <w:rFonts w:hint="eastAsia"/>
                <w:color w:val="000000" w:themeColor="text1"/>
                <w:szCs w:val="21"/>
                <w:u w:val="single"/>
                <w:lang w:val="en-US" w:eastAsia="zh-CN"/>
                <w14:textFill>
                  <w14:solidFill>
                    <w14:schemeClr w14:val="tx1"/>
                  </w14:solidFill>
                </w14:textFill>
              </w:rPr>
              <w:t>石灰窑</w:t>
            </w:r>
            <w:r>
              <w:rPr>
                <w:rFonts w:hint="eastAsia"/>
                <w:color w:val="000000" w:themeColor="text1"/>
                <w:szCs w:val="21"/>
                <w14:textFill>
                  <w14:solidFill>
                    <w14:schemeClr w14:val="tx1"/>
                  </w14:solidFill>
                </w14:textFill>
              </w:rPr>
              <w:t xml:space="preserve"> </w:t>
            </w:r>
            <w:r>
              <w:rPr>
                <w:rFonts w:hint="eastAsia"/>
                <w:color w:val="000000" w:themeColor="text1"/>
                <w:szCs w:val="21"/>
                <w:lang w:val="en-US" w:eastAsia="zh-CN"/>
                <w14:textFill>
                  <w14:solidFill>
                    <w14:schemeClr w14:val="tx1"/>
                  </w14:solidFill>
                </w14:textFill>
              </w:rPr>
              <w:t>镇</w:t>
            </w:r>
          </w:p>
        </w:tc>
      </w:tr>
      <w:tr w14:paraId="77AFA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1872ACC0">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地理坐标</w:t>
            </w:r>
          </w:p>
        </w:tc>
        <w:tc>
          <w:tcPr>
            <w:tcW w:w="7361" w:type="dxa"/>
            <w:gridSpan w:val="3"/>
            <w:vAlign w:val="center"/>
          </w:tcPr>
          <w:p w14:paraId="2C4D100D">
            <w:pPr>
              <w:adjustRightInd w:val="0"/>
              <w:snapToGrid w:val="0"/>
              <w:jc w:val="left"/>
              <w:rPr>
                <w:rFonts w:hint="default" w:ascii="Times New Roman" w:hAnsi="Times New Roman" w:cs="Times New Roman"/>
                <w:color w:val="000000" w:themeColor="text1"/>
                <w:kern w:val="21"/>
                <w:szCs w:val="21"/>
                <w14:textFill>
                  <w14:solidFill>
                    <w14:schemeClr w14:val="tx1"/>
                  </w14:solidFill>
                </w14:textFill>
              </w:rPr>
            </w:pPr>
            <w:r>
              <w:rPr>
                <w:rFonts w:hint="default" w:ascii="Times New Roman" w:hAnsi="Times New Roman" w:cs="Times New Roman"/>
                <w:color w:val="000000" w:themeColor="text1"/>
                <w:kern w:val="21"/>
                <w:szCs w:val="21"/>
                <w14:textFill>
                  <w14:solidFill>
                    <w14:schemeClr w14:val="tx1"/>
                  </w14:solidFill>
                </w14:textFill>
              </w:rPr>
              <w:t>起点坐标（N1）：E118°16′32.61″</w:t>
            </w:r>
            <w:r>
              <w:rPr>
                <w:rFonts w:hint="default" w:ascii="Times New Roman" w:hAnsi="Times New Roman" w:cs="Times New Roman"/>
                <w:color w:val="000000" w:themeColor="text1"/>
                <w:kern w:val="21"/>
                <w:szCs w:val="21"/>
                <w:lang w:eastAsia="zh-CN"/>
                <w14:textFill>
                  <w14:solidFill>
                    <w14:schemeClr w14:val="tx1"/>
                  </w14:solidFill>
                </w14:textFill>
              </w:rPr>
              <w:t>，</w:t>
            </w:r>
            <w:r>
              <w:rPr>
                <w:rFonts w:hint="default" w:ascii="Times New Roman" w:hAnsi="Times New Roman" w:cs="Times New Roman"/>
                <w:color w:val="000000" w:themeColor="text1"/>
                <w:kern w:val="21"/>
                <w:szCs w:val="21"/>
                <w14:textFill>
                  <w14:solidFill>
                    <w14:schemeClr w14:val="tx1"/>
                  </w14:solidFill>
                </w14:textFill>
              </w:rPr>
              <w:t>40°58′17.54″</w:t>
            </w:r>
          </w:p>
          <w:p w14:paraId="2AC3AAB9">
            <w:pPr>
              <w:adjustRightInd w:val="0"/>
              <w:snapToGrid w:val="0"/>
              <w:spacing w:line="320" w:lineRule="exact"/>
              <w:jc w:val="left"/>
              <w:rPr>
                <w:color w:val="000000" w:themeColor="text1"/>
                <w:szCs w:val="21"/>
                <w14:textFill>
                  <w14:solidFill>
                    <w14:schemeClr w14:val="tx1"/>
                  </w14:solidFill>
                </w14:textFill>
              </w:rPr>
            </w:pPr>
            <w:r>
              <w:rPr>
                <w:rFonts w:hint="default" w:ascii="Times New Roman" w:hAnsi="Times New Roman" w:cs="Times New Roman"/>
                <w:color w:val="000000" w:themeColor="text1"/>
                <w:kern w:val="21"/>
                <w:szCs w:val="21"/>
                <w14:textFill>
                  <w14:solidFill>
                    <w14:schemeClr w14:val="tx1"/>
                  </w14:solidFill>
                </w14:textFill>
              </w:rPr>
              <w:t>终点坐标（N</w:t>
            </w:r>
            <w:r>
              <w:rPr>
                <w:rFonts w:hint="eastAsia" w:ascii="Times New Roman" w:hAnsi="Times New Roman" w:cs="Times New Roman"/>
                <w:color w:val="000000" w:themeColor="text1"/>
                <w:kern w:val="21"/>
                <w:szCs w:val="21"/>
                <w:lang w:val="en-US" w:eastAsia="zh-CN"/>
                <w14:textFill>
                  <w14:solidFill>
                    <w14:schemeClr w14:val="tx1"/>
                  </w14:solidFill>
                </w14:textFill>
              </w:rPr>
              <w:t>109</w:t>
            </w:r>
            <w:r>
              <w:rPr>
                <w:rFonts w:hint="default" w:ascii="Times New Roman" w:hAnsi="Times New Roman" w:cs="Times New Roman"/>
                <w:color w:val="000000" w:themeColor="text1"/>
                <w:kern w:val="21"/>
                <w:szCs w:val="21"/>
                <w14:textFill>
                  <w14:solidFill>
                    <w14:schemeClr w14:val="tx1"/>
                  </w14:solidFill>
                </w14:textFill>
              </w:rPr>
              <w:t>）：E118°21′35.34″</w:t>
            </w:r>
            <w:r>
              <w:rPr>
                <w:rFonts w:hint="default" w:ascii="Times New Roman" w:hAnsi="Times New Roman" w:cs="Times New Roman"/>
                <w:color w:val="000000" w:themeColor="text1"/>
                <w:kern w:val="21"/>
                <w:szCs w:val="21"/>
                <w:lang w:eastAsia="zh-CN"/>
                <w14:textFill>
                  <w14:solidFill>
                    <w14:schemeClr w14:val="tx1"/>
                  </w14:solidFill>
                </w14:textFill>
              </w:rPr>
              <w:t>，</w:t>
            </w:r>
            <w:r>
              <w:rPr>
                <w:rFonts w:hint="default" w:ascii="Times New Roman" w:hAnsi="Times New Roman" w:cs="Times New Roman"/>
                <w:color w:val="000000" w:themeColor="text1"/>
                <w:kern w:val="21"/>
                <w:szCs w:val="21"/>
                <w14:textFill>
                  <w14:solidFill>
                    <w14:schemeClr w14:val="tx1"/>
                  </w14:solidFill>
                </w14:textFill>
              </w:rPr>
              <w:t>40°46′46.71″</w:t>
            </w:r>
          </w:p>
        </w:tc>
      </w:tr>
      <w:tr w14:paraId="7340B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5789641F">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建设项目</w:t>
            </w:r>
          </w:p>
          <w:p w14:paraId="55270AED">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行业类别</w:t>
            </w:r>
          </w:p>
        </w:tc>
        <w:tc>
          <w:tcPr>
            <w:tcW w:w="2270" w:type="dxa"/>
            <w:vAlign w:val="center"/>
          </w:tcPr>
          <w:p w14:paraId="505937E4">
            <w:pPr>
              <w:adjustRightInd w:val="0"/>
              <w:snapToGrid w:val="0"/>
              <w:spacing w:line="320" w:lineRule="exact"/>
              <w:jc w:val="center"/>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61</w:t>
            </w:r>
            <w:r>
              <w:rPr>
                <w:rFonts w:hint="eastAsia"/>
                <w:color w:val="000000" w:themeColor="text1"/>
                <w:szCs w:val="21"/>
                <w14:textFill>
                  <w14:solidFill>
                    <w14:schemeClr w14:val="tx1"/>
                  </w14:solidFill>
                </w14:textFill>
              </w:rPr>
              <w:t>、输变电工程</w:t>
            </w:r>
          </w:p>
        </w:tc>
        <w:tc>
          <w:tcPr>
            <w:tcW w:w="2035" w:type="dxa"/>
            <w:vAlign w:val="center"/>
          </w:tcPr>
          <w:p w14:paraId="58DAE52B">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用地（用海）面积（m</w:t>
            </w:r>
            <w:r>
              <w:rPr>
                <w:b/>
                <w:bCs/>
                <w:color w:val="000000" w:themeColor="text1"/>
                <w:szCs w:val="21"/>
                <w:vertAlign w:val="superscript"/>
                <w14:textFill>
                  <w14:solidFill>
                    <w14:schemeClr w14:val="tx1"/>
                  </w14:solidFill>
                </w14:textFill>
              </w:rPr>
              <w:t>2</w:t>
            </w:r>
            <w:r>
              <w:rPr>
                <w:b/>
                <w:bCs/>
                <w:color w:val="000000" w:themeColor="text1"/>
                <w:szCs w:val="21"/>
                <w14:textFill>
                  <w14:solidFill>
                    <w14:schemeClr w14:val="tx1"/>
                  </w14:solidFill>
                </w14:textFill>
              </w:rPr>
              <w:t>）/长度（km）</w:t>
            </w:r>
          </w:p>
        </w:tc>
        <w:tc>
          <w:tcPr>
            <w:tcW w:w="3056" w:type="dxa"/>
            <w:vAlign w:val="center"/>
          </w:tcPr>
          <w:p w14:paraId="16F3C302">
            <w:pPr>
              <w:adjustRightInd w:val="0"/>
              <w:snapToGrid w:val="0"/>
              <w:spacing w:line="320" w:lineRule="exact"/>
              <w:jc w:val="center"/>
              <w:rPr>
                <w:b/>
                <w:bCs/>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33.62</w:t>
            </w:r>
            <w:r>
              <w:rPr>
                <w:rFonts w:hint="eastAsia"/>
                <w:color w:val="000000" w:themeColor="text1"/>
                <w:szCs w:val="21"/>
                <w14:textFill>
                  <w14:solidFill>
                    <w14:schemeClr w14:val="tx1"/>
                  </w14:solidFill>
                </w14:textFill>
              </w:rPr>
              <w:t>km</w:t>
            </w:r>
          </w:p>
        </w:tc>
      </w:tr>
      <w:tr w14:paraId="3A0AB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64893BB8">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建设性质</w:t>
            </w:r>
          </w:p>
        </w:tc>
        <w:tc>
          <w:tcPr>
            <w:tcW w:w="2270" w:type="dxa"/>
            <w:vAlign w:val="center"/>
          </w:tcPr>
          <w:p w14:paraId="2D9242F7">
            <w:pPr>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w:t>
            </w:r>
            <w:r>
              <w:rPr>
                <w:color w:val="000000" w:themeColor="text1"/>
                <w:szCs w:val="21"/>
                <w14:textFill>
                  <w14:solidFill>
                    <w14:schemeClr w14:val="tx1"/>
                  </w14:solidFill>
                </w14:textFill>
              </w:rPr>
              <w:t>新建（迁建）</w:t>
            </w:r>
          </w:p>
          <w:p w14:paraId="342C7DE1">
            <w:pPr>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w:t>
            </w:r>
            <w:r>
              <w:rPr>
                <w:color w:val="000000" w:themeColor="text1"/>
                <w:szCs w:val="21"/>
                <w14:textFill>
                  <w14:solidFill>
                    <w14:schemeClr w14:val="tx1"/>
                  </w14:solidFill>
                </w14:textFill>
              </w:rPr>
              <w:t>改建</w:t>
            </w:r>
          </w:p>
          <w:p w14:paraId="63B3FDE7">
            <w:pPr>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w:t>
            </w:r>
            <w:r>
              <w:rPr>
                <w:color w:val="000000" w:themeColor="text1"/>
                <w:szCs w:val="21"/>
                <w14:textFill>
                  <w14:solidFill>
                    <w14:schemeClr w14:val="tx1"/>
                  </w14:solidFill>
                </w14:textFill>
              </w:rPr>
              <w:t>扩建</w:t>
            </w:r>
          </w:p>
          <w:p w14:paraId="399BE9E8">
            <w:pPr>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w:t>
            </w:r>
            <w:r>
              <w:rPr>
                <w:color w:val="000000" w:themeColor="text1"/>
                <w:szCs w:val="21"/>
                <w14:textFill>
                  <w14:solidFill>
                    <w14:schemeClr w14:val="tx1"/>
                  </w14:solidFill>
                </w14:textFill>
              </w:rPr>
              <w:t>技术改造</w:t>
            </w:r>
          </w:p>
        </w:tc>
        <w:tc>
          <w:tcPr>
            <w:tcW w:w="2035" w:type="dxa"/>
            <w:vAlign w:val="center"/>
          </w:tcPr>
          <w:p w14:paraId="19E1AC68">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建设项目</w:t>
            </w:r>
          </w:p>
          <w:p w14:paraId="794B8301">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申报情形</w:t>
            </w:r>
          </w:p>
        </w:tc>
        <w:tc>
          <w:tcPr>
            <w:tcW w:w="3056" w:type="dxa"/>
            <w:vAlign w:val="center"/>
          </w:tcPr>
          <w:p w14:paraId="7EEA539E">
            <w:pPr>
              <w:adjustRightInd w:val="0"/>
              <w:snapToGrid w:val="0"/>
              <w:spacing w:line="320" w:lineRule="exact"/>
              <w:jc w:val="left"/>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w:t>
            </w:r>
            <w:r>
              <w:rPr>
                <w:color w:val="000000" w:themeColor="text1"/>
                <w:szCs w:val="21"/>
                <w14:textFill>
                  <w14:solidFill>
                    <w14:schemeClr w14:val="tx1"/>
                  </w14:solidFill>
                </w14:textFill>
              </w:rPr>
              <w:t>首次申报项目</w:t>
            </w:r>
          </w:p>
          <w:p w14:paraId="32F004BC">
            <w:pPr>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w:t>
            </w:r>
            <w:r>
              <w:rPr>
                <w:color w:val="000000" w:themeColor="text1"/>
                <w:szCs w:val="21"/>
                <w14:textFill>
                  <w14:solidFill>
                    <w14:schemeClr w14:val="tx1"/>
                  </w14:solidFill>
                </w14:textFill>
              </w:rPr>
              <w:t>不予批准后再次申报项目</w:t>
            </w:r>
          </w:p>
          <w:p w14:paraId="3A04BE03">
            <w:pPr>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w:t>
            </w:r>
            <w:r>
              <w:rPr>
                <w:color w:val="000000" w:themeColor="text1"/>
                <w:szCs w:val="21"/>
                <w14:textFill>
                  <w14:solidFill>
                    <w14:schemeClr w14:val="tx1"/>
                  </w14:solidFill>
                </w14:textFill>
              </w:rPr>
              <w:t>超五年重新审核项目</w:t>
            </w:r>
          </w:p>
          <w:p w14:paraId="445B6C2A">
            <w:pPr>
              <w:adjustRightInd w:val="0"/>
              <w:snapToGrid w:val="0"/>
              <w:spacing w:line="320" w:lineRule="exact"/>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w:t>
            </w:r>
            <w:r>
              <w:rPr>
                <w:color w:val="000000" w:themeColor="text1"/>
                <w:szCs w:val="21"/>
                <w14:textFill>
                  <w14:solidFill>
                    <w14:schemeClr w14:val="tx1"/>
                  </w14:solidFill>
                </w14:textFill>
              </w:rPr>
              <w:t>重大变动重新报批项目</w:t>
            </w:r>
          </w:p>
        </w:tc>
      </w:tr>
      <w:tr w14:paraId="2A5F9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74377CDC">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项目审批（核准/</w:t>
            </w:r>
          </w:p>
          <w:p w14:paraId="3457C97C">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备案）部门（选填）</w:t>
            </w:r>
          </w:p>
        </w:tc>
        <w:tc>
          <w:tcPr>
            <w:tcW w:w="2270" w:type="dxa"/>
            <w:vAlign w:val="center"/>
          </w:tcPr>
          <w:p w14:paraId="3BFC769B">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承德市</w:t>
            </w:r>
            <w:r>
              <w:rPr>
                <w:color w:val="000000" w:themeColor="text1"/>
                <w:szCs w:val="21"/>
                <w14:textFill>
                  <w14:solidFill>
                    <w14:schemeClr w14:val="tx1"/>
                  </w14:solidFill>
                </w14:textFill>
              </w:rPr>
              <w:t>行政审批局</w:t>
            </w:r>
          </w:p>
        </w:tc>
        <w:tc>
          <w:tcPr>
            <w:tcW w:w="2035" w:type="dxa"/>
            <w:vAlign w:val="center"/>
          </w:tcPr>
          <w:p w14:paraId="08793608">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项目审批（核准/</w:t>
            </w:r>
          </w:p>
          <w:p w14:paraId="2F48FFE4">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备案）文号（选填）</w:t>
            </w:r>
          </w:p>
        </w:tc>
        <w:tc>
          <w:tcPr>
            <w:tcW w:w="3056" w:type="dxa"/>
            <w:vAlign w:val="center"/>
          </w:tcPr>
          <w:p w14:paraId="75B684F1">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承审批核字﹝2023﹞</w:t>
            </w:r>
            <w:r>
              <w:rPr>
                <w:rFonts w:hint="eastAsia"/>
                <w:color w:val="000000" w:themeColor="text1"/>
                <w:szCs w:val="21"/>
                <w:lang w:val="en-US" w:eastAsia="zh-CN"/>
                <w14:textFill>
                  <w14:solidFill>
                    <w14:schemeClr w14:val="tx1"/>
                  </w14:solidFill>
                </w14:textFill>
              </w:rPr>
              <w:t>65</w:t>
            </w:r>
            <w:r>
              <w:rPr>
                <w:rFonts w:hint="eastAsia"/>
                <w:color w:val="000000" w:themeColor="text1"/>
                <w:szCs w:val="21"/>
                <w14:textFill>
                  <w14:solidFill>
                    <w14:schemeClr w14:val="tx1"/>
                  </w14:solidFill>
                </w14:textFill>
              </w:rPr>
              <w:t>号</w:t>
            </w:r>
          </w:p>
        </w:tc>
      </w:tr>
      <w:tr w14:paraId="36DF98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7FFF1341">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总投资（万元）</w:t>
            </w:r>
          </w:p>
        </w:tc>
        <w:tc>
          <w:tcPr>
            <w:tcW w:w="2270" w:type="dxa"/>
            <w:vAlign w:val="center"/>
          </w:tcPr>
          <w:p w14:paraId="4FF93690">
            <w:pPr>
              <w:adjustRightInd w:val="0"/>
              <w:snapToGrid w:val="0"/>
              <w:spacing w:line="32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8898.00</w:t>
            </w:r>
          </w:p>
        </w:tc>
        <w:tc>
          <w:tcPr>
            <w:tcW w:w="2035" w:type="dxa"/>
            <w:tcMar>
              <w:top w:w="16" w:type="dxa"/>
              <w:left w:w="16" w:type="dxa"/>
              <w:right w:w="16" w:type="dxa"/>
            </w:tcMar>
            <w:vAlign w:val="center"/>
          </w:tcPr>
          <w:p w14:paraId="4CFC8EE2">
            <w:pPr>
              <w:adjustRightInd w:val="0"/>
              <w:snapToGrid w:val="0"/>
              <w:spacing w:line="320" w:lineRule="exact"/>
              <w:jc w:val="center"/>
            </w:pPr>
            <w:r>
              <w:rPr>
                <w:b/>
                <w:bCs/>
                <w:color w:val="000000" w:themeColor="text1"/>
                <w:szCs w:val="21"/>
                <w14:textFill>
                  <w14:solidFill>
                    <w14:schemeClr w14:val="tx1"/>
                  </w14:solidFill>
                </w14:textFill>
              </w:rPr>
              <w:t>环保投资（万元）</w:t>
            </w:r>
          </w:p>
        </w:tc>
        <w:tc>
          <w:tcPr>
            <w:tcW w:w="3056" w:type="dxa"/>
            <w:vAlign w:val="center"/>
          </w:tcPr>
          <w:p w14:paraId="2F83181C">
            <w:pPr>
              <w:adjustRightInd w:val="0"/>
              <w:snapToGrid w:val="0"/>
              <w:spacing w:line="32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635</w:t>
            </w:r>
          </w:p>
        </w:tc>
      </w:tr>
      <w:tr w14:paraId="1449F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5A9DA0CC">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环保投资占比（%）</w:t>
            </w:r>
          </w:p>
        </w:tc>
        <w:tc>
          <w:tcPr>
            <w:tcW w:w="2270" w:type="dxa"/>
            <w:vAlign w:val="center"/>
          </w:tcPr>
          <w:p w14:paraId="1F1F8080">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7.1</w:t>
            </w:r>
            <w:r>
              <w:rPr>
                <w:color w:val="000000" w:themeColor="text1"/>
                <w:szCs w:val="21"/>
                <w14:textFill>
                  <w14:solidFill>
                    <w14:schemeClr w14:val="tx1"/>
                  </w14:solidFill>
                </w14:textFill>
              </w:rPr>
              <w:t>%</w:t>
            </w:r>
          </w:p>
        </w:tc>
        <w:tc>
          <w:tcPr>
            <w:tcW w:w="2035" w:type="dxa"/>
            <w:tcMar>
              <w:top w:w="16" w:type="dxa"/>
              <w:left w:w="16" w:type="dxa"/>
              <w:right w:w="16" w:type="dxa"/>
            </w:tcMar>
            <w:vAlign w:val="center"/>
          </w:tcPr>
          <w:p w14:paraId="524EAAE5">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施工工期</w:t>
            </w:r>
          </w:p>
        </w:tc>
        <w:tc>
          <w:tcPr>
            <w:tcW w:w="3056" w:type="dxa"/>
            <w:vAlign w:val="center"/>
          </w:tcPr>
          <w:p w14:paraId="4D7C7E83">
            <w:pPr>
              <w:adjustRightInd w:val="0"/>
              <w:snapToGrid w:val="0"/>
              <w:spacing w:line="32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已建成</w:t>
            </w:r>
          </w:p>
        </w:tc>
      </w:tr>
      <w:tr w14:paraId="5DFFF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242CF9ED">
            <w:pPr>
              <w:adjustRightInd w:val="0"/>
              <w:snapToGrid w:val="0"/>
              <w:spacing w:line="32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是否开工建设</w:t>
            </w:r>
          </w:p>
        </w:tc>
        <w:tc>
          <w:tcPr>
            <w:tcW w:w="7361" w:type="dxa"/>
            <w:gridSpan w:val="3"/>
            <w:vAlign w:val="center"/>
          </w:tcPr>
          <w:p w14:paraId="1A80C546">
            <w:pPr>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lang w:eastAsia="zh-CN" w:bidi="ar"/>
                <w14:textFill>
                  <w14:solidFill>
                    <w14:schemeClr w14:val="tx1"/>
                  </w14:solidFill>
                </w14:textFill>
              </w:rPr>
              <w:t>□</w:t>
            </w:r>
            <w:r>
              <w:rPr>
                <w:color w:val="000000" w:themeColor="text1"/>
                <w:szCs w:val="21"/>
                <w14:textFill>
                  <w14:solidFill>
                    <w14:schemeClr w14:val="tx1"/>
                  </w14:solidFill>
                </w14:textFill>
              </w:rPr>
              <w:t>否</w:t>
            </w:r>
          </w:p>
          <w:p w14:paraId="17B54550">
            <w:pPr>
              <w:tabs>
                <w:tab w:val="left" w:pos="653"/>
              </w:tabs>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lang w:eastAsia="zh-CN" w:bidi="ar"/>
                <w14:textFill>
                  <w14:solidFill>
                    <w14:schemeClr w14:val="tx1"/>
                  </w14:solidFill>
                </w14:textFill>
              </w:rPr>
              <w:t>☑</w:t>
            </w:r>
            <w:r>
              <w:rPr>
                <w:color w:val="000000" w:themeColor="text1"/>
                <w:szCs w:val="21"/>
                <w14:textFill>
                  <w14:solidFill>
                    <w14:schemeClr w14:val="tx1"/>
                  </w14:solidFill>
                </w14:textFill>
              </w:rPr>
              <w:t>是：</w:t>
            </w:r>
            <w:r>
              <w:rPr>
                <w:color w:val="000000" w:themeColor="text1"/>
                <w:szCs w:val="21"/>
                <w:u w:val="single"/>
                <w14:textFill>
                  <w14:solidFill>
                    <w14:schemeClr w14:val="tx1"/>
                  </w14:solidFill>
                </w14:textFill>
              </w:rPr>
              <w:t xml:space="preserve"> </w:t>
            </w:r>
            <w:r>
              <w:rPr>
                <w:rFonts w:hint="eastAsia"/>
                <w:color w:val="000000" w:themeColor="text1"/>
                <w:szCs w:val="21"/>
                <w:u w:val="single"/>
                <w:lang w:val="en-US" w:eastAsia="zh-CN"/>
                <w14:textFill>
                  <w14:solidFill>
                    <w14:schemeClr w14:val="tx1"/>
                  </w14:solidFill>
                </w14:textFill>
              </w:rPr>
              <w:t>本项目塔基已建设完成，架空线路已敷设，属于建设阶段，但未造成环境污染，且企业目前已停止建设。根据承德市生态环境局承德县分局于2025年5月15日出具的《关于京能国际承德县200MW光伏项目220kV送出工程未批先建行为不予处罚的说明》，决定对京能（承德县）新能源有限公司未批先建行为免予处罚。</w:t>
            </w:r>
          </w:p>
        </w:tc>
      </w:tr>
      <w:tr w14:paraId="6EC4B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628A8D05">
            <w:pPr>
              <w:autoSpaceDE w:val="0"/>
              <w:autoSpaceDN w:val="0"/>
              <w:adjustRightInd w:val="0"/>
              <w:snapToGrid w:val="0"/>
              <w:spacing w:line="32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专项评价设置情况</w:t>
            </w:r>
          </w:p>
        </w:tc>
        <w:tc>
          <w:tcPr>
            <w:tcW w:w="7361" w:type="dxa"/>
            <w:gridSpan w:val="3"/>
            <w:tcMar>
              <w:top w:w="16" w:type="dxa"/>
              <w:left w:w="16" w:type="dxa"/>
              <w:right w:w="16" w:type="dxa"/>
            </w:tcMar>
            <w:vAlign w:val="center"/>
          </w:tcPr>
          <w:p w14:paraId="0B555583">
            <w:pPr>
              <w:pStyle w:val="17"/>
              <w:spacing w:line="320" w:lineRule="exact"/>
              <w:ind w:left="0" w:firstLine="420" w:firstLineChars="20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本项目为输变电项目，按照</w:t>
            </w:r>
            <w:r>
              <w:rPr>
                <w:rFonts w:hint="eastAsia"/>
                <w:color w:val="000000" w:themeColor="text1"/>
                <w14:textFill>
                  <w14:solidFill>
                    <w14:schemeClr w14:val="tx1"/>
                  </w14:solidFill>
                </w14:textFill>
              </w:rPr>
              <w:t>《环境影响评价技术导则 输变电》（HJ24-2020）附录B-B2.1中的要求，应设电磁环境影响专题评价</w:t>
            </w:r>
          </w:p>
        </w:tc>
      </w:tr>
      <w:tr w14:paraId="11A2D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59665BFF">
            <w:pPr>
              <w:autoSpaceDE w:val="0"/>
              <w:autoSpaceDN w:val="0"/>
              <w:adjustRightInd w:val="0"/>
              <w:snapToGrid w:val="0"/>
              <w:spacing w:line="320" w:lineRule="exact"/>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规划情况</w:t>
            </w:r>
          </w:p>
        </w:tc>
        <w:tc>
          <w:tcPr>
            <w:tcW w:w="7361" w:type="dxa"/>
            <w:gridSpan w:val="3"/>
            <w:tcMar>
              <w:top w:w="16" w:type="dxa"/>
              <w:left w:w="16" w:type="dxa"/>
              <w:right w:w="16" w:type="dxa"/>
            </w:tcMar>
            <w:vAlign w:val="center"/>
          </w:tcPr>
          <w:p w14:paraId="6B952B94">
            <w:pPr>
              <w:pStyle w:val="17"/>
              <w:keepNext w:val="0"/>
              <w:keepLines w:val="0"/>
              <w:pageBreakBefore w:val="0"/>
              <w:widowControl w:val="0"/>
              <w:kinsoku/>
              <w:wordWrap/>
              <w:overflowPunct/>
              <w:topLinePunct w:val="0"/>
              <w:bidi w:val="0"/>
              <w:adjustRightInd/>
              <w:snapToGrid/>
              <w:spacing w:line="320" w:lineRule="exact"/>
              <w:ind w:left="0" w:firstLine="0" w:firstLineChars="0"/>
              <w:jc w:val="lef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规划名称：《承德县甲山建材物流园区总体规划（201</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-2030</w:t>
            </w:r>
            <w:r>
              <w:rPr>
                <w:rFonts w:hint="eastAsia"/>
                <w:color w:val="000000" w:themeColor="text1"/>
                <w:lang w:val="en-US" w:eastAsia="zh-CN"/>
                <w14:textFill>
                  <w14:solidFill>
                    <w14:schemeClr w14:val="tx1"/>
                  </w14:solidFill>
                </w14:textFill>
              </w:rPr>
              <w:t>年</w:t>
            </w:r>
            <w:r>
              <w:rPr>
                <w:rFonts w:hint="eastAsia"/>
                <w:color w:val="000000" w:themeColor="text1"/>
                <w14:textFill>
                  <w14:solidFill>
                    <w14:schemeClr w14:val="tx1"/>
                  </w14:solidFill>
                </w14:textFill>
              </w:rPr>
              <w:t>）》</w:t>
            </w:r>
          </w:p>
          <w:p w14:paraId="7E29459F">
            <w:pPr>
              <w:pStyle w:val="17"/>
              <w:keepNext w:val="0"/>
              <w:keepLines w:val="0"/>
              <w:pageBreakBefore w:val="0"/>
              <w:widowControl w:val="0"/>
              <w:kinsoku/>
              <w:wordWrap/>
              <w:overflowPunct/>
              <w:topLinePunct w:val="0"/>
              <w:bidi w:val="0"/>
              <w:adjustRightInd/>
              <w:snapToGrid/>
              <w:spacing w:line="320" w:lineRule="exact"/>
              <w:ind w:left="0" w:firstLine="0" w:firstLineChars="0"/>
              <w:jc w:val="lef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审批机关：承德</w:t>
            </w:r>
            <w:r>
              <w:rPr>
                <w:rFonts w:hint="eastAsia"/>
                <w:color w:val="000000" w:themeColor="text1"/>
                <w:lang w:val="en-US" w:eastAsia="zh-CN"/>
                <w14:textFill>
                  <w14:solidFill>
                    <w14:schemeClr w14:val="tx1"/>
                  </w14:solidFill>
                </w14:textFill>
              </w:rPr>
              <w:t>县</w:t>
            </w:r>
            <w:r>
              <w:rPr>
                <w:rFonts w:hint="eastAsia"/>
                <w:color w:val="000000" w:themeColor="text1"/>
                <w14:textFill>
                  <w14:solidFill>
                    <w14:schemeClr w14:val="tx1"/>
                  </w14:solidFill>
                </w14:textFill>
              </w:rPr>
              <w:t>人民政府</w:t>
            </w:r>
          </w:p>
          <w:p w14:paraId="49DBA5A0">
            <w:pPr>
              <w:pStyle w:val="17"/>
              <w:keepNext w:val="0"/>
              <w:keepLines w:val="0"/>
              <w:pageBreakBefore w:val="0"/>
              <w:widowControl w:val="0"/>
              <w:kinsoku/>
              <w:wordWrap/>
              <w:overflowPunct/>
              <w:topLinePunct w:val="0"/>
              <w:bidi w:val="0"/>
              <w:adjustRightInd/>
              <w:snapToGrid/>
              <w:spacing w:line="320" w:lineRule="exact"/>
              <w:ind w:left="0" w:firstLine="0" w:firstLineChars="0"/>
              <w:jc w:val="left"/>
              <w:textAlignment w:val="auto"/>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审批文号：</w:t>
            </w:r>
            <w:r>
              <w:rPr>
                <w:rFonts w:hint="eastAsia"/>
                <w:color w:val="000000" w:themeColor="text1"/>
                <w14:textFill>
                  <w14:solidFill>
                    <w14:schemeClr w14:val="tx1"/>
                  </w14:solidFill>
                </w14:textFill>
              </w:rPr>
              <w:t>承县政复字〔2019〕22号</w:t>
            </w:r>
          </w:p>
        </w:tc>
      </w:tr>
      <w:tr w14:paraId="1C5A7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190BB954">
            <w:pPr>
              <w:autoSpaceDE w:val="0"/>
              <w:autoSpaceDN w:val="0"/>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规划环境影响</w:t>
            </w:r>
          </w:p>
          <w:p w14:paraId="2BF51BDB">
            <w:pPr>
              <w:autoSpaceDE w:val="0"/>
              <w:autoSpaceDN w:val="0"/>
              <w:adjustRightInd w:val="0"/>
              <w:snapToGrid w:val="0"/>
              <w:spacing w:line="320" w:lineRule="exact"/>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评价情况</w:t>
            </w:r>
          </w:p>
        </w:tc>
        <w:tc>
          <w:tcPr>
            <w:tcW w:w="7361" w:type="dxa"/>
            <w:gridSpan w:val="3"/>
            <w:tcMar>
              <w:top w:w="16" w:type="dxa"/>
              <w:left w:w="16" w:type="dxa"/>
              <w:right w:w="16" w:type="dxa"/>
            </w:tcMar>
            <w:vAlign w:val="center"/>
          </w:tcPr>
          <w:p w14:paraId="627AC189">
            <w:pPr>
              <w:pStyle w:val="17"/>
              <w:keepNext w:val="0"/>
              <w:keepLines w:val="0"/>
              <w:pageBreakBefore w:val="0"/>
              <w:widowControl w:val="0"/>
              <w:kinsoku/>
              <w:wordWrap/>
              <w:overflowPunct/>
              <w:topLinePunct w:val="0"/>
              <w:bidi w:val="0"/>
              <w:adjustRightInd/>
              <w:snapToGrid/>
              <w:spacing w:line="320" w:lineRule="exact"/>
              <w:ind w:left="0" w:firstLine="0" w:firstLineChars="0"/>
              <w:jc w:val="lef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规划环评：《承德县甲山建材物流园区总体规划环境影响报告书》</w:t>
            </w:r>
          </w:p>
          <w:p w14:paraId="18BFA45C">
            <w:pPr>
              <w:pStyle w:val="17"/>
              <w:keepNext w:val="0"/>
              <w:keepLines w:val="0"/>
              <w:pageBreakBefore w:val="0"/>
              <w:widowControl w:val="0"/>
              <w:kinsoku/>
              <w:wordWrap/>
              <w:overflowPunct/>
              <w:topLinePunct w:val="0"/>
              <w:bidi w:val="0"/>
              <w:adjustRightInd/>
              <w:snapToGrid/>
              <w:spacing w:line="320" w:lineRule="exact"/>
              <w:ind w:left="0" w:firstLine="0" w:firstLineChars="0"/>
              <w:jc w:val="lef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审批机关：承德市生态环境局</w:t>
            </w:r>
          </w:p>
        </w:tc>
      </w:tr>
      <w:tr w14:paraId="4446A3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678" w:type="dxa"/>
            <w:tcMar>
              <w:top w:w="16" w:type="dxa"/>
              <w:left w:w="16" w:type="dxa"/>
              <w:right w:w="16" w:type="dxa"/>
            </w:tcMar>
            <w:vAlign w:val="center"/>
          </w:tcPr>
          <w:p w14:paraId="54CA0547">
            <w:pPr>
              <w:autoSpaceDE w:val="0"/>
              <w:autoSpaceDN w:val="0"/>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规划及</w:t>
            </w:r>
            <w:r>
              <w:rPr>
                <w:b/>
                <w:bCs/>
                <w:color w:val="000000" w:themeColor="text1"/>
                <w:szCs w:val="21"/>
                <w14:textFill>
                  <w14:solidFill>
                    <w14:schemeClr w14:val="tx1"/>
                  </w14:solidFill>
                </w14:textFill>
              </w:rPr>
              <w:t>规划环境影响评价</w:t>
            </w:r>
            <w:r>
              <w:rPr>
                <w:b/>
                <w:bCs/>
                <w:color w:val="000000" w:themeColor="text1"/>
                <w:kern w:val="0"/>
                <w:szCs w:val="21"/>
                <w14:textFill>
                  <w14:solidFill>
                    <w14:schemeClr w14:val="tx1"/>
                  </w14:solidFill>
                </w14:textFill>
              </w:rPr>
              <w:t>符合性分析</w:t>
            </w:r>
          </w:p>
        </w:tc>
        <w:tc>
          <w:tcPr>
            <w:tcW w:w="7361" w:type="dxa"/>
            <w:gridSpan w:val="3"/>
            <w:tcMar>
              <w:top w:w="16" w:type="dxa"/>
              <w:left w:w="16" w:type="dxa"/>
              <w:right w:w="16" w:type="dxa"/>
            </w:tcMar>
            <w:vAlign w:val="center"/>
          </w:tcPr>
          <w:p w14:paraId="3AD9A9DD">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jc w:val="both"/>
              <w:textAlignment w:val="auto"/>
              <w:rPr>
                <w:rFonts w:hint="eastAsia"/>
                <w:b/>
                <w:bCs/>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1、与饮用水水源保护法相关法律法规要求相符性分析</w:t>
            </w:r>
          </w:p>
          <w:p w14:paraId="57ABAC33">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送出线路跨越承德市承德县六沟镇饮用水水源一级保护区（冀政字〔2023〕8号批复）445m，穿越承德县六沟镇饮用水水源二级保护区（冀政字〔2023〕8号批复）1920m，在二级保护区陆域范围内立塔基6座，本项目与饮用水水源保护区的位置关系详见附图。</w:t>
            </w:r>
          </w:p>
          <w:p w14:paraId="017CEBB8">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jc w:val="both"/>
              <w:textAlignment w:val="auto"/>
              <w:rPr>
                <w:rFonts w:hint="eastAsia"/>
                <w:b/>
                <w:bCs/>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（1）拟建线路工程跨越饮用水源一级保护区的相符性分析</w:t>
            </w:r>
          </w:p>
          <w:p w14:paraId="0AD7B35F">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根据《中华人民共和国水污染防治法》《饮用水水源保护区污染防治管理规定》《承德市承德县六沟镇集中式饮用水水源保护区划分技术报告》等相关法律法规的要求，一级保护区内禁止新建、改建、扩建与供水设施和保护水源无关的建设项目。</w:t>
            </w:r>
          </w:p>
          <w:p w14:paraId="3D09846D">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根据《关于&lt;水污染防治法&gt;中饮用水水源保护有关规定进行法律解释有关意见的复函》（环办函〔2008〕667号），在饮用水水源一级保护区内，只要与供水设施和保护水源无关的建设项目，一律禁止建设。但是，对于既无法调整饮用水水源保护区，又确实避让不开的跨省公路、铁路、输油、输气和调水等重大公共、基础设施项目，可以在充分论证的前提下批准建设。</w:t>
            </w:r>
          </w:p>
          <w:p w14:paraId="4F481DDA">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left"/>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根据部长信箱关于输电线路项目能否穿越</w:t>
            </w:r>
            <w:r>
              <w:rPr>
                <w:rFonts w:hint="eastAsia"/>
                <w:color w:val="000000" w:themeColor="text1"/>
                <w:kern w:val="0"/>
                <w:szCs w:val="21"/>
                <w:lang w:val="en-US" w:eastAsia="zh-CN"/>
                <w14:textFill>
                  <w14:solidFill>
                    <w14:schemeClr w14:val="tx1"/>
                  </w14:solidFill>
                </w14:textFill>
              </w:rPr>
              <w:t>饮用水水源</w:t>
            </w:r>
            <w:r>
              <w:rPr>
                <w:rFonts w:hint="default"/>
                <w:color w:val="000000" w:themeColor="text1"/>
                <w:kern w:val="0"/>
                <w:szCs w:val="21"/>
                <w:lang w:val="en-US" w:eastAsia="zh-CN"/>
                <w14:textFill>
                  <w14:solidFill>
                    <w14:schemeClr w14:val="tx1"/>
                  </w14:solidFill>
                </w14:textFill>
              </w:rPr>
              <w:t>保护区的回复：</w:t>
            </w:r>
            <w:r>
              <w:rPr>
                <w:rFonts w:hint="eastAsia"/>
                <w:color w:val="000000" w:themeColor="text1"/>
                <w:kern w:val="0"/>
                <w:szCs w:val="21"/>
                <w:lang w:val="en-US" w:eastAsia="zh-CN"/>
                <w14:textFill>
                  <w14:solidFill>
                    <w14:schemeClr w14:val="tx1"/>
                  </w14:solidFill>
                </w14:textFill>
              </w:rPr>
              <w:t>“</w:t>
            </w:r>
            <w:r>
              <w:rPr>
                <w:rFonts w:hint="default"/>
                <w:color w:val="000000" w:themeColor="text1"/>
                <w:kern w:val="0"/>
                <w:szCs w:val="21"/>
                <w:lang w:val="en-US" w:eastAsia="zh-CN"/>
                <w14:textFill>
                  <w14:solidFill>
                    <w14:schemeClr w14:val="tx1"/>
                  </w14:solidFill>
                </w14:textFill>
              </w:rPr>
              <w:t>架空</w:t>
            </w:r>
          </w:p>
          <w:p w14:paraId="5771C454">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输电线路应首先尽量避让饮用水水源保护区；确实无法避让的，在充分论证其唯</w:t>
            </w:r>
          </w:p>
          <w:p w14:paraId="46F25DBF">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一性的前提下，认真做好应急防护措施，实现无害化跨越。在项目实施过程中要</w:t>
            </w:r>
          </w:p>
          <w:p w14:paraId="26943011">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切实加强管理，空中跨越需预留足够安全作业区，保护区内禁止排放污染物，一</w:t>
            </w:r>
          </w:p>
          <w:p w14:paraId="73B87566">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级保护区禁止立塔，二级保护区立塔需严格落实施工期和运营期水质保护、风险</w:t>
            </w:r>
          </w:p>
          <w:p w14:paraId="338BC62D">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防范和应急管理措施，将环境影响和环境风险降到最低，确保水源地安全。</w:t>
            </w:r>
            <w:r>
              <w:rPr>
                <w:rFonts w:hint="eastAsia"/>
                <w:color w:val="000000" w:themeColor="text1"/>
                <w:kern w:val="0"/>
                <w:szCs w:val="21"/>
                <w:lang w:val="en-US" w:eastAsia="zh-CN"/>
                <w14:textFill>
                  <w14:solidFill>
                    <w14:schemeClr w14:val="tx1"/>
                  </w14:solidFill>
                </w14:textFill>
              </w:rPr>
              <w:t>”</w:t>
            </w:r>
          </w:p>
          <w:p w14:paraId="49E3E76E">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因客观因素避让</w:t>
            </w:r>
            <w:r>
              <w:rPr>
                <w:rFonts w:hint="default"/>
                <w:color w:val="000000" w:themeColor="text1"/>
                <w:kern w:val="0"/>
                <w:szCs w:val="21"/>
                <w:lang w:val="en-US" w:eastAsia="zh-CN"/>
                <w14:textFill>
                  <w14:solidFill>
                    <w14:schemeClr w14:val="tx1"/>
                  </w14:solidFill>
                </w14:textFill>
              </w:rPr>
              <w:t>村庄等密集居住区、基本农田保护区</w:t>
            </w:r>
            <w:r>
              <w:rPr>
                <w:rFonts w:hint="eastAsia"/>
                <w:color w:val="000000" w:themeColor="text1"/>
                <w:kern w:val="0"/>
                <w:szCs w:val="21"/>
                <w:lang w:val="en-US" w:eastAsia="zh-CN"/>
                <w14:textFill>
                  <w14:solidFill>
                    <w14:schemeClr w14:val="tx1"/>
                  </w14:solidFill>
                </w14:textFill>
              </w:rPr>
              <w:t>等，N19~N20之间的线路不可避免跨越承德县六沟镇饮用水水源一级保护区，</w:t>
            </w:r>
            <w:r>
              <w:rPr>
                <w:rFonts w:hint="default"/>
                <w:color w:val="000000" w:themeColor="text1"/>
                <w:kern w:val="0"/>
                <w:szCs w:val="21"/>
                <w:lang w:val="en-US" w:eastAsia="zh-CN"/>
                <w14:textFill>
                  <w14:solidFill>
                    <w14:schemeClr w14:val="tx1"/>
                  </w14:solidFill>
                </w14:textFill>
              </w:rPr>
              <w:t>不在保护区范围内立塔和占地，建设仅在饮用水水源保护区以外的陆域范围开展</w:t>
            </w:r>
            <w:r>
              <w:rPr>
                <w:rFonts w:hint="eastAsia"/>
                <w:color w:val="000000" w:themeColor="text1"/>
                <w:kern w:val="0"/>
                <w:szCs w:val="21"/>
                <w:lang w:val="en-US" w:eastAsia="zh-CN"/>
                <w14:textFill>
                  <w14:solidFill>
                    <w14:schemeClr w14:val="tx1"/>
                  </w14:solidFill>
                </w14:textFill>
              </w:rPr>
              <w:t>。</w:t>
            </w:r>
          </w:p>
          <w:p w14:paraId="34E6045C">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left"/>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本项目属于</w:t>
            </w:r>
            <w:r>
              <w:rPr>
                <w:rFonts w:hint="eastAsia"/>
                <w:color w:val="000000" w:themeColor="text1"/>
                <w:kern w:val="0"/>
                <w:szCs w:val="21"/>
                <w:lang w:val="en-US" w:eastAsia="zh-CN"/>
                <w14:textFill>
                  <w14:solidFill>
                    <w14:schemeClr w14:val="tx1"/>
                  </w14:solidFill>
                </w14:textFill>
              </w:rPr>
              <w:t>输变电工程</w:t>
            </w:r>
            <w:r>
              <w:rPr>
                <w:rFonts w:hint="default"/>
                <w:color w:val="000000" w:themeColor="text1"/>
                <w:kern w:val="0"/>
                <w:szCs w:val="21"/>
                <w:lang w:val="en-US" w:eastAsia="zh-CN"/>
                <w14:textFill>
                  <w14:solidFill>
                    <w14:schemeClr w14:val="tx1"/>
                  </w14:solidFill>
                </w14:textFill>
              </w:rPr>
              <w:t>，架空线路工程施工期将采用先进的无人机放线工艺进行空中架线，架线过程无需清理走廊和通道，施工活动不涉及饮用水水源一级保护区水体以及陆域，不会对线路下方的饮用水水源保护区（一级保护区）产生影响；综合来看，在落实施工期水源保护和污染防治措施，并做好环境风险预警和应急防控工作后，不会对饮用水水源保护区的一级保护区造成影响。</w:t>
            </w:r>
          </w:p>
          <w:p w14:paraId="436AD9AC">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项目在涉及饮用水源保护区内的线路工程施工，不在水源保护区范围内设置施工营地，施工人员均在水源保护区外的居民区住宿，同时也禁止在水源保护区内清洗车辆机械，因此不会产生施工生活污水和车辆机械冲洗废水</w:t>
            </w:r>
            <w:r>
              <w:rPr>
                <w:rFonts w:hint="eastAsia"/>
                <w:color w:val="000000" w:themeColor="text1"/>
                <w:kern w:val="0"/>
                <w:szCs w:val="21"/>
                <w:lang w:val="en-US" w:eastAsia="zh-CN"/>
                <w14:textFill>
                  <w14:solidFill>
                    <w14:schemeClr w14:val="tx1"/>
                  </w14:solidFill>
                </w14:textFill>
              </w:rPr>
              <w:t>。</w:t>
            </w:r>
          </w:p>
          <w:p w14:paraId="6DA4D4B3">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综上所述，本项目N19~N20之间的线路通过采用无人机空中架线施工、不在一级饮用水水源保护区内立塔基和占地的实施方式，不会在饮用水水源一级保护区范围内形成临时或永久占地型实体，亦不会产生对饮用水水源一级保护区造成影响的污染物。因此本项目N19~N20之间的线路在施工和运行期间不会对线路下方的饮用水水源一级保护区造成影响，与《中华人民共和国水污染防治法》《饮用水水源保护区污染防治管理规定》《承德市承德县六沟镇集中式饮用水水源保护区划分技术报告》中的相关要求不冲突。</w:t>
            </w:r>
          </w:p>
          <w:p w14:paraId="37E9C485">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jc w:val="both"/>
              <w:textAlignment w:val="auto"/>
              <w:rPr>
                <w:rFonts w:hint="eastAsia"/>
                <w:b/>
                <w:bCs/>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（2）拟建线路工程穿越饮用水源二级保护区的相符性分析</w:t>
            </w:r>
          </w:p>
          <w:p w14:paraId="1E4812A3">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 xml:space="preserve">根据饮用水水源保护区相关法律法规的要求，饮用水源二级保护区内禁止新 </w:t>
            </w:r>
          </w:p>
          <w:p w14:paraId="74696F8C">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 xml:space="preserve">建、改建、扩建排放污染物的建设项目；已建成的排放污染物的建设项目，由县级以上人民政府责令拆除或者关闭。在饮用水源二级保护区内从事网箱养殖、旅 </w:t>
            </w:r>
          </w:p>
          <w:p w14:paraId="4527A092">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游等活动的，应当按照规定采取措施，防止污染饮用水水体。</w:t>
            </w:r>
          </w:p>
          <w:p w14:paraId="58B7903D">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本项目N16~N23间线路穿越承德县六沟镇饮用水水源二级保护区，其中N17、N18、N19、N20、N21、N22六座塔基位于承德县六沟镇饮用水水源二级保护区内。</w:t>
            </w:r>
          </w:p>
          <w:p w14:paraId="23788D2E">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21"/>
                <w:sz w:val="21"/>
                <w:szCs w:val="21"/>
                <w:lang w:val="en-US" w:eastAsia="zh-CN"/>
                <w14:textFill>
                  <w14:solidFill>
                    <w14:schemeClr w14:val="tx1"/>
                  </w14:solidFill>
                </w14:textFill>
              </w:rPr>
            </w:pPr>
            <w:r>
              <w:rPr>
                <w:rFonts w:hint="default"/>
                <w:color w:val="000000" w:themeColor="text1"/>
                <w:kern w:val="21"/>
                <w:sz w:val="21"/>
                <w:szCs w:val="21"/>
                <w:lang w:val="en-US" w:eastAsia="zh-CN"/>
                <w14:textFill>
                  <w14:solidFill>
                    <w14:schemeClr w14:val="tx1"/>
                  </w14:solidFill>
                </w14:textFill>
              </w:rPr>
              <w:t>本项目涉及饮用水源保护区为输电线路工程，属于非污染型线性基础设施建</w:t>
            </w:r>
          </w:p>
          <w:p w14:paraId="0E28AA4E">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default"/>
                <w:color w:val="000000" w:themeColor="text1"/>
                <w:kern w:val="21"/>
                <w:sz w:val="21"/>
                <w:szCs w:val="21"/>
                <w:lang w:val="en-US" w:eastAsia="zh-CN"/>
                <w14:textFill>
                  <w14:solidFill>
                    <w14:schemeClr w14:val="tx1"/>
                  </w14:solidFill>
                </w14:textFill>
              </w:rPr>
            </w:pPr>
            <w:r>
              <w:rPr>
                <w:rFonts w:hint="default"/>
                <w:color w:val="000000" w:themeColor="text1"/>
                <w:kern w:val="21"/>
                <w:sz w:val="21"/>
                <w:szCs w:val="21"/>
                <w:lang w:val="en-US" w:eastAsia="zh-CN"/>
                <w14:textFill>
                  <w14:solidFill>
                    <w14:schemeClr w14:val="tx1"/>
                  </w14:solidFill>
                </w14:textFill>
              </w:rPr>
              <w:t>设项目。项目线路工程建设仅在陆域范围开展，不涉及饮用水水体，线路架线施</w:t>
            </w:r>
          </w:p>
          <w:p w14:paraId="221FB704">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default"/>
                <w:color w:val="000000" w:themeColor="text1"/>
                <w:kern w:val="21"/>
                <w:sz w:val="21"/>
                <w:szCs w:val="21"/>
                <w:lang w:val="en-US" w:eastAsia="zh-CN"/>
                <w14:textFill>
                  <w14:solidFill>
                    <w14:schemeClr w14:val="tx1"/>
                  </w14:solidFill>
                </w14:textFill>
              </w:rPr>
            </w:pPr>
            <w:r>
              <w:rPr>
                <w:rFonts w:hint="default"/>
                <w:color w:val="000000" w:themeColor="text1"/>
                <w:kern w:val="21"/>
                <w:sz w:val="21"/>
                <w:szCs w:val="21"/>
                <w:lang w:val="en-US" w:eastAsia="zh-CN"/>
                <w14:textFill>
                  <w14:solidFill>
                    <w14:schemeClr w14:val="tx1"/>
                  </w14:solidFill>
                </w14:textFill>
              </w:rPr>
              <w:t>工采用无人机空中架线施工，不砍伐出放线通道，不设置牵张场，紧线过程中利</w:t>
            </w:r>
          </w:p>
          <w:p w14:paraId="2645A685">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default"/>
                <w:color w:val="000000" w:themeColor="text1"/>
                <w:kern w:val="21"/>
                <w:sz w:val="21"/>
                <w:szCs w:val="21"/>
                <w:lang w:val="en-US" w:eastAsia="zh-CN"/>
                <w14:textFill>
                  <w14:solidFill>
                    <w14:schemeClr w14:val="tx1"/>
                  </w14:solidFill>
                </w14:textFill>
              </w:rPr>
            </w:pPr>
            <w:r>
              <w:rPr>
                <w:rFonts w:hint="default"/>
                <w:color w:val="000000" w:themeColor="text1"/>
                <w:kern w:val="21"/>
                <w:sz w:val="21"/>
                <w:szCs w:val="21"/>
                <w:lang w:val="en-US" w:eastAsia="zh-CN"/>
                <w14:textFill>
                  <w14:solidFill>
                    <w14:schemeClr w14:val="tx1"/>
                  </w14:solidFill>
                </w14:textFill>
              </w:rPr>
              <w:t>用牵张设备进行，不砍伐植被；采用无废污水排放的塔基基础施工方式，混凝土</w:t>
            </w:r>
          </w:p>
          <w:p w14:paraId="20DCFACB">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default"/>
                <w:color w:val="000000" w:themeColor="text1"/>
                <w:kern w:val="21"/>
                <w:sz w:val="21"/>
                <w:szCs w:val="21"/>
                <w:lang w:val="en-US" w:eastAsia="zh-CN"/>
                <w14:textFill>
                  <w14:solidFill>
                    <w14:schemeClr w14:val="tx1"/>
                  </w14:solidFill>
                </w14:textFill>
              </w:rPr>
            </w:pPr>
            <w:r>
              <w:rPr>
                <w:rFonts w:hint="default"/>
                <w:color w:val="000000" w:themeColor="text1"/>
                <w:kern w:val="21"/>
                <w:sz w:val="21"/>
                <w:szCs w:val="21"/>
                <w:lang w:val="en-US" w:eastAsia="zh-CN"/>
                <w14:textFill>
                  <w14:solidFill>
                    <w14:schemeClr w14:val="tx1"/>
                  </w14:solidFill>
                </w14:textFill>
              </w:rPr>
              <w:t>采用人工拌和，并在施工工地外围设置</w:t>
            </w:r>
            <w:r>
              <w:rPr>
                <w:rFonts w:hint="eastAsia"/>
                <w:color w:val="000000" w:themeColor="text1"/>
                <w:kern w:val="21"/>
                <w:sz w:val="21"/>
                <w:szCs w:val="21"/>
                <w:lang w:val="en-US" w:eastAsia="zh-CN"/>
                <w14:textFill>
                  <w14:solidFill>
                    <w14:schemeClr w14:val="tx1"/>
                  </w14:solidFill>
                </w14:textFill>
              </w:rPr>
              <w:t>围挡</w:t>
            </w:r>
            <w:r>
              <w:rPr>
                <w:rFonts w:hint="default"/>
                <w:color w:val="000000" w:themeColor="text1"/>
                <w:kern w:val="21"/>
                <w:sz w:val="21"/>
                <w:szCs w:val="21"/>
                <w:lang w:val="en-US" w:eastAsia="zh-CN"/>
                <w14:textFill>
                  <w14:solidFill>
                    <w14:schemeClr w14:val="tx1"/>
                  </w14:solidFill>
                </w14:textFill>
              </w:rPr>
              <w:t>设施和修建临时排水沟，避免雨水冲</w:t>
            </w:r>
          </w:p>
          <w:p w14:paraId="46015352">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default"/>
                <w:color w:val="000000" w:themeColor="text1"/>
                <w:kern w:val="21"/>
                <w:sz w:val="21"/>
                <w:szCs w:val="21"/>
                <w:lang w:val="en-US" w:eastAsia="zh-CN"/>
                <w14:textFill>
                  <w14:solidFill>
                    <w14:schemeClr w14:val="tx1"/>
                  </w14:solidFill>
                </w14:textFill>
              </w:rPr>
            </w:pPr>
            <w:r>
              <w:rPr>
                <w:rFonts w:hint="default"/>
                <w:color w:val="000000" w:themeColor="text1"/>
                <w:kern w:val="21"/>
                <w:sz w:val="21"/>
                <w:szCs w:val="21"/>
                <w:lang w:val="en-US" w:eastAsia="zh-CN"/>
                <w14:textFill>
                  <w14:solidFill>
                    <w14:schemeClr w14:val="tx1"/>
                  </w14:solidFill>
                </w14:textFill>
              </w:rPr>
              <w:t>刷；砂石料加工施工废水通过设置简易沉砂池进行沉砂处理，然后上清水回用施</w:t>
            </w:r>
          </w:p>
          <w:p w14:paraId="33D22FF0">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default"/>
                <w:color w:val="000000" w:themeColor="text1"/>
                <w:kern w:val="21"/>
                <w:sz w:val="21"/>
                <w:szCs w:val="21"/>
                <w:lang w:val="en-US" w:eastAsia="zh-CN"/>
                <w14:textFill>
                  <w14:solidFill>
                    <w14:schemeClr w14:val="tx1"/>
                  </w14:solidFill>
                </w14:textFill>
              </w:rPr>
            </w:pPr>
            <w:r>
              <w:rPr>
                <w:rFonts w:hint="default"/>
                <w:color w:val="000000" w:themeColor="text1"/>
                <w:kern w:val="21"/>
                <w:sz w:val="21"/>
                <w:szCs w:val="21"/>
                <w:lang w:val="en-US" w:eastAsia="zh-CN"/>
                <w14:textFill>
                  <w14:solidFill>
                    <w14:schemeClr w14:val="tx1"/>
                  </w14:solidFill>
                </w14:textFill>
              </w:rPr>
              <w:t>工场地绿化降尘，下层沉淀层填埋并采取绿化措施，实现施工废水不外排；线路</w:t>
            </w:r>
          </w:p>
          <w:p w14:paraId="2693B836">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default"/>
                <w:color w:val="000000" w:themeColor="text1"/>
                <w:kern w:val="21"/>
                <w:sz w:val="21"/>
                <w:szCs w:val="21"/>
                <w:lang w:val="en-US" w:eastAsia="zh-CN"/>
                <w14:textFill>
                  <w14:solidFill>
                    <w14:schemeClr w14:val="tx1"/>
                  </w14:solidFill>
                </w14:textFill>
              </w:rPr>
            </w:pPr>
            <w:r>
              <w:rPr>
                <w:rFonts w:hint="default"/>
                <w:color w:val="000000" w:themeColor="text1"/>
                <w:kern w:val="21"/>
                <w:sz w:val="21"/>
                <w:szCs w:val="21"/>
                <w:lang w:val="en-US" w:eastAsia="zh-CN"/>
                <w14:textFill>
                  <w14:solidFill>
                    <w14:schemeClr w14:val="tx1"/>
                  </w14:solidFill>
                </w14:textFill>
              </w:rPr>
              <w:t>工程运营期无污废水产生及排放。</w:t>
            </w:r>
          </w:p>
          <w:p w14:paraId="3F80FBFD">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 xml:space="preserve">综上，在严格落实各项水污染措施后施工期和运营期均不外排污废水，不产 </w:t>
            </w:r>
          </w:p>
          <w:p w14:paraId="0CD1DA21">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生水污染物，不需设置排污口，对饮用水水质不会造成影响。</w:t>
            </w:r>
            <w:r>
              <w:rPr>
                <w:rFonts w:hint="eastAsia"/>
                <w:color w:val="000000" w:themeColor="text1"/>
                <w:kern w:val="0"/>
                <w:szCs w:val="21"/>
                <w:lang w:val="en-US" w:eastAsia="zh-CN"/>
                <w14:textFill>
                  <w14:solidFill>
                    <w14:schemeClr w14:val="tx1"/>
                  </w14:solidFill>
                </w14:textFill>
              </w:rPr>
              <w:t>本项目N16~N23间线路穿越承德县六沟镇饮用水水源二级保护区与《中华人民共和国水污染防治法》《饮用水水源保护区污染防治管理规定》《承德市承德县六沟镇集中式饮用水水源保护区划分技术报告》中的相关要求不冲突。</w:t>
            </w:r>
          </w:p>
          <w:p w14:paraId="40B833EB">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jc w:val="both"/>
              <w:textAlignment w:val="auto"/>
              <w:rPr>
                <w:rFonts w:hint="default"/>
                <w:b/>
                <w:bCs/>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2、与规划环评的符合性分析</w:t>
            </w:r>
          </w:p>
          <w:p w14:paraId="71D36A73">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根据《承德县甲山建材物流园区总体规划》和《承德县甲山建材物流园区总体规划环境影响报告书》要求，园区内应引进鼓励类项目，禁止引进限制类和淘汰类项目。选择科技含量高、经济效益好，资源消耗低，环境污染轻，符合环保政策要求的企业入区，严禁污染重、资源消耗高、对环境和城镇发展造成严重影响的两高一资企业入区。入区项目应符合规划的产业类别，引进的产业应该以建材物流产业为主，鼓励无</w:t>
            </w:r>
            <w:r>
              <w:rPr>
                <w:rFonts w:hint="eastAsia"/>
                <w:color w:val="000000" w:themeColor="text1"/>
                <w:kern w:val="0"/>
                <w:szCs w:val="21"/>
                <w:lang w:val="en-US" w:eastAsia="zh-CN"/>
                <w14:textFill>
                  <w14:solidFill>
                    <w14:schemeClr w14:val="tx1"/>
                  </w14:solidFill>
                </w14:textFill>
              </w:rPr>
              <w:t>工业</w:t>
            </w:r>
            <w:r>
              <w:rPr>
                <w:rFonts w:hint="default"/>
                <w:color w:val="000000" w:themeColor="text1"/>
                <w:kern w:val="0"/>
                <w:szCs w:val="21"/>
                <w:lang w:val="en-US" w:eastAsia="zh-CN"/>
                <w14:textFill>
                  <w14:solidFill>
                    <w14:schemeClr w14:val="tx1"/>
                  </w14:solidFill>
                </w14:textFill>
              </w:rPr>
              <w:t>废水排放或废水排放远小于同行业的企业入区。</w:t>
            </w:r>
          </w:p>
          <w:p w14:paraId="66A68A3E">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本项目为上网的输变电工程项目，本次环评是在原有</w:t>
            </w:r>
            <w:r>
              <w:rPr>
                <w:rFonts w:hint="eastAsia"/>
                <w:color w:val="000000" w:themeColor="text1"/>
                <w:kern w:val="0"/>
                <w:szCs w:val="21"/>
                <w:lang w:val="en-US" w:eastAsia="zh-CN"/>
                <w14:textFill>
                  <w14:solidFill>
                    <w14:schemeClr w14:val="tx1"/>
                  </w14:solidFill>
                </w14:textFill>
              </w:rPr>
              <w:t>“</w:t>
            </w:r>
            <w:r>
              <w:rPr>
                <w:rFonts w:hint="default"/>
                <w:color w:val="000000" w:themeColor="text1"/>
                <w:kern w:val="0"/>
                <w:szCs w:val="21"/>
                <w:lang w:val="en-US" w:eastAsia="zh-CN"/>
                <w14:textFill>
                  <w14:solidFill>
                    <w14:schemeClr w14:val="tx1"/>
                  </w14:solidFill>
                </w14:textFill>
              </w:rPr>
              <w:t>承县环评审﹝2023﹞1</w:t>
            </w:r>
            <w:r>
              <w:rPr>
                <w:rFonts w:hint="eastAsia"/>
                <w:color w:val="000000" w:themeColor="text1"/>
                <w:kern w:val="0"/>
                <w:szCs w:val="21"/>
                <w:lang w:val="en-US" w:eastAsia="zh-CN"/>
                <w14:textFill>
                  <w14:solidFill>
                    <w14:schemeClr w14:val="tx1"/>
                  </w14:solidFill>
                </w14:textFill>
              </w:rPr>
              <w:t>1</w:t>
            </w:r>
            <w:r>
              <w:rPr>
                <w:rFonts w:hint="default"/>
                <w:color w:val="000000" w:themeColor="text1"/>
                <w:kern w:val="0"/>
                <w:szCs w:val="21"/>
                <w:lang w:val="en-US" w:eastAsia="zh-CN"/>
                <w14:textFill>
                  <w14:solidFill>
                    <w14:schemeClr w14:val="tx1"/>
                  </w14:solidFill>
                </w14:textFill>
              </w:rPr>
              <w:t>号</w:t>
            </w:r>
            <w:r>
              <w:rPr>
                <w:rFonts w:hint="eastAsia"/>
                <w:color w:val="000000" w:themeColor="text1"/>
                <w:kern w:val="0"/>
                <w:szCs w:val="21"/>
                <w:lang w:val="en-US" w:eastAsia="zh-CN"/>
                <w14:textFill>
                  <w14:solidFill>
                    <w14:schemeClr w14:val="tx1"/>
                  </w14:solidFill>
                </w14:textFill>
              </w:rPr>
              <w:t>”</w:t>
            </w:r>
            <w:r>
              <w:rPr>
                <w:rFonts w:hint="default"/>
                <w:color w:val="000000" w:themeColor="text1"/>
                <w:kern w:val="0"/>
                <w:szCs w:val="21"/>
                <w:lang w:val="en-US" w:eastAsia="zh-CN"/>
                <w14:textFill>
                  <w14:solidFill>
                    <w14:schemeClr w14:val="tx1"/>
                  </w14:solidFill>
                </w14:textFill>
              </w:rPr>
              <w:t>基础上输变电辐射环评内容，</w:t>
            </w:r>
            <w:r>
              <w:rPr>
                <w:rFonts w:hint="eastAsia"/>
                <w:color w:val="000000" w:themeColor="text1"/>
                <w:kern w:val="0"/>
                <w:szCs w:val="21"/>
                <w:lang w:val="en-US" w:eastAsia="zh-CN"/>
                <w14:textFill>
                  <w14:solidFill>
                    <w14:schemeClr w14:val="tx1"/>
                  </w14:solidFill>
                </w14:textFill>
              </w:rPr>
              <w:t>本项目</w:t>
            </w:r>
            <w:r>
              <w:rPr>
                <w:rFonts w:hint="eastAsia"/>
                <w:color w:val="000000" w:themeColor="text1"/>
                <w:kern w:val="2"/>
                <w:szCs w:val="21"/>
                <w14:textFill>
                  <w14:solidFill>
                    <w14:schemeClr w14:val="tx1"/>
                  </w14:solidFill>
                </w14:textFill>
              </w:rPr>
              <w:t>为自动测控无人值守</w:t>
            </w:r>
            <w:r>
              <w:rPr>
                <w:rFonts w:hint="eastAsia"/>
                <w:color w:val="000000" w:themeColor="text1"/>
                <w:kern w:val="2"/>
                <w:szCs w:val="21"/>
                <w:lang w:eastAsia="zh-CN"/>
                <w14:textFill>
                  <w14:solidFill>
                    <w14:schemeClr w14:val="tx1"/>
                  </w14:solidFill>
                </w14:textFill>
              </w:rPr>
              <w:t>，</w:t>
            </w:r>
            <w:r>
              <w:rPr>
                <w:rFonts w:hint="eastAsia"/>
                <w:color w:val="000000" w:themeColor="text1"/>
                <w:kern w:val="2"/>
                <w:szCs w:val="21"/>
                <w:lang w:val="en-US" w:eastAsia="zh-CN"/>
                <w14:textFill>
                  <w14:solidFill>
                    <w14:schemeClr w14:val="tx1"/>
                  </w14:solidFill>
                </w14:textFill>
              </w:rPr>
              <w:t>无生活废水产生；</w:t>
            </w:r>
            <w:r>
              <w:rPr>
                <w:rFonts w:hint="default"/>
                <w:color w:val="000000" w:themeColor="text1"/>
                <w:kern w:val="0"/>
                <w:szCs w:val="21"/>
                <w:lang w:val="en-US" w:eastAsia="zh-CN"/>
                <w14:textFill>
                  <w14:solidFill>
                    <w14:schemeClr w14:val="tx1"/>
                  </w14:solidFill>
                </w14:textFill>
              </w:rPr>
              <w:t>经第一章其他符合性分析中市场准入符合性分析，本项目</w:t>
            </w:r>
            <w:r>
              <w:rPr>
                <w:rFonts w:hint="eastAsia"/>
                <w:color w:val="000000" w:themeColor="text1"/>
                <w:kern w:val="0"/>
                <w:szCs w:val="21"/>
                <w:lang w:val="en-US" w:eastAsia="zh-CN"/>
                <w14:textFill>
                  <w14:solidFill>
                    <w14:schemeClr w14:val="tx1"/>
                  </w14:solidFill>
                </w14:textFill>
              </w:rPr>
              <w:t>属于鼓励类项目，</w:t>
            </w:r>
            <w:r>
              <w:rPr>
                <w:rFonts w:hint="default"/>
                <w:color w:val="000000" w:themeColor="text1"/>
                <w:kern w:val="0"/>
                <w:szCs w:val="21"/>
                <w:lang w:val="en-US" w:eastAsia="zh-CN"/>
                <w14:textFill>
                  <w14:solidFill>
                    <w14:schemeClr w14:val="tx1"/>
                  </w14:solidFill>
                </w14:textFill>
              </w:rPr>
              <w:t>不属于污染重、资源消耗高、对环境和城镇发展造成严重影响的两高一资企业。本项目无工艺废水排放。故项目建设符合规划要求。</w:t>
            </w:r>
          </w:p>
          <w:p w14:paraId="7971A376">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jc w:val="both"/>
              <w:textAlignment w:val="auto"/>
              <w:rPr>
                <w:rFonts w:hint="default"/>
                <w:b/>
                <w:bCs/>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3、规划环评及审查意见的符合性</w:t>
            </w:r>
          </w:p>
          <w:p w14:paraId="3009C649">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根据《承德县甲山建材物流园区总体规划环境影响报告书》该园区入区项目准入条件如下：</w:t>
            </w:r>
          </w:p>
          <w:p w14:paraId="1AEDA8FD">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根据《产业结构调整指导目录（2019年本）》以及其他产业政策要求，园区内应引进鼓励类项目，禁止引进限制类和淘汰类项目。选择科技含量高、经济效益好，资源消耗低，环境污染轻，符合环保政策要求的企业入区，严禁污染重、资源消耗高、对环境和城镇发展造成严重影响的两高一资企业入区。入区项目应符合规划的产业类别，引进的产业应该以建材物流产业为主，鼓励无工业废水排放或废水排放远小于同行业的企业入区。</w:t>
            </w:r>
          </w:p>
          <w:p w14:paraId="45D64AAB">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园区应优化资源配置，按照循环经济的理念和“布局集中、产业集聚、用地集约”的原则，进一步完善发展规划，对入区企业提出土地、能源、水资源利用及废弃物排放综合控制目标，严格控制用水量大和排水量多的企业进入园区，发挥产业集聚和工业生态效应，形成资源高效循环利用产业链。努力提高园区土地利用率、投资强度及容积率。</w:t>
            </w:r>
          </w:p>
          <w:p w14:paraId="2224758E">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园区的规划、建设和发展要坚持高起点、高标准和高水平，立足用先进适用技术改造传统产业，积极发展高新技术产业。克服片面追求规模和引资数量，注重园区项目的质量和效益，注重技术创新和管理创新，注重结构调整和优化升级，使园区成为推动技术创新和产品升级的强力引擎。禁止资源消耗高、环境污染重、废物难处理、不符合国家产业政策的落后生产技术、工艺、装备和产品进入园区，同时严格控制土地供应，保护有限的土地资源，提高土地资源的利用效率，带动区域经济整体发展，减轻资源环境压力。综合以上分析结果，本评价推荐以下几点作为入区企业的准入条件：</w:t>
            </w:r>
          </w:p>
          <w:p w14:paraId="1BD2F933">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（1）符合国家产业政策要求</w:t>
            </w:r>
          </w:p>
          <w:p w14:paraId="4F586AC1">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入区企业应以《产业结构调整指导目录（2019 年本）》及国家最新产业政策中鼓励类项目为主，符合《关于抑制部分行业产能过剩和重复建设引导产业健康发展的若干意见》（国发[2009]38 号）要求。</w:t>
            </w:r>
          </w:p>
          <w:p w14:paraId="62C1FB40">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现国家产业政策要求以《产业结构调整指导目录（2024年本）》为标准，因此入区企业应满足《产业结构调整指导目录（2024年本）》标准。</w:t>
            </w:r>
          </w:p>
          <w:p w14:paraId="2BB4651E">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（2）满足相关污染物排放标准的有关规定；同时还应优先选择资源利用率 高、能源消耗量少、污染物排放量少的项目。</w:t>
            </w:r>
          </w:p>
          <w:p w14:paraId="3C346A4C">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 xml:space="preserve">（3）满足地方产业政策要求 </w:t>
            </w:r>
          </w:p>
          <w:p w14:paraId="40A8DAC0">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满足《关于印发河北省新增限制和淘汰类产业目录（2015 年版）的通知》（冀政办发[2015]7 号）、《河北省人民政府关于河北省区域禁（限）批建设项目实施意见（试行）》（冀政[2009]89 号）总体要求中提出的相关要求；严格限制高耗能、高污染的建设项目。入区企业的清洁生产水平应达到国家相应清洁生产标准二级以上水平或国内先进水平，同时符合循环经济要求。</w:t>
            </w:r>
          </w:p>
          <w:p w14:paraId="18401D35">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（4）符合园区用地类型及园区的产业结构。</w:t>
            </w:r>
          </w:p>
          <w:p w14:paraId="4F60AFED">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（5）推荐及禁止入区项目</w:t>
            </w:r>
          </w:p>
          <w:p w14:paraId="09EF3F01">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规划未明确各产业具体引进项目，本评价根据规划的产业定位和经济发展 目标，依托国家和地方产业政策、各级行业规划、规划确定的用地类型以及各级环保行政主管部门的具体要求，对园区入驻的具体产业类型进行前瞻性预测分析。本评价推荐的入区项目及建议禁止入区的项目汇总见下表。</w:t>
            </w:r>
          </w:p>
          <w:p w14:paraId="0C9E568A">
            <w:pPr>
              <w:pStyle w:val="17"/>
              <w:spacing w:line="48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表1-</w:t>
            </w:r>
            <w:r>
              <w:rPr>
                <w:rFonts w:hint="eastAsia"/>
                <w:b/>
                <w:bCs/>
                <w:color w:val="000000" w:themeColor="text1"/>
                <w:szCs w:val="21"/>
                <w:lang w:val="en-US" w:eastAsia="zh-CN"/>
                <w14:textFill>
                  <w14:solidFill>
                    <w14:schemeClr w14:val="tx1"/>
                  </w14:solidFill>
                </w14:textFill>
              </w:rPr>
              <w:t>2</w:t>
            </w:r>
            <w:r>
              <w:rPr>
                <w:rFonts w:hint="eastAsia"/>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推荐的入区项目及建议禁止入区项目一览</w:t>
            </w:r>
            <w:r>
              <w:rPr>
                <w:rFonts w:hint="eastAsia"/>
                <w:b/>
                <w:bCs/>
                <w:color w:val="000000" w:themeColor="text1"/>
                <w:szCs w:val="21"/>
                <w14:textFill>
                  <w14:solidFill>
                    <w14:schemeClr w14:val="tx1"/>
                  </w14:solidFill>
                </w14:textFill>
              </w:rPr>
              <w:t>表</w:t>
            </w:r>
          </w:p>
          <w:tbl>
            <w:tblPr>
              <w:tblStyle w:val="69"/>
              <w:tblW w:w="73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51"/>
              <w:gridCol w:w="870"/>
              <w:gridCol w:w="750"/>
              <w:gridCol w:w="4851"/>
            </w:tblGrid>
            <w:tr w14:paraId="6AF6A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vAlign w:val="center"/>
                </w:tcPr>
                <w:p w14:paraId="42EE2415">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b/>
                      <w:bCs/>
                      <w:spacing w:val="0"/>
                      <w:sz w:val="21"/>
                      <w:szCs w:val="21"/>
                    </w:rPr>
                    <w:t>分类</w:t>
                  </w:r>
                </w:p>
              </w:tc>
              <w:tc>
                <w:tcPr>
                  <w:tcW w:w="870" w:type="dxa"/>
                  <w:tcBorders>
                    <w:top w:val="single" w:color="auto" w:sz="4" w:space="0"/>
                    <w:left w:val="single" w:color="auto" w:sz="4" w:space="0"/>
                    <w:bottom w:val="single" w:color="auto" w:sz="4" w:space="0"/>
                    <w:right w:val="single" w:color="auto" w:sz="4" w:space="0"/>
                  </w:tcBorders>
                  <w:vAlign w:val="center"/>
                </w:tcPr>
                <w:p w14:paraId="34CEC74C">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b/>
                      <w:bCs/>
                      <w:spacing w:val="0"/>
                      <w:sz w:val="21"/>
                      <w:szCs w:val="21"/>
                    </w:rPr>
                    <w:t>类型</w:t>
                  </w:r>
                </w:p>
              </w:tc>
              <w:tc>
                <w:tcPr>
                  <w:tcW w:w="750" w:type="dxa"/>
                  <w:tcBorders>
                    <w:top w:val="single" w:color="auto" w:sz="4" w:space="0"/>
                    <w:left w:val="single" w:color="auto" w:sz="4" w:space="0"/>
                    <w:bottom w:val="single" w:color="auto" w:sz="4" w:space="0"/>
                    <w:right w:val="single" w:color="auto" w:sz="4" w:space="0"/>
                  </w:tcBorders>
                  <w:vAlign w:val="center"/>
                </w:tcPr>
                <w:p w14:paraId="4C9DEB24">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b/>
                      <w:bCs/>
                      <w:spacing w:val="0"/>
                      <w:sz w:val="21"/>
                      <w:szCs w:val="21"/>
                    </w:rPr>
                    <w:t>序号</w:t>
                  </w:r>
                </w:p>
              </w:tc>
              <w:tc>
                <w:tcPr>
                  <w:tcW w:w="4851" w:type="dxa"/>
                  <w:tcBorders>
                    <w:top w:val="single" w:color="auto" w:sz="4" w:space="0"/>
                    <w:left w:val="single" w:color="auto" w:sz="4" w:space="0"/>
                    <w:bottom w:val="single" w:color="auto" w:sz="4" w:space="0"/>
                    <w:right w:val="single" w:color="auto" w:sz="4" w:space="0"/>
                  </w:tcBorders>
                  <w:vAlign w:val="center"/>
                </w:tcPr>
                <w:p w14:paraId="0FF9AEF7">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b/>
                      <w:bCs/>
                      <w:spacing w:val="0"/>
                      <w:sz w:val="21"/>
                      <w:szCs w:val="21"/>
                    </w:rPr>
                    <w:t>内容</w:t>
                  </w:r>
                </w:p>
              </w:tc>
            </w:tr>
            <w:tr w14:paraId="3C5BF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1" w:type="dxa"/>
                  <w:vMerge w:val="restart"/>
                  <w:tcBorders>
                    <w:top w:val="single" w:color="auto" w:sz="4" w:space="0"/>
                    <w:left w:val="single" w:color="auto" w:sz="4" w:space="0"/>
                    <w:bottom w:val="single" w:color="auto" w:sz="4" w:space="0"/>
                    <w:right w:val="single" w:color="auto" w:sz="4" w:space="0"/>
                  </w:tcBorders>
                  <w:vAlign w:val="center"/>
                </w:tcPr>
                <w:p w14:paraId="1DBF8911">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产业政策、上层规划鼓励类项目</w:t>
                  </w:r>
                </w:p>
              </w:tc>
              <w:tc>
                <w:tcPr>
                  <w:tcW w:w="870" w:type="dxa"/>
                  <w:vMerge w:val="restart"/>
                  <w:tcBorders>
                    <w:top w:val="single" w:color="auto" w:sz="4" w:space="0"/>
                    <w:left w:val="single" w:color="auto" w:sz="4" w:space="0"/>
                    <w:bottom w:val="single" w:color="auto" w:sz="4" w:space="0"/>
                    <w:right w:val="single" w:color="auto" w:sz="4" w:space="0"/>
                  </w:tcBorders>
                  <w:vAlign w:val="center"/>
                </w:tcPr>
                <w:p w14:paraId="63007F8D">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建材业</w:t>
                  </w:r>
                </w:p>
              </w:tc>
              <w:tc>
                <w:tcPr>
                  <w:tcW w:w="750" w:type="dxa"/>
                  <w:tcBorders>
                    <w:top w:val="single" w:color="auto" w:sz="4" w:space="0"/>
                    <w:left w:val="single" w:color="auto" w:sz="4" w:space="0"/>
                    <w:bottom w:val="single" w:color="auto" w:sz="4" w:space="0"/>
                    <w:right w:val="single" w:color="auto" w:sz="4" w:space="0"/>
                  </w:tcBorders>
                  <w:vAlign w:val="center"/>
                </w:tcPr>
                <w:p w14:paraId="089AB596">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4851" w:type="dxa"/>
                  <w:tcBorders>
                    <w:top w:val="single" w:color="auto" w:sz="4" w:space="0"/>
                    <w:left w:val="single" w:color="auto" w:sz="4" w:space="0"/>
                    <w:bottom w:val="single" w:color="auto" w:sz="4" w:space="0"/>
                    <w:right w:val="single" w:color="auto" w:sz="4" w:space="0"/>
                  </w:tcBorders>
                  <w:vAlign w:val="center"/>
                </w:tcPr>
                <w:p w14:paraId="16B6832E">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重点发展石材加工、新型建筑体系和节能建筑</w:t>
                  </w:r>
                </w:p>
                <w:p w14:paraId="2AE28891">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产品生产</w:t>
                  </w:r>
                </w:p>
              </w:tc>
            </w:tr>
            <w:tr w14:paraId="06537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14:paraId="7A200BFC">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14:paraId="7B1FC003">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03B81DDC">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4851" w:type="dxa"/>
                  <w:tcBorders>
                    <w:top w:val="single" w:color="auto" w:sz="4" w:space="0"/>
                    <w:left w:val="single" w:color="auto" w:sz="4" w:space="0"/>
                    <w:bottom w:val="single" w:color="auto" w:sz="4" w:space="0"/>
                    <w:right w:val="single" w:color="auto" w:sz="4" w:space="0"/>
                  </w:tcBorders>
                  <w:vAlign w:val="center"/>
                </w:tcPr>
                <w:p w14:paraId="5BA64327">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开发新型、高效、多功能墙体材料生产</w:t>
                  </w:r>
                </w:p>
              </w:tc>
            </w:tr>
            <w:tr w14:paraId="433DC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14:paraId="4539D28D">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14:paraId="2CEE4888">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17388F06">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w:t>
                  </w:r>
                </w:p>
              </w:tc>
              <w:tc>
                <w:tcPr>
                  <w:tcW w:w="4851" w:type="dxa"/>
                  <w:tcBorders>
                    <w:top w:val="single" w:color="auto" w:sz="4" w:space="0"/>
                    <w:left w:val="single" w:color="auto" w:sz="4" w:space="0"/>
                    <w:bottom w:val="single" w:color="auto" w:sz="4" w:space="0"/>
                    <w:right w:val="single" w:color="auto" w:sz="4" w:space="0"/>
                  </w:tcBorders>
                  <w:vAlign w:val="center"/>
                </w:tcPr>
                <w:p w14:paraId="4FA4866F">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开发特种水泥、高性能水泥制品等生产</w:t>
                  </w:r>
                </w:p>
              </w:tc>
            </w:tr>
            <w:tr w14:paraId="42FCC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14:paraId="033EEC79">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870" w:type="dxa"/>
                  <w:tcBorders>
                    <w:top w:val="single" w:color="auto" w:sz="4" w:space="0"/>
                    <w:left w:val="single" w:color="auto" w:sz="4" w:space="0"/>
                    <w:bottom w:val="single" w:color="auto" w:sz="4" w:space="0"/>
                    <w:right w:val="single" w:color="auto" w:sz="4" w:space="0"/>
                  </w:tcBorders>
                  <w:vAlign w:val="center"/>
                </w:tcPr>
                <w:p w14:paraId="40704AFF">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仓储物流业</w:t>
                  </w:r>
                </w:p>
              </w:tc>
              <w:tc>
                <w:tcPr>
                  <w:tcW w:w="750" w:type="dxa"/>
                  <w:tcBorders>
                    <w:top w:val="single" w:color="auto" w:sz="4" w:space="0"/>
                    <w:left w:val="single" w:color="auto" w:sz="4" w:space="0"/>
                    <w:bottom w:val="single" w:color="auto" w:sz="4" w:space="0"/>
                    <w:right w:val="single" w:color="auto" w:sz="4" w:space="0"/>
                  </w:tcBorders>
                  <w:vAlign w:val="center"/>
                </w:tcPr>
                <w:p w14:paraId="4654D4B2">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4851" w:type="dxa"/>
                  <w:tcBorders>
                    <w:top w:val="single" w:color="auto" w:sz="4" w:space="0"/>
                    <w:left w:val="single" w:color="auto" w:sz="4" w:space="0"/>
                    <w:bottom w:val="single" w:color="auto" w:sz="4" w:space="0"/>
                    <w:right w:val="single" w:color="auto" w:sz="4" w:space="0"/>
                  </w:tcBorders>
                  <w:vAlign w:val="center"/>
                </w:tcPr>
                <w:p w14:paraId="7196E96E">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石材、墙体材料及水泥制品等重要商品的现代</w:t>
                  </w:r>
                </w:p>
                <w:p w14:paraId="2487F057">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化仓储等物流设施建设</w:t>
                  </w:r>
                </w:p>
              </w:tc>
            </w:tr>
            <w:tr w14:paraId="4737A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21" w:type="dxa"/>
                  <w:gridSpan w:val="2"/>
                  <w:vMerge w:val="restart"/>
                  <w:tcBorders>
                    <w:top w:val="single" w:color="auto" w:sz="4" w:space="0"/>
                    <w:left w:val="single" w:color="auto" w:sz="4" w:space="0"/>
                    <w:bottom w:val="single" w:color="auto" w:sz="4" w:space="0"/>
                    <w:right w:val="single" w:color="auto" w:sz="4" w:space="0"/>
                  </w:tcBorders>
                  <w:vAlign w:val="center"/>
                </w:tcPr>
                <w:p w14:paraId="23B18A8B">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禁止或限制入</w:t>
                  </w:r>
                </w:p>
                <w:p w14:paraId="2035FF18">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区项目</w:t>
                  </w:r>
                </w:p>
              </w:tc>
              <w:tc>
                <w:tcPr>
                  <w:tcW w:w="750" w:type="dxa"/>
                  <w:tcBorders>
                    <w:top w:val="single" w:color="auto" w:sz="4" w:space="0"/>
                    <w:left w:val="single" w:color="auto" w:sz="4" w:space="0"/>
                    <w:bottom w:val="single" w:color="auto" w:sz="4" w:space="0"/>
                    <w:right w:val="single" w:color="auto" w:sz="4" w:space="0"/>
                  </w:tcBorders>
                  <w:vAlign w:val="center"/>
                </w:tcPr>
                <w:p w14:paraId="016438CB">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4851" w:type="dxa"/>
                  <w:tcBorders>
                    <w:top w:val="single" w:color="auto" w:sz="4" w:space="0"/>
                    <w:left w:val="single" w:color="auto" w:sz="4" w:space="0"/>
                    <w:bottom w:val="single" w:color="auto" w:sz="4" w:space="0"/>
                    <w:right w:val="single" w:color="auto" w:sz="4" w:space="0"/>
                  </w:tcBorders>
                  <w:vAlign w:val="center"/>
                </w:tcPr>
                <w:p w14:paraId="60950D1B">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《产业结构调整指导目录（2019年本）》中限</w:t>
                  </w:r>
                </w:p>
                <w:p w14:paraId="0124341C">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制类、淘汰类项目</w:t>
                  </w:r>
                </w:p>
              </w:tc>
            </w:tr>
            <w:tr w14:paraId="688B4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21" w:type="dxa"/>
                  <w:gridSpan w:val="2"/>
                  <w:vMerge w:val="continue"/>
                  <w:tcBorders>
                    <w:top w:val="single" w:color="auto" w:sz="4" w:space="0"/>
                    <w:left w:val="single" w:color="auto" w:sz="4" w:space="0"/>
                    <w:bottom w:val="single" w:color="auto" w:sz="4" w:space="0"/>
                    <w:right w:val="single" w:color="auto" w:sz="4" w:space="0"/>
                  </w:tcBorders>
                  <w:vAlign w:val="center"/>
                </w:tcPr>
                <w:p w14:paraId="7C8EEFE1">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388DB16A">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4851" w:type="dxa"/>
                  <w:tcBorders>
                    <w:top w:val="single" w:color="auto" w:sz="4" w:space="0"/>
                    <w:left w:val="single" w:color="auto" w:sz="4" w:space="0"/>
                    <w:bottom w:val="single" w:color="auto" w:sz="4" w:space="0"/>
                    <w:right w:val="single" w:color="auto" w:sz="4" w:space="0"/>
                  </w:tcBorders>
                  <w:vAlign w:val="center"/>
                </w:tcPr>
                <w:p w14:paraId="5BF05BC8">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不符合《河北省区域禁（限）批建设项目的实施意见（试行）》相关要求的项目</w:t>
                  </w:r>
                </w:p>
              </w:tc>
            </w:tr>
            <w:tr w14:paraId="22A8E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21" w:type="dxa"/>
                  <w:gridSpan w:val="2"/>
                  <w:vMerge w:val="continue"/>
                  <w:tcBorders>
                    <w:top w:val="single" w:color="auto" w:sz="4" w:space="0"/>
                    <w:left w:val="single" w:color="auto" w:sz="4" w:space="0"/>
                    <w:bottom w:val="single" w:color="auto" w:sz="4" w:space="0"/>
                    <w:right w:val="single" w:color="auto" w:sz="4" w:space="0"/>
                  </w:tcBorders>
                  <w:vAlign w:val="center"/>
                </w:tcPr>
                <w:p w14:paraId="33A8F8DC">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7CB21D3C">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w:t>
                  </w:r>
                </w:p>
              </w:tc>
              <w:tc>
                <w:tcPr>
                  <w:tcW w:w="4851" w:type="dxa"/>
                  <w:tcBorders>
                    <w:top w:val="single" w:color="auto" w:sz="4" w:space="0"/>
                    <w:left w:val="single" w:color="auto" w:sz="4" w:space="0"/>
                    <w:bottom w:val="single" w:color="auto" w:sz="4" w:space="0"/>
                    <w:right w:val="single" w:color="auto" w:sz="4" w:space="0"/>
                  </w:tcBorders>
                  <w:vAlign w:val="center"/>
                </w:tcPr>
                <w:p w14:paraId="31B298CB">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不能满足《国务院批转发展改革委等部门关于</w:t>
                  </w:r>
                </w:p>
                <w:p w14:paraId="296B6489">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抑制部分行业产能过剩和重复建设引导产业健康发展若干意见的通知》（国发</w:t>
                  </w:r>
                  <w:r>
                    <w:rPr>
                      <w:rFonts w:hint="eastAsia" w:ascii="Times New Roman" w:hAnsi="Times New Roman" w:cs="Times New Roman"/>
                      <w:spacing w:val="0"/>
                      <w:sz w:val="21"/>
                      <w:szCs w:val="21"/>
                      <w:lang w:eastAsia="zh-CN"/>
                    </w:rPr>
                    <w:t>〔2009〕38号</w:t>
                  </w:r>
                  <w:r>
                    <w:rPr>
                      <w:rFonts w:hint="default" w:ascii="Times New Roman" w:hAnsi="Times New Roman" w:eastAsia="宋体" w:cs="Times New Roman"/>
                      <w:spacing w:val="0"/>
                      <w:sz w:val="21"/>
                      <w:szCs w:val="21"/>
                    </w:rPr>
                    <w:t>）要</w:t>
                  </w:r>
                </w:p>
                <w:p w14:paraId="23AA1CB3">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求的项目</w:t>
                  </w:r>
                </w:p>
              </w:tc>
            </w:tr>
            <w:tr w14:paraId="46CAC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21" w:type="dxa"/>
                  <w:gridSpan w:val="2"/>
                  <w:vMerge w:val="continue"/>
                  <w:tcBorders>
                    <w:top w:val="single" w:color="auto" w:sz="4" w:space="0"/>
                    <w:left w:val="single" w:color="auto" w:sz="4" w:space="0"/>
                    <w:bottom w:val="single" w:color="auto" w:sz="4" w:space="0"/>
                    <w:right w:val="single" w:color="auto" w:sz="4" w:space="0"/>
                  </w:tcBorders>
                  <w:vAlign w:val="center"/>
                </w:tcPr>
                <w:p w14:paraId="72706406">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1419137A">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w:t>
                  </w:r>
                </w:p>
              </w:tc>
              <w:tc>
                <w:tcPr>
                  <w:tcW w:w="4851" w:type="dxa"/>
                  <w:tcBorders>
                    <w:top w:val="single" w:color="auto" w:sz="4" w:space="0"/>
                    <w:left w:val="single" w:color="auto" w:sz="4" w:space="0"/>
                    <w:bottom w:val="single" w:color="auto" w:sz="4" w:space="0"/>
                    <w:right w:val="single" w:color="auto" w:sz="4" w:space="0"/>
                  </w:tcBorders>
                  <w:vAlign w:val="center"/>
                </w:tcPr>
                <w:p w14:paraId="149384FB">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不能满足《关于印发河北省新增限制和淘汰类</w:t>
                  </w:r>
                </w:p>
                <w:p w14:paraId="32700F98">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产业目录（2015年版）的通知》（冀政办发[2015]7</w:t>
                  </w:r>
                </w:p>
                <w:p w14:paraId="1814F397">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号）要求的项目</w:t>
                  </w:r>
                </w:p>
              </w:tc>
            </w:tr>
            <w:tr w14:paraId="186F7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21" w:type="dxa"/>
                  <w:gridSpan w:val="2"/>
                  <w:vMerge w:val="continue"/>
                  <w:tcBorders>
                    <w:top w:val="single" w:color="auto" w:sz="4" w:space="0"/>
                    <w:left w:val="single" w:color="auto" w:sz="4" w:space="0"/>
                    <w:bottom w:val="single" w:color="auto" w:sz="4" w:space="0"/>
                    <w:right w:val="single" w:color="auto" w:sz="4" w:space="0"/>
                  </w:tcBorders>
                  <w:vAlign w:val="center"/>
                </w:tcPr>
                <w:p w14:paraId="03DC37BE">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5FCC431B">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5</w:t>
                  </w:r>
                </w:p>
              </w:tc>
              <w:tc>
                <w:tcPr>
                  <w:tcW w:w="4851" w:type="dxa"/>
                  <w:tcBorders>
                    <w:top w:val="single" w:color="auto" w:sz="4" w:space="0"/>
                    <w:left w:val="single" w:color="auto" w:sz="4" w:space="0"/>
                    <w:bottom w:val="single" w:color="auto" w:sz="4" w:space="0"/>
                    <w:right w:val="single" w:color="auto" w:sz="4" w:space="0"/>
                  </w:tcBorders>
                  <w:vAlign w:val="center"/>
                </w:tcPr>
                <w:p w14:paraId="4BFF88E5">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清洁生产水平达不到国内先进水平及以上的项</w:t>
                  </w:r>
                </w:p>
                <w:p w14:paraId="28FD47AE">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目</w:t>
                  </w:r>
                </w:p>
              </w:tc>
            </w:tr>
            <w:tr w14:paraId="365EC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21" w:type="dxa"/>
                  <w:gridSpan w:val="2"/>
                  <w:vMerge w:val="continue"/>
                  <w:tcBorders>
                    <w:top w:val="single" w:color="auto" w:sz="4" w:space="0"/>
                    <w:left w:val="single" w:color="auto" w:sz="4" w:space="0"/>
                    <w:bottom w:val="single" w:color="auto" w:sz="4" w:space="0"/>
                    <w:right w:val="single" w:color="auto" w:sz="4" w:space="0"/>
                  </w:tcBorders>
                  <w:vAlign w:val="center"/>
                </w:tcPr>
                <w:p w14:paraId="73F69C29">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5DCEFE6D">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6</w:t>
                  </w:r>
                </w:p>
              </w:tc>
              <w:tc>
                <w:tcPr>
                  <w:tcW w:w="4851" w:type="dxa"/>
                  <w:tcBorders>
                    <w:top w:val="single" w:color="auto" w:sz="4" w:space="0"/>
                    <w:left w:val="single" w:color="auto" w:sz="4" w:space="0"/>
                    <w:bottom w:val="single" w:color="auto" w:sz="4" w:space="0"/>
                    <w:right w:val="single" w:color="auto" w:sz="4" w:space="0"/>
                  </w:tcBorders>
                  <w:vAlign w:val="center"/>
                </w:tcPr>
                <w:p w14:paraId="69B29366">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与规划产业及用地类型不符的项目</w:t>
                  </w:r>
                </w:p>
              </w:tc>
            </w:tr>
            <w:tr w14:paraId="080C7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21" w:type="dxa"/>
                  <w:gridSpan w:val="2"/>
                  <w:vMerge w:val="continue"/>
                  <w:tcBorders>
                    <w:top w:val="single" w:color="auto" w:sz="4" w:space="0"/>
                    <w:left w:val="single" w:color="auto" w:sz="4" w:space="0"/>
                    <w:bottom w:val="single" w:color="auto" w:sz="4" w:space="0"/>
                    <w:right w:val="single" w:color="auto" w:sz="4" w:space="0"/>
                  </w:tcBorders>
                  <w:vAlign w:val="center"/>
                </w:tcPr>
                <w:p w14:paraId="288D39B3">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761B6424">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7</w:t>
                  </w:r>
                </w:p>
              </w:tc>
              <w:tc>
                <w:tcPr>
                  <w:tcW w:w="4851" w:type="dxa"/>
                  <w:tcBorders>
                    <w:top w:val="single" w:color="auto" w:sz="4" w:space="0"/>
                    <w:left w:val="single" w:color="auto" w:sz="4" w:space="0"/>
                    <w:bottom w:val="single" w:color="auto" w:sz="4" w:space="0"/>
                    <w:right w:val="single" w:color="auto" w:sz="4" w:space="0"/>
                  </w:tcBorders>
                  <w:vAlign w:val="center"/>
                </w:tcPr>
                <w:p w14:paraId="05544468">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其他不符合国家产业政策的项目</w:t>
                  </w:r>
                </w:p>
              </w:tc>
            </w:tr>
            <w:tr w14:paraId="06333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21" w:type="dxa"/>
                  <w:gridSpan w:val="2"/>
                  <w:vMerge w:val="continue"/>
                  <w:tcBorders>
                    <w:top w:val="single" w:color="auto" w:sz="4" w:space="0"/>
                    <w:left w:val="single" w:color="auto" w:sz="4" w:space="0"/>
                    <w:bottom w:val="single" w:color="auto" w:sz="4" w:space="0"/>
                    <w:right w:val="single" w:color="auto" w:sz="4" w:space="0"/>
                  </w:tcBorders>
                  <w:vAlign w:val="center"/>
                </w:tcPr>
                <w:p w14:paraId="5E2CADC9">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1ACB65B9">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8</w:t>
                  </w:r>
                </w:p>
              </w:tc>
              <w:tc>
                <w:tcPr>
                  <w:tcW w:w="4851" w:type="dxa"/>
                  <w:tcBorders>
                    <w:top w:val="single" w:color="auto" w:sz="4" w:space="0"/>
                    <w:left w:val="single" w:color="auto" w:sz="4" w:space="0"/>
                    <w:bottom w:val="single" w:color="auto" w:sz="4" w:space="0"/>
                    <w:right w:val="single" w:color="auto" w:sz="4" w:space="0"/>
                  </w:tcBorders>
                  <w:vAlign w:val="center"/>
                </w:tcPr>
                <w:p w14:paraId="531F84A6">
                  <w:pPr>
                    <w:pStyle w:val="82"/>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不符合相关污染物排放标准要求的项目</w:t>
                  </w:r>
                </w:p>
              </w:tc>
            </w:tr>
          </w:tbl>
          <w:p w14:paraId="7F25AC17">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本项目为输变电项目，根据“一、市场准入符合性分析”，本项目符合相关产业政策要求，本项目运营期无废水、废气产生，项目所有设备无淘汰设备。项目建设符合规划环评批复要求。</w:t>
            </w:r>
          </w:p>
          <w:p w14:paraId="6B3190CA">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33F6B8D0">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3F4DBBC8">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62AC8430">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48FA2260">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68E3E23F">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229361DB">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50A477F2">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36EA0620">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64B753BF">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1F0B170F">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520B0699">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267AFE9D">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226CF02E">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45B333F5">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67859CD8">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2B6BDA1A">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1D1B2977">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65B74B5A">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23151EDD">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0A3809E4">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061A75A8">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p>
          <w:p w14:paraId="1CA530D8">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both"/>
              <w:textAlignment w:val="auto"/>
              <w:rPr>
                <w:rFonts w:hint="default"/>
                <w:color w:val="000000" w:themeColor="text1"/>
                <w:kern w:val="0"/>
                <w:szCs w:val="21"/>
                <w:lang w:val="en-US" w:eastAsia="zh-CN"/>
                <w14:textFill>
                  <w14:solidFill>
                    <w14:schemeClr w14:val="tx1"/>
                  </w14:solidFill>
                </w14:textFill>
              </w:rPr>
            </w:pPr>
          </w:p>
        </w:tc>
      </w:tr>
    </w:tbl>
    <w:p w14:paraId="6DBEE7F5">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sectPr>
          <w:footerReference r:id="rId4" w:type="default"/>
          <w:pgSz w:w="11906" w:h="16838"/>
          <w:pgMar w:top="1701" w:right="1531" w:bottom="1701" w:left="1531" w:header="851" w:footer="1077" w:gutter="0"/>
          <w:pgNumType w:fmt="decimal" w:start="1"/>
          <w:cols w:space="720" w:num="1"/>
          <w:docGrid w:linePitch="312" w:charSpace="0"/>
        </w:sectPr>
      </w:pPr>
    </w:p>
    <w:tbl>
      <w:tblPr>
        <w:tblStyle w:val="23"/>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72"/>
        <w:gridCol w:w="8667"/>
      </w:tblGrid>
      <w:tr w14:paraId="7DEF8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13" w:hRule="atLeast"/>
        </w:trPr>
        <w:tc>
          <w:tcPr>
            <w:tcW w:w="372" w:type="dxa"/>
            <w:tcMar>
              <w:top w:w="16" w:type="dxa"/>
              <w:left w:w="16" w:type="dxa"/>
              <w:right w:w="16" w:type="dxa"/>
            </w:tcMar>
            <w:vAlign w:val="center"/>
          </w:tcPr>
          <w:p w14:paraId="1D148BC9">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其他符合性分析</w:t>
            </w:r>
          </w:p>
        </w:tc>
        <w:tc>
          <w:tcPr>
            <w:tcW w:w="8667" w:type="dxa"/>
            <w:tcMar>
              <w:top w:w="16" w:type="dxa"/>
              <w:left w:w="16" w:type="dxa"/>
              <w:right w:w="16" w:type="dxa"/>
            </w:tcMar>
            <w:vAlign w:val="center"/>
          </w:tcPr>
          <w:p w14:paraId="120B166D">
            <w:pPr>
              <w:autoSpaceDE w:val="0"/>
              <w:autoSpaceDN w:val="0"/>
              <w:adjustRightInd w:val="0"/>
              <w:snapToGrid w:val="0"/>
              <w:spacing w:line="480" w:lineRule="exact"/>
              <w:jc w:val="left"/>
              <w:rPr>
                <w:rFonts w:ascii="宋体" w:hAnsi="宋体"/>
                <w:b/>
                <w:bCs/>
                <w:color w:val="000000" w:themeColor="text1"/>
                <w:kern w:val="0"/>
                <w:szCs w:val="21"/>
                <w14:textFill>
                  <w14:solidFill>
                    <w14:schemeClr w14:val="tx1"/>
                  </w14:solidFill>
                </w14:textFill>
              </w:rPr>
            </w:pPr>
            <w:r>
              <w:rPr>
                <w:rFonts w:hint="eastAsia" w:ascii="宋体" w:hAnsi="宋体"/>
                <w:b/>
                <w:bCs/>
                <w:color w:val="000000" w:themeColor="text1"/>
                <w:kern w:val="0"/>
                <w:szCs w:val="21"/>
                <w14:textFill>
                  <w14:solidFill>
                    <w14:schemeClr w14:val="tx1"/>
                  </w14:solidFill>
                </w14:textFill>
              </w:rPr>
              <w:t>一、市场准入符合性分析</w:t>
            </w:r>
          </w:p>
          <w:p w14:paraId="2992DE04">
            <w:pPr>
              <w:pStyle w:val="17"/>
              <w:keepNext w:val="0"/>
              <w:keepLines w:val="0"/>
              <w:pageBreakBefore w:val="0"/>
              <w:widowControl w:val="0"/>
              <w:kinsoku/>
              <w:wordWrap w:val="0"/>
              <w:overflowPunct/>
              <w:topLinePunct/>
              <w:autoSpaceDE/>
              <w:autoSpaceDN/>
              <w:bidi w:val="0"/>
              <w:adjustRightInd/>
              <w:snapToGrid/>
              <w:spacing w:line="480" w:lineRule="exact"/>
              <w:ind w:left="0" w:firstLine="420" w:firstLineChars="200"/>
              <w:textAlignment w:val="auto"/>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根据“国家发展改革委、商务部、市场监管总局关于印发《市场准入负面清单（2025年版）》的通知（发改体改规〔2025〕466号）（2025年4月16日）”，各类按要求编制的全国层面准入类清单目录，全部纳入市场准入负面清单管理。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7046923C">
            <w:pPr>
              <w:pStyle w:val="17"/>
              <w:keepNext w:val="0"/>
              <w:keepLines w:val="0"/>
              <w:pageBreakBefore w:val="0"/>
              <w:widowControl w:val="0"/>
              <w:kinsoku/>
              <w:wordWrap w:val="0"/>
              <w:overflowPunct/>
              <w:topLinePunct/>
              <w:autoSpaceDE/>
              <w:autoSpaceDN/>
              <w:bidi w:val="0"/>
              <w:adjustRightInd/>
              <w:snapToGrid/>
              <w:spacing w:line="480" w:lineRule="exact"/>
              <w:ind w:left="0" w:firstLine="420" w:firstLineChars="200"/>
              <w:textAlignment w:val="auto"/>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根据《市场准入负面清单（2025年版）》，禁止准入类共6项，许可准入类共20项，禁止准入类涉及生态环境保护的3项，许可准入类本项目涉及1项，如下表所示。</w:t>
            </w:r>
          </w:p>
          <w:p w14:paraId="369F2B0F">
            <w:pPr>
              <w:pStyle w:val="17"/>
              <w:spacing w:line="4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表1-</w:t>
            </w:r>
            <w:r>
              <w:rPr>
                <w:rFonts w:hint="eastAsia"/>
                <w:b/>
                <w:bCs/>
                <w:color w:val="000000" w:themeColor="text1"/>
                <w:szCs w:val="21"/>
                <w:lang w:val="en-US" w:eastAsia="zh-CN"/>
                <w14:textFill>
                  <w14:solidFill>
                    <w14:schemeClr w14:val="tx1"/>
                  </w14:solidFill>
                </w14:textFill>
              </w:rPr>
              <w:t>3</w:t>
            </w:r>
            <w:r>
              <w:rPr>
                <w:rFonts w:hint="eastAsia"/>
                <w:b/>
                <w:bCs/>
                <w:color w:val="000000" w:themeColor="text1"/>
                <w:szCs w:val="21"/>
                <w14:textFill>
                  <w14:solidFill>
                    <w14:schemeClr w14:val="tx1"/>
                  </w14:solidFill>
                </w14:textFill>
              </w:rPr>
              <w:t xml:space="preserve"> 《市场准入负面清单（202</w:t>
            </w:r>
            <w:r>
              <w:rPr>
                <w:rFonts w:hint="eastAsia"/>
                <w:b/>
                <w:bCs/>
                <w:color w:val="000000" w:themeColor="text1"/>
                <w:szCs w:val="21"/>
                <w:lang w:val="en-US" w:eastAsia="zh-CN"/>
                <w14:textFill>
                  <w14:solidFill>
                    <w14:schemeClr w14:val="tx1"/>
                  </w14:solidFill>
                </w14:textFill>
              </w:rPr>
              <w:t>5</w:t>
            </w:r>
            <w:r>
              <w:rPr>
                <w:rFonts w:hint="eastAsia"/>
                <w:b/>
                <w:bCs/>
                <w:color w:val="000000" w:themeColor="text1"/>
                <w:szCs w:val="21"/>
                <w14:textFill>
                  <w14:solidFill>
                    <w14:schemeClr w14:val="tx1"/>
                  </w14:solidFill>
                </w14:textFill>
              </w:rPr>
              <w:t>年版）》禁止准入类事项</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92"/>
              <w:gridCol w:w="712"/>
              <w:gridCol w:w="5147"/>
            </w:tblGrid>
            <w:tr w14:paraId="7C9B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3" w:type="pct"/>
                  <w:vAlign w:val="center"/>
                </w:tcPr>
                <w:p w14:paraId="1180AD73">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项目号</w:t>
                  </w:r>
                </w:p>
              </w:tc>
              <w:tc>
                <w:tcPr>
                  <w:tcW w:w="1271" w:type="pct"/>
                  <w:vAlign w:val="center"/>
                </w:tcPr>
                <w:p w14:paraId="5A102466">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禁止或许可事项</w:t>
                  </w:r>
                </w:p>
              </w:tc>
              <w:tc>
                <w:tcPr>
                  <w:tcW w:w="413" w:type="pct"/>
                  <w:vAlign w:val="center"/>
                </w:tcPr>
                <w:p w14:paraId="209F66A5">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事项编码</w:t>
                  </w:r>
                </w:p>
              </w:tc>
              <w:tc>
                <w:tcPr>
                  <w:tcW w:w="2981" w:type="pct"/>
                  <w:vAlign w:val="center"/>
                </w:tcPr>
                <w:p w14:paraId="6FF64CD6">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禁止或许可准入措施描述</w:t>
                  </w:r>
                </w:p>
              </w:tc>
            </w:tr>
            <w:tr w14:paraId="38B9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vAlign w:val="center"/>
                </w:tcPr>
                <w:p w14:paraId="5349E9D0">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一、禁止准入类</w:t>
                  </w:r>
                </w:p>
              </w:tc>
            </w:tr>
            <w:tr w14:paraId="2A6D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3" w:type="pct"/>
                  <w:vAlign w:val="center"/>
                </w:tcPr>
                <w:p w14:paraId="3400795B">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271" w:type="pct"/>
                  <w:vAlign w:val="center"/>
                </w:tcPr>
                <w:p w14:paraId="2D5D63A9">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法律</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法规、国务院决定等明确设立且与市场准入相关的禁止性规定</w:t>
                  </w:r>
                </w:p>
              </w:tc>
              <w:tc>
                <w:tcPr>
                  <w:tcW w:w="413" w:type="pct"/>
                  <w:vAlign w:val="center"/>
                </w:tcPr>
                <w:p w14:paraId="390D4FB4">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100001</w:t>
                  </w:r>
                </w:p>
              </w:tc>
              <w:tc>
                <w:tcPr>
                  <w:tcW w:w="2981" w:type="pct"/>
                  <w:vAlign w:val="center"/>
                </w:tcPr>
                <w:p w14:paraId="231DA77E">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法律</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法规、国务院决定等明确设立，且与市场准入相关的禁止性规定（见附件）</w:t>
                  </w:r>
                </w:p>
              </w:tc>
            </w:tr>
            <w:tr w14:paraId="131B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3" w:type="pct"/>
                  <w:vAlign w:val="center"/>
                </w:tcPr>
                <w:p w14:paraId="779AF048">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271" w:type="pct"/>
                  <w:vAlign w:val="center"/>
                </w:tcPr>
                <w:p w14:paraId="7F91999A">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国家产业政策明令淘汰和限制的产品、技术、工艺、设备及行为</w:t>
                  </w:r>
                </w:p>
              </w:tc>
              <w:tc>
                <w:tcPr>
                  <w:tcW w:w="413" w:type="pct"/>
                  <w:vAlign w:val="center"/>
                </w:tcPr>
                <w:p w14:paraId="0B7A098A">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100002</w:t>
                  </w:r>
                </w:p>
              </w:tc>
              <w:tc>
                <w:tcPr>
                  <w:tcW w:w="2981" w:type="pct"/>
                  <w:vAlign w:val="center"/>
                </w:tcPr>
                <w:p w14:paraId="3173D8F3">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《产业结构调整指导目录》中的淘汰类项目，禁止投资；限制类项目，禁止新建禁止投资建设《汽车产业投资管理规定》所列的汽车投资禁止类事项</w:t>
                  </w:r>
                </w:p>
              </w:tc>
            </w:tr>
            <w:tr w14:paraId="41D5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3" w:type="pct"/>
                  <w:vAlign w:val="center"/>
                </w:tcPr>
                <w:p w14:paraId="6619EC69">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271" w:type="pct"/>
                  <w:vAlign w:val="center"/>
                </w:tcPr>
                <w:p w14:paraId="38912020">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不符合主体功能区建设要求的各类开发活动</w:t>
                  </w:r>
                </w:p>
              </w:tc>
              <w:tc>
                <w:tcPr>
                  <w:tcW w:w="413" w:type="pct"/>
                  <w:vAlign w:val="center"/>
                </w:tcPr>
                <w:p w14:paraId="58AA7040">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100003</w:t>
                  </w:r>
                </w:p>
              </w:tc>
              <w:tc>
                <w:tcPr>
                  <w:tcW w:w="2981" w:type="pct"/>
                  <w:vAlign w:val="center"/>
                </w:tcPr>
                <w:p w14:paraId="045B618F">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地方国家重点生态功能区产业准入负面清单（或禁止限制目录）、农产品主产区产业准入负面清单（或禁止限制目录）所列有关事项</w:t>
                  </w:r>
                </w:p>
              </w:tc>
            </w:tr>
            <w:tr w14:paraId="2FCE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vAlign w:val="center"/>
                </w:tcPr>
                <w:p w14:paraId="2A19CE5C">
                  <w:pPr>
                    <w:pStyle w:val="17"/>
                    <w:spacing w:line="320" w:lineRule="exact"/>
                    <w:ind w:left="0" w:firstLine="0" w:firstLineChars="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注：该表只列出涉及生态环境保护的3项禁止准入类事项。</w:t>
                  </w:r>
                </w:p>
              </w:tc>
            </w:tr>
            <w:tr w14:paraId="6219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vAlign w:val="center"/>
                </w:tcPr>
                <w:p w14:paraId="78AE924B">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二、许可准入类</w:t>
                  </w:r>
                </w:p>
              </w:tc>
            </w:tr>
            <w:tr w14:paraId="1091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3" w:type="pct"/>
                  <w:vAlign w:val="center"/>
                </w:tcPr>
                <w:p w14:paraId="01D5B8B9">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101</w:t>
                  </w:r>
                </w:p>
              </w:tc>
              <w:tc>
                <w:tcPr>
                  <w:tcW w:w="1271" w:type="pct"/>
                  <w:vAlign w:val="center"/>
                </w:tcPr>
                <w:p w14:paraId="14FDF249">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未获得许可，不得投资建设特定能源项目</w:t>
                  </w:r>
                </w:p>
              </w:tc>
              <w:tc>
                <w:tcPr>
                  <w:tcW w:w="413" w:type="pct"/>
                  <w:vAlign w:val="center"/>
                </w:tcPr>
                <w:p w14:paraId="70EC26EF">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221002</w:t>
                  </w:r>
                </w:p>
              </w:tc>
              <w:tc>
                <w:tcPr>
                  <w:tcW w:w="2981" w:type="pct"/>
                  <w:vAlign w:val="center"/>
                </w:tcPr>
                <w:p w14:paraId="67C263C7">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电网工程：涉及跨境、跨省（区、市）输电的±</w:t>
                  </w:r>
                  <w:r>
                    <w:rPr>
                      <w:rFonts w:hint="default"/>
                      <w:color w:val="000000" w:themeColor="text1"/>
                      <w:szCs w:val="21"/>
                      <w:lang w:val="en-US" w:eastAsia="zh-CN"/>
                      <w14:textFill>
                        <w14:solidFill>
                          <w14:schemeClr w14:val="tx1"/>
                        </w14:solidFill>
                      </w14:textFill>
                    </w:rPr>
                    <w:t>500</w:t>
                  </w:r>
                  <w:r>
                    <w:rPr>
                      <w:rFonts w:hint="eastAsia"/>
                      <w:color w:val="000000" w:themeColor="text1"/>
                      <w:szCs w:val="21"/>
                      <w:lang w:val="en-US" w:eastAsia="zh-CN"/>
                      <w14:textFill>
                        <w14:solidFill>
                          <w14:schemeClr w14:val="tx1"/>
                        </w14:solidFill>
                      </w14:textFill>
                    </w:rPr>
                    <w:t>千伏及以上直流项目，涉及跨境、跨省（区、市）输电的</w:t>
                  </w:r>
                  <w:r>
                    <w:rPr>
                      <w:rFonts w:hint="default"/>
                      <w:color w:val="000000" w:themeColor="text1"/>
                      <w:szCs w:val="21"/>
                      <w:lang w:val="en-US" w:eastAsia="zh-CN"/>
                      <w14:textFill>
                        <w14:solidFill>
                          <w14:schemeClr w14:val="tx1"/>
                        </w14:solidFill>
                      </w14:textFill>
                    </w:rPr>
                    <w:t>500</w:t>
                  </w:r>
                  <w:r>
                    <w:rPr>
                      <w:rFonts w:hint="eastAsia"/>
                      <w:color w:val="000000" w:themeColor="text1"/>
                      <w:szCs w:val="21"/>
                      <w:lang w:val="en-US" w:eastAsia="zh-CN"/>
                      <w14:textFill>
                        <w14:solidFill>
                          <w14:schemeClr w14:val="tx1"/>
                        </w14:solidFill>
                      </w14:textFill>
                    </w:rPr>
                    <w:t>千伏、</w:t>
                  </w:r>
                  <w:r>
                    <w:rPr>
                      <w:rFonts w:hint="default"/>
                      <w:color w:val="000000" w:themeColor="text1"/>
                      <w:szCs w:val="21"/>
                      <w:lang w:val="en-US" w:eastAsia="zh-CN"/>
                      <w14:textFill>
                        <w14:solidFill>
                          <w14:schemeClr w14:val="tx1"/>
                        </w14:solidFill>
                      </w14:textFill>
                    </w:rPr>
                    <w:t>750</w:t>
                  </w:r>
                  <w:r>
                    <w:rPr>
                      <w:rFonts w:hint="eastAsia"/>
                      <w:color w:val="000000" w:themeColor="text1"/>
                      <w:szCs w:val="21"/>
                      <w:lang w:val="en-US" w:eastAsia="zh-CN"/>
                      <w14:textFill>
                        <w14:solidFill>
                          <w14:schemeClr w14:val="tx1"/>
                        </w14:solidFill>
                      </w14:textFill>
                    </w:rPr>
                    <w:t>千伏、</w:t>
                  </w:r>
                  <w:r>
                    <w:rPr>
                      <w:rFonts w:hint="default"/>
                      <w:color w:val="000000" w:themeColor="text1"/>
                      <w:szCs w:val="21"/>
                      <w:lang w:val="en-US" w:eastAsia="zh-CN"/>
                      <w14:textFill>
                        <w14:solidFill>
                          <w14:schemeClr w14:val="tx1"/>
                        </w14:solidFill>
                      </w14:textFill>
                    </w:rPr>
                    <w:t>1000</w:t>
                  </w:r>
                  <w:r>
                    <w:rPr>
                      <w:rFonts w:hint="eastAsia"/>
                      <w:color w:val="000000" w:themeColor="text1"/>
                      <w:szCs w:val="21"/>
                      <w:lang w:val="en-US" w:eastAsia="zh-CN"/>
                      <w14:textFill>
                        <w14:solidFill>
                          <w14:schemeClr w14:val="tx1"/>
                        </w14:solidFill>
                      </w14:textFill>
                    </w:rPr>
                    <w:t>千伏交流项目，由国务院投资主管部门核准，其中±</w:t>
                  </w:r>
                  <w:r>
                    <w:rPr>
                      <w:rFonts w:hint="default"/>
                      <w:color w:val="000000" w:themeColor="text1"/>
                      <w:szCs w:val="21"/>
                      <w:lang w:val="en-US" w:eastAsia="zh-CN"/>
                      <w14:textFill>
                        <w14:solidFill>
                          <w14:schemeClr w14:val="tx1"/>
                        </w14:solidFill>
                      </w14:textFill>
                    </w:rPr>
                    <w:t>800</w:t>
                  </w:r>
                  <w:r>
                    <w:rPr>
                      <w:rFonts w:hint="eastAsia"/>
                      <w:color w:val="000000" w:themeColor="text1"/>
                      <w:szCs w:val="21"/>
                      <w:lang w:val="en-US" w:eastAsia="zh-CN"/>
                      <w14:textFill>
                        <w14:solidFill>
                          <w14:schemeClr w14:val="tx1"/>
                        </w14:solidFill>
                      </w14:textFill>
                    </w:rPr>
                    <w:t>千伏及以上直流项目和</w:t>
                  </w:r>
                  <w:r>
                    <w:rPr>
                      <w:rFonts w:hint="default"/>
                      <w:color w:val="000000" w:themeColor="text1"/>
                      <w:szCs w:val="21"/>
                      <w:lang w:val="en-US" w:eastAsia="zh-CN"/>
                      <w14:textFill>
                        <w14:solidFill>
                          <w14:schemeClr w14:val="tx1"/>
                        </w14:solidFill>
                      </w14:textFill>
                    </w:rPr>
                    <w:t>1000</w:t>
                  </w:r>
                  <w:r>
                    <w:rPr>
                      <w:rFonts w:hint="eastAsia"/>
                      <w:color w:val="000000" w:themeColor="text1"/>
                      <w:szCs w:val="21"/>
                      <w:lang w:val="en-US" w:eastAsia="zh-CN"/>
                      <w14:textFill>
                        <w14:solidFill>
                          <w14:schemeClr w14:val="tx1"/>
                        </w14:solidFill>
                      </w14:textFill>
                    </w:rPr>
                    <w:t>千伏交流项目报国务院备案；不涉及跨境、跨省（区、市）输电的±</w:t>
                  </w:r>
                  <w:r>
                    <w:rPr>
                      <w:rFonts w:hint="default"/>
                      <w:color w:val="000000" w:themeColor="text1"/>
                      <w:szCs w:val="21"/>
                      <w:lang w:val="en-US" w:eastAsia="zh-CN"/>
                      <w14:textFill>
                        <w14:solidFill>
                          <w14:schemeClr w14:val="tx1"/>
                        </w14:solidFill>
                      </w14:textFill>
                    </w:rPr>
                    <w:t>500</w:t>
                  </w:r>
                  <w:r>
                    <w:rPr>
                      <w:rFonts w:hint="eastAsia"/>
                      <w:color w:val="000000" w:themeColor="text1"/>
                      <w:szCs w:val="21"/>
                      <w:lang w:val="en-US" w:eastAsia="zh-CN"/>
                      <w14:textFill>
                        <w14:solidFill>
                          <w14:schemeClr w14:val="tx1"/>
                        </w14:solidFill>
                      </w14:textFill>
                    </w:rPr>
                    <w:t>千伏及以上直流项目和</w:t>
                  </w:r>
                  <w:r>
                    <w:rPr>
                      <w:rFonts w:hint="default"/>
                      <w:color w:val="000000" w:themeColor="text1"/>
                      <w:szCs w:val="21"/>
                      <w:lang w:val="en-US" w:eastAsia="zh-CN"/>
                      <w14:textFill>
                        <w14:solidFill>
                          <w14:schemeClr w14:val="tx1"/>
                        </w14:solidFill>
                      </w14:textFill>
                    </w:rPr>
                    <w:t>500</w:t>
                  </w:r>
                  <w:r>
                    <w:rPr>
                      <w:rFonts w:hint="eastAsia"/>
                      <w:color w:val="000000" w:themeColor="text1"/>
                      <w:szCs w:val="21"/>
                      <w:lang w:val="en-US" w:eastAsia="zh-CN"/>
                      <w14:textFill>
                        <w14:solidFill>
                          <w14:schemeClr w14:val="tx1"/>
                        </w14:solidFill>
                      </w14:textFill>
                    </w:rPr>
                    <w:t>千伏、</w:t>
                  </w:r>
                  <w:r>
                    <w:rPr>
                      <w:rFonts w:hint="default"/>
                      <w:color w:val="000000" w:themeColor="text1"/>
                      <w:szCs w:val="21"/>
                      <w:lang w:val="en-US" w:eastAsia="zh-CN"/>
                      <w14:textFill>
                        <w14:solidFill>
                          <w14:schemeClr w14:val="tx1"/>
                        </w14:solidFill>
                      </w14:textFill>
                    </w:rPr>
                    <w:t>750</w:t>
                  </w:r>
                  <w:r>
                    <w:rPr>
                      <w:rFonts w:hint="eastAsia"/>
                      <w:color w:val="000000" w:themeColor="text1"/>
                      <w:szCs w:val="21"/>
                      <w:lang w:val="en-US" w:eastAsia="zh-CN"/>
                      <w14:textFill>
                        <w14:solidFill>
                          <w14:schemeClr w14:val="tx1"/>
                        </w14:solidFill>
                      </w14:textFill>
                    </w:rPr>
                    <w:t>千伏、</w:t>
                  </w:r>
                  <w:r>
                    <w:rPr>
                      <w:rFonts w:hint="default"/>
                      <w:color w:val="000000" w:themeColor="text1"/>
                      <w:szCs w:val="21"/>
                      <w:lang w:val="en-US" w:eastAsia="zh-CN"/>
                      <w14:textFill>
                        <w14:solidFill>
                          <w14:schemeClr w14:val="tx1"/>
                        </w14:solidFill>
                      </w14:textFill>
                    </w:rPr>
                    <w:t>1000</w:t>
                  </w:r>
                  <w:r>
                    <w:rPr>
                      <w:rFonts w:hint="eastAsia"/>
                      <w:color w:val="000000" w:themeColor="text1"/>
                      <w:szCs w:val="21"/>
                      <w:lang w:val="en-US" w:eastAsia="zh-CN"/>
                      <w14:textFill>
                        <w14:solidFill>
                          <w14:schemeClr w14:val="tx1"/>
                        </w14:solidFill>
                      </w14:textFill>
                    </w:rPr>
                    <w:t>千伏交流项目由省级政府按照国家制定的相关规划核准，其余项目由地方政府按照国家规定的相关规划核准</w:t>
                  </w:r>
                </w:p>
              </w:tc>
            </w:tr>
          </w:tbl>
          <w:p w14:paraId="23C90E48">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下面分别对上述三项禁止准入类事项进行分析判定。</w:t>
            </w:r>
          </w:p>
          <w:p w14:paraId="4B2FA058">
            <w:pPr>
              <w:pStyle w:val="17"/>
              <w:spacing w:line="480" w:lineRule="exact"/>
              <w:ind w:left="0"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1、禁止准入类</w:t>
            </w:r>
          </w:p>
          <w:p w14:paraId="52C45E9F">
            <w:pPr>
              <w:pStyle w:val="17"/>
              <w:spacing w:line="480" w:lineRule="exact"/>
              <w:ind w:left="0"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（1）法律</w:t>
            </w: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14:textFill>
                  <w14:solidFill>
                    <w14:schemeClr w14:val="tx1"/>
                  </w14:solidFill>
                </w14:textFill>
              </w:rPr>
              <w:t>法规、国务院决定等明确设立且与市场准入相关的禁止性规定的分析</w:t>
            </w:r>
          </w:p>
          <w:p w14:paraId="06068D7B">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根据《国民经济行业分类》（GB/T4754-2017），本项目行业类别为D4420电力供应，根据《市场准入负面清单（202</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年版）》中与市场准入相关的禁止性规定，电力供应未列入禁止性规定，因此项目不属于法律法规、国务院决定等明确设立且与市场准入相关的禁止性事项。</w:t>
            </w:r>
          </w:p>
          <w:p w14:paraId="2D2B4E8F">
            <w:pPr>
              <w:pStyle w:val="17"/>
              <w:spacing w:line="480" w:lineRule="exact"/>
              <w:ind w:left="0"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（2）国家产业政策明令淘汰和限制的产品、技术、工艺、设备及行为的分析</w:t>
            </w:r>
          </w:p>
          <w:p w14:paraId="76EDCF23">
            <w:pPr>
              <w:pStyle w:val="17"/>
              <w:spacing w:line="480" w:lineRule="exact"/>
              <w:ind w:left="0" w:firstLine="420" w:firstLineChars="20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为光伏发电项目配套送出线路工程，根据《产业结构调整指导目录（2024年本）》，本项目“第一类鼓励类”中的“电网改造及建设”的鼓励类项目。不属于《市场准入负面清单（2025年版）》禁止准入类中国家产业政策明令淘汰和限制的产品、技术、工艺、设备及行为。也不在《河北省禁止投资的产业目录（2014版）》和《河北省政府核准的投资项目目录（2017年本）》及工信部《限期淘汰产生严重污染环境的工业固体废物的落后生产工艺设备名录》（2022年1月1日实施）范围内。项目建设及运营过程，无该禁止性行为。</w:t>
            </w:r>
          </w:p>
          <w:p w14:paraId="72B346BF">
            <w:pPr>
              <w:pStyle w:val="17"/>
              <w:spacing w:line="480" w:lineRule="exact"/>
              <w:ind w:left="0"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（3）禁止不符合主体功能区建设要求的各类开发活动要求的分析</w:t>
            </w:r>
          </w:p>
          <w:p w14:paraId="7E05C6A0">
            <w:pPr>
              <w:pStyle w:val="17"/>
              <w:spacing w:line="480" w:lineRule="exact"/>
              <w:ind w:left="0" w:firstLine="420" w:firstLineChars="20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对照河北省主体功能区划，承德县属于规划中的省级重点开发区域。该区域产业发展方向充分发挥旅游、矿产资源优势，着力发展休闲旅游、钒钛制品、清洁能源、新材料、都市型农业等产业，严格控制新增钢铁产能，建设国际旅游城市和国家钒钛产业基地，项目建设有利于实现太阳能的利用，符合河北省主体功能区划要求。</w:t>
            </w:r>
          </w:p>
          <w:p w14:paraId="5B588699">
            <w:pPr>
              <w:pStyle w:val="17"/>
              <w:spacing w:line="480" w:lineRule="exact"/>
              <w:ind w:left="0" w:firstLine="422" w:firstLineChars="200"/>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2、许可准入类</w:t>
            </w:r>
          </w:p>
          <w:p w14:paraId="53EAEC62">
            <w:pPr>
              <w:pStyle w:val="17"/>
              <w:spacing w:line="480" w:lineRule="exact"/>
              <w:ind w:left="0"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建设的项目为电力供应行业（D4420）中的220kV输变电工程，已取得承德市行政审批局的核准（承审批核字〔2023〕65号），固定资产投资项目编号：2311-130800-89-01-138236，获得了许可准入。</w:t>
            </w:r>
          </w:p>
          <w:p w14:paraId="42B3F60B">
            <w:pPr>
              <w:pStyle w:val="17"/>
              <w:spacing w:line="480" w:lineRule="exact"/>
              <w:ind w:left="0" w:firstLine="422" w:firstLineChars="200"/>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3、</w:t>
            </w:r>
            <w:r>
              <w:rPr>
                <w:rFonts w:hint="eastAsia"/>
                <w:b/>
                <w:bCs/>
                <w:color w:val="000000" w:themeColor="text1"/>
                <w:szCs w:val="21"/>
                <w14:textFill>
                  <w14:solidFill>
                    <w14:schemeClr w14:val="tx1"/>
                  </w14:solidFill>
                </w14:textFill>
              </w:rPr>
              <w:t>总结</w:t>
            </w:r>
          </w:p>
          <w:p w14:paraId="2D7753E6">
            <w:pPr>
              <w:pStyle w:val="17"/>
              <w:spacing w:line="480" w:lineRule="exact"/>
              <w:ind w:left="0"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综上所述，</w:t>
            </w:r>
            <w:r>
              <w:rPr>
                <w:rFonts w:hint="eastAsia"/>
                <w:color w:val="000000" w:themeColor="text1"/>
                <w:szCs w:val="21"/>
                <w:lang w:val="en-US" w:eastAsia="zh-CN"/>
                <w14:textFill>
                  <w14:solidFill>
                    <w14:schemeClr w14:val="tx1"/>
                  </w14:solidFill>
                </w14:textFill>
              </w:rPr>
              <w:t>本项目属于《市场准入负面清单（2025年版）》中许可准入类项目，项目建设符合市场准入要求。</w:t>
            </w:r>
          </w:p>
          <w:p w14:paraId="51225717">
            <w:pPr>
              <w:autoSpaceDE w:val="0"/>
              <w:autoSpaceDN w:val="0"/>
              <w:adjustRightInd w:val="0"/>
              <w:snapToGrid w:val="0"/>
              <w:spacing w:line="480" w:lineRule="exact"/>
              <w:jc w:val="left"/>
              <w:rPr>
                <w:b/>
                <w:bCs/>
                <w:color w:val="000000" w:themeColor="text1"/>
                <w:kern w:val="0"/>
                <w:szCs w:val="21"/>
                <w14:textFill>
                  <w14:solidFill>
                    <w14:schemeClr w14:val="tx1"/>
                  </w14:solidFill>
                </w14:textFill>
              </w:rPr>
            </w:pPr>
            <w:r>
              <w:rPr>
                <w:rFonts w:hint="eastAsia" w:ascii="宋体" w:hAnsi="宋体"/>
                <w:b/>
                <w:bCs/>
                <w:color w:val="000000" w:themeColor="text1"/>
                <w:kern w:val="0"/>
                <w:szCs w:val="21"/>
                <w14:textFill>
                  <w14:solidFill>
                    <w14:schemeClr w14:val="tx1"/>
                  </w14:solidFill>
                </w14:textFill>
              </w:rPr>
              <w:t>二</w:t>
            </w:r>
            <w:r>
              <w:rPr>
                <w:rFonts w:ascii="宋体" w:hAnsi="宋体"/>
                <w:b/>
                <w:bCs/>
                <w:color w:val="000000" w:themeColor="text1"/>
                <w:kern w:val="0"/>
                <w:szCs w:val="21"/>
                <w14:textFill>
                  <w14:solidFill>
                    <w14:schemeClr w14:val="tx1"/>
                  </w14:solidFill>
                </w14:textFill>
              </w:rPr>
              <w:t>、</w:t>
            </w:r>
            <w:r>
              <w:rPr>
                <w:rFonts w:hint="eastAsia" w:ascii="宋体" w:hAnsi="宋体"/>
                <w:b/>
                <w:bCs/>
                <w:color w:val="000000" w:themeColor="text1"/>
                <w:kern w:val="0"/>
                <w:szCs w:val="21"/>
                <w14:textFill>
                  <w14:solidFill>
                    <w14:schemeClr w14:val="tx1"/>
                  </w14:solidFill>
                </w14:textFill>
              </w:rPr>
              <w:t>“</w:t>
            </w:r>
            <w:r>
              <w:rPr>
                <w:rFonts w:ascii="宋体" w:hAnsi="宋体"/>
                <w:b/>
                <w:bCs/>
                <w:color w:val="000000" w:themeColor="text1"/>
                <w:kern w:val="0"/>
                <w:szCs w:val="21"/>
                <w14:textFill>
                  <w14:solidFill>
                    <w14:schemeClr w14:val="tx1"/>
                  </w14:solidFill>
                </w14:textFill>
              </w:rPr>
              <w:t>三线一单</w:t>
            </w:r>
            <w:r>
              <w:rPr>
                <w:rFonts w:hint="eastAsia" w:ascii="宋体" w:hAnsi="宋体"/>
                <w:b/>
                <w:bCs/>
                <w:color w:val="000000" w:themeColor="text1"/>
                <w:kern w:val="0"/>
                <w:szCs w:val="21"/>
                <w14:textFill>
                  <w14:solidFill>
                    <w14:schemeClr w14:val="tx1"/>
                  </w14:solidFill>
                </w14:textFill>
              </w:rPr>
              <w:t>”</w:t>
            </w:r>
            <w:r>
              <w:rPr>
                <w:rFonts w:ascii="宋体" w:hAnsi="宋体"/>
                <w:b/>
                <w:bCs/>
                <w:color w:val="000000" w:themeColor="text1"/>
                <w:kern w:val="0"/>
                <w:szCs w:val="21"/>
                <w14:textFill>
                  <w14:solidFill>
                    <w14:schemeClr w14:val="tx1"/>
                  </w14:solidFill>
                </w14:textFill>
              </w:rPr>
              <w:t>符合性</w:t>
            </w:r>
            <w:r>
              <w:rPr>
                <w:rFonts w:hint="eastAsia" w:ascii="宋体" w:hAnsi="宋体"/>
                <w:b/>
                <w:bCs/>
                <w:color w:val="000000" w:themeColor="text1"/>
                <w:kern w:val="0"/>
                <w:szCs w:val="21"/>
                <w14:textFill>
                  <w14:solidFill>
                    <w14:schemeClr w14:val="tx1"/>
                  </w14:solidFill>
                </w14:textFill>
              </w:rPr>
              <w:t>分析</w:t>
            </w:r>
          </w:p>
          <w:p w14:paraId="0F879C58">
            <w:pPr>
              <w:autoSpaceDE w:val="0"/>
              <w:autoSpaceDN w:val="0"/>
              <w:adjustRightInd w:val="0"/>
              <w:snapToGrid w:val="0"/>
              <w:spacing w:line="480" w:lineRule="exact"/>
              <w:jc w:val="left"/>
              <w:rPr>
                <w:rFonts w:ascii="宋体" w:hAnsi="宋体"/>
                <w:b/>
                <w:bCs/>
                <w:color w:val="000000" w:themeColor="text1"/>
                <w:kern w:val="0"/>
                <w:szCs w:val="21"/>
                <w14:textFill>
                  <w14:solidFill>
                    <w14:schemeClr w14:val="tx1"/>
                  </w14:solidFill>
                </w14:textFill>
              </w:rPr>
            </w:pPr>
            <w:r>
              <w:rPr>
                <w:rFonts w:hint="eastAsia" w:ascii="宋体" w:hAnsi="宋体"/>
                <w:b/>
                <w:bCs/>
                <w:color w:val="000000" w:themeColor="text1"/>
                <w:kern w:val="0"/>
                <w:szCs w:val="21"/>
                <w14:textFill>
                  <w14:solidFill>
                    <w14:schemeClr w14:val="tx1"/>
                  </w14:solidFill>
                </w14:textFill>
              </w:rPr>
              <w:t>1.“三线一单”符合性分析</w:t>
            </w:r>
          </w:p>
          <w:p w14:paraId="7ACC3DCF">
            <w:pPr>
              <w:pStyle w:val="53"/>
              <w:autoSpaceDE w:val="0"/>
              <w:snapToGrid w:val="0"/>
              <w:spacing w:line="480" w:lineRule="exact"/>
              <w:ind w:firstLine="480"/>
              <w:rPr>
                <w:rFonts w:ascii="Times New Roman" w:hAnsi="Times New Roman"/>
                <w:color w:val="000000" w:themeColor="text1"/>
                <w:kern w:val="0"/>
                <w:sz w:val="21"/>
                <w:szCs w:val="21"/>
                <w14:textFill>
                  <w14:solidFill>
                    <w14:schemeClr w14:val="tx1"/>
                  </w14:solidFill>
                </w14:textFill>
              </w:rPr>
            </w:pPr>
            <w:r>
              <w:rPr>
                <w:rFonts w:ascii="宋体" w:hAnsi="宋体"/>
                <w:color w:val="000000" w:themeColor="text1"/>
                <w:sz w:val="21"/>
                <w:szCs w:val="21"/>
                <w14:textFill>
                  <w14:solidFill>
                    <w14:schemeClr w14:val="tx1"/>
                  </w14:solidFill>
                </w14:textFill>
              </w:rPr>
              <w:t>根据《关于以改善环境质量为核心加强环境影响评价管理的通知》（环评</w:t>
            </w:r>
            <w:r>
              <w:rPr>
                <w:rFonts w:hint="eastAsia" w:ascii="宋体" w:hAnsi="宋体"/>
                <w:color w:val="000000" w:themeColor="text1"/>
                <w:sz w:val="21"/>
                <w:szCs w:val="21"/>
                <w:lang w:eastAsia="zh-CN"/>
                <w14:textFill>
                  <w14:solidFill>
                    <w14:schemeClr w14:val="tx1"/>
                  </w14:solidFill>
                </w14:textFill>
              </w:rPr>
              <w:t>〔2016〕150号</w:t>
            </w:r>
            <w:r>
              <w:rPr>
                <w:rFonts w:ascii="宋体" w:hAnsi="宋体"/>
                <w:color w:val="000000" w:themeColor="text1"/>
                <w:sz w:val="21"/>
                <w:szCs w:val="21"/>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对“三线一单”的</w:t>
            </w:r>
            <w:r>
              <w:rPr>
                <w:rFonts w:ascii="宋体" w:hAnsi="宋体"/>
                <w:color w:val="000000" w:themeColor="text1"/>
                <w:sz w:val="21"/>
                <w:szCs w:val="21"/>
                <w14:textFill>
                  <w14:solidFill>
                    <w14:schemeClr w14:val="tx1"/>
                  </w14:solidFill>
                </w14:textFill>
              </w:rPr>
              <w:t>要求，进行项</w:t>
            </w:r>
            <w:r>
              <w:rPr>
                <w:rFonts w:hint="eastAsia" w:ascii="宋体" w:hAnsi="宋体" w:cs="宋体"/>
                <w:color w:val="000000" w:themeColor="text1"/>
                <w:sz w:val="21"/>
                <w:szCs w:val="21"/>
                <w14:textFill>
                  <w14:solidFill>
                    <w14:schemeClr w14:val="tx1"/>
                  </w14:solidFill>
                </w14:textFill>
              </w:rPr>
              <w:t>目“三线一单”</w:t>
            </w:r>
            <w:r>
              <w:rPr>
                <w:rFonts w:ascii="宋体" w:hAnsi="宋体"/>
                <w:color w:val="000000" w:themeColor="text1"/>
                <w:sz w:val="21"/>
                <w:szCs w:val="21"/>
                <w14:textFill>
                  <w14:solidFill>
                    <w14:schemeClr w14:val="tx1"/>
                  </w14:solidFill>
                </w14:textFill>
              </w:rPr>
              <w:t>符合性分析，判定内容如下：</w:t>
            </w:r>
          </w:p>
          <w:p w14:paraId="129F17A6">
            <w:pPr>
              <w:autoSpaceDE w:val="0"/>
              <w:autoSpaceDN w:val="0"/>
              <w:adjustRightInd w:val="0"/>
              <w:snapToGrid w:val="0"/>
              <w:spacing w:line="480" w:lineRule="exact"/>
              <w:ind w:firstLine="422" w:firstLineChars="200"/>
              <w:jc w:val="left"/>
              <w:rPr>
                <w:rFonts w:ascii="宋体" w:hAnsi="宋体"/>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（1）生态保护红线符合性分析</w:t>
            </w:r>
          </w:p>
          <w:p w14:paraId="36E29B9F">
            <w:pPr>
              <w:autoSpaceDE w:val="0"/>
              <w:autoSpaceDN w:val="0"/>
              <w:adjustRightInd w:val="0"/>
              <w:snapToGrid w:val="0"/>
              <w:spacing w:line="480" w:lineRule="exact"/>
              <w:ind w:firstLine="420" w:firstLineChars="200"/>
              <w:jc w:val="left"/>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为《京能国际承德县200MW光伏项目》（承县环评审[20230]11号）的送出线路工程，根据企业所提供的承德县自然资源和规划局出具的《关于京能国际承德县200MW光伏项目220千伏送出线路路径用地的回函》指出“本项目用地范围内不涉及生态保护红线”。</w:t>
            </w:r>
          </w:p>
          <w:p w14:paraId="0F30690F">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根据《河北省生态保护红线》，线路的两端有部分面积跨越生态保护红线、公路、林地等，在尽可能避开这些目标的前提下，无法全部避让</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燕山水源涵养-生物多样性保护生态保护红线</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及部分林地，工程必须跨越生态保护红线和林地才能完成建设。</w:t>
            </w:r>
            <w:r>
              <w:rPr>
                <w:rFonts w:hint="eastAsia"/>
                <w:color w:val="000000" w:themeColor="text1"/>
                <w:kern w:val="0"/>
                <w:szCs w:val="21"/>
                <w14:textFill>
                  <w14:solidFill>
                    <w14:schemeClr w14:val="tx1"/>
                  </w14:solidFill>
                </w14:textFill>
              </w:rPr>
              <w:t>工程建设与运营对生态红线区采取了保护、减缓和补偿措施后，对生态红线区基本不产生影响或影响甚微，输电线路跨越的生态红线区域主要生态要素不变。线路跨越红线情况详见下图所示：</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5"/>
            </w:tblGrid>
            <w:tr w14:paraId="4DCB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5000" w:type="pct"/>
                  <w:vAlign w:val="center"/>
                </w:tcPr>
                <w:p w14:paraId="4BE2D49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552450</wp:posOffset>
                            </wp:positionH>
                            <wp:positionV relativeFrom="paragraph">
                              <wp:posOffset>939165</wp:posOffset>
                            </wp:positionV>
                            <wp:extent cx="990600" cy="314325"/>
                            <wp:effectExtent l="12700" t="12700" r="254000" b="377825"/>
                            <wp:wrapNone/>
                            <wp:docPr id="43" name="矩形标注 43"/>
                            <wp:cNvGraphicFramePr/>
                            <a:graphic xmlns:a="http://schemas.openxmlformats.org/drawingml/2006/main">
                              <a:graphicData uri="http://schemas.microsoft.com/office/word/2010/wordprocessingShape">
                                <wps:wsp>
                                  <wps:cNvSpPr/>
                                  <wps:spPr>
                                    <a:xfrm>
                                      <a:off x="3309620" y="6782435"/>
                                      <a:ext cx="990600" cy="314325"/>
                                    </a:xfrm>
                                    <a:prstGeom prst="wedgeRectCallout">
                                      <a:avLst>
                                        <a:gd name="adj1" fmla="val 73397"/>
                                        <a:gd name="adj2" fmla="val 162525"/>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48958263">
                                        <w:pPr>
                                          <w:jc w:val="center"/>
                                        </w:pPr>
                                        <w:r>
                                          <w:rPr>
                                            <w:rFonts w:hint="eastAsia"/>
                                            <w:lang w:val="en-US" w:eastAsia="zh-CN"/>
                                          </w:rPr>
                                          <w:t>40</w:t>
                                        </w:r>
                                        <w:r>
                                          <w:rPr>
                                            <w:rFonts w:hint="eastAsia"/>
                                          </w:rPr>
                                          <w:t>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3.5pt;margin-top:73.95pt;height:24.75pt;width:78pt;z-index:251660288;v-text-anchor:middle;mso-width-relative:page;mso-height-relative:page;" fillcolor="#4F81BD [3204]" filled="t" stroked="t" coordsize="21600,21600" o:gfxdata="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OeLixtoAAAAKAQAA&#10;DwAAAAAAAAABACAAAAAiAAAAZHJzL2Rvd25yZXYueG1sUEsBAhQAFAAAAAgAh07iQMRfKcPCAgAA&#10;ewUAAA4AAAAAAAAAAQAgAAAAKQEAAGRycy9lMm9Eb2MueG1sUEsFBgAAAAAGAAYAWQEAAF0GAAAA&#10;AA==&#10;" adj="26654,45905">
                            <v:fill on="t" focussize="0,0"/>
                            <v:stroke weight="2pt" color="#376092 [2404]" joinstyle="round"/>
                            <v:imagedata o:title=""/>
                            <o:lock v:ext="edit" aspectratio="f"/>
                            <v:textbox>
                              <w:txbxContent>
                                <w:p w14:paraId="48958263">
                                  <w:pPr>
                                    <w:jc w:val="center"/>
                                  </w:pPr>
                                  <w:r>
                                    <w:rPr>
                                      <w:rFonts w:hint="eastAsia"/>
                                      <w:lang w:val="en-US" w:eastAsia="zh-CN"/>
                                    </w:rPr>
                                    <w:t>40</w:t>
                                  </w:r>
                                  <w:r>
                                    <w:rPr>
                                      <w:rFonts w:hint="eastAsia"/>
                                    </w:rPr>
                                    <w:t>m</w:t>
                                  </w:r>
                                </w:p>
                              </w:txbxContent>
                            </v:textbox>
                          </v:shape>
                        </w:pict>
                      </mc:Fallback>
                    </mc:AlternateContent>
                  </w:r>
                  <w:r>
                    <w:drawing>
                      <wp:inline distT="0" distB="0" distL="114300" distR="114300">
                        <wp:extent cx="5641340" cy="3552825"/>
                        <wp:effectExtent l="0" t="0" r="1651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9"/>
                                <a:stretch>
                                  <a:fillRect/>
                                </a:stretch>
                              </pic:blipFill>
                              <pic:spPr>
                                <a:xfrm>
                                  <a:off x="0" y="0"/>
                                  <a:ext cx="5641340" cy="3552825"/>
                                </a:xfrm>
                                <a:prstGeom prst="rect">
                                  <a:avLst/>
                                </a:prstGeom>
                                <a:noFill/>
                                <a:ln>
                                  <a:noFill/>
                                </a:ln>
                              </pic:spPr>
                            </pic:pic>
                          </a:graphicData>
                        </a:graphic>
                      </wp:inline>
                    </w:drawing>
                  </w:r>
                </w:p>
              </w:tc>
            </w:tr>
            <w:tr w14:paraId="08DA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14:paraId="19DA314E">
                  <w:pPr>
                    <w:pStyle w:val="5"/>
                    <w:spacing w:line="480" w:lineRule="exact"/>
                    <w:ind w:firstLine="0" w:firstLineChars="0"/>
                    <w:jc w:val="center"/>
                    <w:rPr>
                      <w:color w:val="000000" w:themeColor="text1"/>
                      <w:szCs w:val="21"/>
                      <w14:textFill>
                        <w14:solidFill>
                          <w14:schemeClr w14:val="tx1"/>
                        </w14:solidFill>
                      </w14:textFill>
                    </w:rPr>
                  </w:pPr>
                  <w:r>
                    <w:rPr>
                      <w:rFonts w:hint="eastAsia"/>
                      <w:b/>
                      <w:bCs/>
                      <w:color w:val="000000" w:themeColor="text1"/>
                      <w:sz w:val="21"/>
                      <w:szCs w:val="21"/>
                      <w14:textFill>
                        <w14:solidFill>
                          <w14:schemeClr w14:val="tx1"/>
                        </w14:solidFill>
                      </w14:textFill>
                    </w:rPr>
                    <w:t>图1-1 架空线路跨越红线情况</w:t>
                  </w:r>
                </w:p>
              </w:tc>
            </w:tr>
            <w:tr w14:paraId="1736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14:paraId="5FE38C8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2333625</wp:posOffset>
                            </wp:positionH>
                            <wp:positionV relativeFrom="paragraph">
                              <wp:posOffset>158115</wp:posOffset>
                            </wp:positionV>
                            <wp:extent cx="990600" cy="314325"/>
                            <wp:effectExtent l="95250" t="12700" r="19050" b="549275"/>
                            <wp:wrapNone/>
                            <wp:docPr id="44" name="矩形标注 44"/>
                            <wp:cNvGraphicFramePr/>
                            <a:graphic xmlns:a="http://schemas.openxmlformats.org/drawingml/2006/main">
                              <a:graphicData uri="http://schemas.microsoft.com/office/word/2010/wordprocessingShape">
                                <wps:wsp>
                                  <wps:cNvSpPr/>
                                  <wps:spPr>
                                    <a:xfrm>
                                      <a:off x="0" y="0"/>
                                      <a:ext cx="990600" cy="314325"/>
                                    </a:xfrm>
                                    <a:prstGeom prst="wedgeRectCallout">
                                      <a:avLst>
                                        <a:gd name="adj1" fmla="val -58333"/>
                                        <a:gd name="adj2" fmla="val 220101"/>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3AB65F5F">
                                        <w:pPr>
                                          <w:jc w:val="center"/>
                                        </w:pPr>
                                        <w:r>
                                          <w:rPr>
                                            <w:rFonts w:hint="eastAsia"/>
                                            <w:lang w:val="en-US" w:eastAsia="zh-CN"/>
                                          </w:rPr>
                                          <w:t>340</w:t>
                                        </w:r>
                                        <w:r>
                                          <w:rPr>
                                            <w:rFonts w:hint="eastAsia"/>
                                          </w:rPr>
                                          <w:t>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3.75pt;margin-top:12.45pt;height:24.75pt;width:78pt;z-index:251661312;v-text-anchor:middle;mso-width-relative:page;mso-height-relative:page;" fillcolor="#4F81BD [3204]" filled="t" stroked="t" coordsize="21600,21600" o:gfxdata="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DLajHaAAAACQEAAA8AAAAAAAAAAQAg&#10;AAAAIgAAAGRycy9kb3ducmV2LnhtbFBLAQIUABQAAAAIAIdO4kBXIwfxtwIAAHAFAAAOAAAAAAAA&#10;AAEAIAAAACkBAABkcnMvZTJvRG9jLnhtbFBLBQYAAAAABgAGAFkBAABSBgAAAAA=&#10;" adj="-1800,58342">
                            <v:fill on="t" focussize="0,0"/>
                            <v:stroke weight="2pt" color="#376092 [2404]" joinstyle="round"/>
                            <v:imagedata o:title=""/>
                            <o:lock v:ext="edit" aspectratio="f"/>
                            <v:textbox>
                              <w:txbxContent>
                                <w:p w14:paraId="3AB65F5F">
                                  <w:pPr>
                                    <w:jc w:val="center"/>
                                  </w:pPr>
                                  <w:r>
                                    <w:rPr>
                                      <w:rFonts w:hint="eastAsia"/>
                                      <w:lang w:val="en-US" w:eastAsia="zh-CN"/>
                                    </w:rPr>
                                    <w:t>340</w:t>
                                  </w:r>
                                  <w:r>
                                    <w:rPr>
                                      <w:rFonts w:hint="eastAsia"/>
                                    </w:rPr>
                                    <w:t>m</w:t>
                                  </w:r>
                                </w:p>
                              </w:txbxContent>
                            </v:textbox>
                          </v:shape>
                        </w:pict>
                      </mc:Fallback>
                    </mc:AlternateContent>
                  </w:r>
                  <w:r>
                    <w:drawing>
                      <wp:inline distT="0" distB="0" distL="114300" distR="114300">
                        <wp:extent cx="5006975" cy="3553460"/>
                        <wp:effectExtent l="0" t="0" r="3175" b="889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0"/>
                                <a:stretch>
                                  <a:fillRect/>
                                </a:stretch>
                              </pic:blipFill>
                              <pic:spPr>
                                <a:xfrm>
                                  <a:off x="0" y="0"/>
                                  <a:ext cx="5006975" cy="3553460"/>
                                </a:xfrm>
                                <a:prstGeom prst="rect">
                                  <a:avLst/>
                                </a:prstGeom>
                                <a:noFill/>
                                <a:ln>
                                  <a:noFill/>
                                </a:ln>
                              </pic:spPr>
                            </pic:pic>
                          </a:graphicData>
                        </a:graphic>
                      </wp:inline>
                    </w:drawing>
                  </w:r>
                </w:p>
              </w:tc>
            </w:tr>
            <w:tr w14:paraId="5974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14:paraId="63483813">
                  <w:pPr>
                    <w:pStyle w:val="5"/>
                    <w:spacing w:line="480" w:lineRule="exact"/>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图1-2 架空线路跨越红线情况</w:t>
                  </w:r>
                </w:p>
              </w:tc>
            </w:tr>
          </w:tbl>
          <w:p w14:paraId="38A83242">
            <w:pPr>
              <w:tabs>
                <w:tab w:val="left" w:pos="653"/>
              </w:tabs>
              <w:adjustRightInd w:val="0"/>
              <w:snapToGrid w:val="0"/>
              <w:spacing w:line="480" w:lineRule="exact"/>
              <w:ind w:firstLine="420" w:firstLineChars="200"/>
              <w:jc w:val="left"/>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根据《关于以改善环境质量为核心加强环境影响评价管理的通知》</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环环评</w:t>
            </w:r>
            <w:r>
              <w:rPr>
                <w:rFonts w:hint="eastAsia"/>
                <w:color w:val="000000" w:themeColor="text1"/>
                <w:szCs w:val="21"/>
                <w:lang w:eastAsia="zh-CN"/>
                <w14:textFill>
                  <w14:solidFill>
                    <w14:schemeClr w14:val="tx1"/>
                  </w14:solidFill>
                </w14:textFill>
              </w:rPr>
              <w:t>〔2016〕150号</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，本项目的建设属于</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除受自然条件限制、确实无法避让的铁路、公路、航道、防洪、管道、干渠、通讯、输变电等重要基础设施项目外，在生态保护红线范围内，严控各类开发建设活动，依法不予审批新建工业项目和矿产开发项目的环评文件。</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可以审批情况；并且，自然资源部、生态环境部、国家林业和草原局于2022年08月16日发布了《关于加强生态保护红线管理的通知（试行）》（自然资发〔2022〕142号），该通知</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一、加强人为活动管控</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中</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对允许对生态功能不造成破坏的有限人为活动进行了列举限定，根据本表</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四</w:t>
            </w:r>
            <w:r>
              <w:rPr>
                <w:color w:val="000000" w:themeColor="text1"/>
                <w:szCs w:val="21"/>
                <w14:textFill>
                  <w14:solidFill>
                    <w14:schemeClr w14:val="tx1"/>
                  </w14:solidFill>
                </w14:textFill>
              </w:rPr>
              <w:t>、国土空间规划符合性分析</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，本工程可以认定为县级以上国土空间规划的输变电基础设施建设，属于</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6.必须且无法避让、符合县级以上国土空间规划的线性基础设施、通讯和防洪、供水设施建设和船舶航行、航道疏浚清淤等活动；已有的合法水利、交通运输等设施运行维护改造。</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工程建设内容，是</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允许对生态功能不造成破坏的有限人为活动</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一种工程建设活动。</w:t>
            </w:r>
          </w:p>
          <w:p w14:paraId="5DE5669A">
            <w:pPr>
              <w:autoSpaceDE w:val="0"/>
              <w:autoSpaceDN w:val="0"/>
              <w:adjustRightInd w:val="0"/>
              <w:snapToGrid w:val="0"/>
              <w:spacing w:line="480" w:lineRule="exact"/>
              <w:ind w:firstLine="422" w:firstLineChars="200"/>
              <w:jc w:val="left"/>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（2）环境质量底线符合性分析</w:t>
            </w:r>
          </w:p>
          <w:p w14:paraId="2B0611B9">
            <w:pPr>
              <w:tabs>
                <w:tab w:val="left" w:pos="653"/>
              </w:tabs>
              <w:adjustRightInd w:val="0"/>
              <w:snapToGrid w:val="0"/>
              <w:spacing w:line="480" w:lineRule="exact"/>
              <w:ind w:firstLine="422" w:firstLineChars="200"/>
              <w:jc w:val="left"/>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①环境空气</w:t>
            </w:r>
          </w:p>
          <w:p w14:paraId="322EDE3A">
            <w:pPr>
              <w:tabs>
                <w:tab w:val="left" w:pos="653"/>
              </w:tabs>
              <w:adjustRightInd w:val="0"/>
              <w:snapToGrid w:val="0"/>
              <w:spacing w:line="480" w:lineRule="exact"/>
              <w:ind w:firstLine="420" w:firstLineChars="200"/>
              <w:jc w:val="left"/>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根据承德市生态环境保护委员会办公室2025年1月21日发布</w:t>
            </w:r>
            <w:r>
              <w:rPr>
                <w:rFonts w:hint="eastAsia"/>
                <w:color w:val="000000" w:themeColor="text1"/>
                <w:sz w:val="21"/>
                <w:lang w:val="en-US" w:eastAsia="zh-CN"/>
                <w14:textFill>
                  <w14:solidFill>
                    <w14:schemeClr w14:val="tx1"/>
                  </w14:solidFill>
                </w14:textFill>
              </w:rPr>
              <w:t>的《</w:t>
            </w:r>
            <w:r>
              <w:rPr>
                <w:rFonts w:hint="eastAsia"/>
                <w:color w:val="000000" w:themeColor="text1"/>
                <w:lang w:val="en-US" w:eastAsia="zh-CN"/>
                <w14:textFill>
                  <w14:solidFill>
                    <w14:schemeClr w14:val="tx1"/>
                  </w14:solidFill>
                </w14:textFill>
              </w:rPr>
              <w:t>关于2024年12月份全市空气质量预警监测结果的通报》（承生态环委办〔2025〕5号），承德县2024年1月至12月环境空气质量监测统计数据，承德县PM</w:t>
            </w:r>
            <w:r>
              <w:rPr>
                <w:rFonts w:hint="eastAsia"/>
                <w:color w:val="000000" w:themeColor="text1"/>
                <w:vertAlign w:val="subscript"/>
                <w:lang w:val="en-US" w:eastAsia="zh-CN"/>
                <w14:textFill>
                  <w14:solidFill>
                    <w14:schemeClr w14:val="tx1"/>
                  </w14:solidFill>
                </w14:textFill>
              </w:rPr>
              <w:t>10</w:t>
            </w:r>
            <w:r>
              <w:rPr>
                <w:rFonts w:hint="eastAsia"/>
                <w:color w:val="000000" w:themeColor="text1"/>
                <w:lang w:val="en-US" w:eastAsia="zh-CN"/>
                <w14:textFill>
                  <w14:solidFill>
                    <w14:schemeClr w14:val="tx1"/>
                  </w14:solidFill>
                </w14:textFill>
              </w:rPr>
              <w:t>、PM</w:t>
            </w:r>
            <w:r>
              <w:rPr>
                <w:rFonts w:hint="eastAsia"/>
                <w:color w:val="000000" w:themeColor="text1"/>
                <w:vertAlign w:val="subscript"/>
                <w:lang w:val="en-US" w:eastAsia="zh-CN"/>
                <w14:textFill>
                  <w14:solidFill>
                    <w14:schemeClr w14:val="tx1"/>
                  </w14:solidFill>
                </w14:textFill>
              </w:rPr>
              <w:t>2.5</w:t>
            </w: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、NO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年平均质量浓度，O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最大8小时第90百分位数平均质量浓度和CO24小时第95百分位数日平均质量浓度均满足《环境空气质量标准》（GB3095-2012）及2018年修改单中的二级标准，项目所在区域为达标区。</w:t>
            </w:r>
          </w:p>
          <w:p w14:paraId="7BBA8ED7">
            <w:pPr>
              <w:tabs>
                <w:tab w:val="left" w:pos="653"/>
              </w:tabs>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工程运行期不排放废气。</w:t>
            </w:r>
            <w:r>
              <w:rPr>
                <w:rFonts w:hint="eastAsia"/>
                <w:color w:val="000000" w:themeColor="text1"/>
                <w:szCs w:val="21"/>
                <w:lang w:val="en-US" w:eastAsia="zh-CN"/>
                <w14:textFill>
                  <w14:solidFill>
                    <w14:schemeClr w14:val="tx1"/>
                  </w14:solidFill>
                </w14:textFill>
              </w:rPr>
              <w:t>施工期</w:t>
            </w:r>
            <w:r>
              <w:rPr>
                <w:rFonts w:hint="eastAsia"/>
                <w:color w:val="000000" w:themeColor="text1"/>
                <w:szCs w:val="21"/>
                <w14:textFill>
                  <w14:solidFill>
                    <w14:schemeClr w14:val="tx1"/>
                  </w14:solidFill>
                </w14:textFill>
              </w:rPr>
              <w:t>对环境空气质量影响甚微，不影响区域现有环境空气质量底线。</w:t>
            </w:r>
          </w:p>
          <w:p w14:paraId="77F1FDF3">
            <w:pPr>
              <w:tabs>
                <w:tab w:val="left" w:pos="653"/>
              </w:tabs>
              <w:adjustRightInd w:val="0"/>
              <w:snapToGrid w:val="0"/>
              <w:spacing w:line="480" w:lineRule="exact"/>
              <w:ind w:firstLine="422" w:firstLineChars="20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②地表水</w:t>
            </w:r>
          </w:p>
          <w:p w14:paraId="19557D7C">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本项目选址区域主要滦河，根据《</w:t>
            </w:r>
            <w:r>
              <w:rPr>
                <w:rFonts w:hint="default"/>
                <w:color w:val="000000" w:themeColor="text1"/>
                <w:szCs w:val="21"/>
                <w:lang w:val="en-US" w:eastAsia="zh-CN"/>
                <w14:textFill>
                  <w14:solidFill>
                    <w14:schemeClr w14:val="tx1"/>
                  </w14:solidFill>
                </w14:textFill>
              </w:rPr>
              <w:t>2023</w:t>
            </w:r>
            <w:r>
              <w:rPr>
                <w:rFonts w:hint="eastAsia"/>
                <w:color w:val="000000" w:themeColor="text1"/>
                <w:szCs w:val="21"/>
                <w:lang w:val="en-US" w:eastAsia="zh-CN"/>
                <w14:textFill>
                  <w14:solidFill>
                    <w14:schemeClr w14:val="tx1"/>
                  </w14:solidFill>
                </w14:textFill>
              </w:rPr>
              <w:t>年承德市生态环境状况公报》可知，</w:t>
            </w:r>
            <w:r>
              <w:rPr>
                <w:rFonts w:hint="default"/>
                <w:color w:val="000000" w:themeColor="text1"/>
                <w:szCs w:val="21"/>
                <w:lang w:val="en-US" w:eastAsia="zh-CN"/>
                <w14:textFill>
                  <w14:solidFill>
                    <w14:schemeClr w14:val="tx1"/>
                  </w14:solidFill>
                </w14:textFill>
              </w:rPr>
              <w:t>2023</w:t>
            </w:r>
            <w:r>
              <w:rPr>
                <w:rFonts w:hint="eastAsia"/>
                <w:color w:val="000000" w:themeColor="text1"/>
                <w:szCs w:val="21"/>
                <w:lang w:val="en-US" w:eastAsia="zh-CN"/>
                <w14:textFill>
                  <w14:solidFill>
                    <w14:schemeClr w14:val="tx1"/>
                  </w14:solidFill>
                </w14:textFill>
              </w:rPr>
              <w:t>年总体水质状况为优。本项目为输电线路工程，运营期无污水外排，不会突破项目区域地表水环境质量底线。</w:t>
            </w:r>
          </w:p>
          <w:p w14:paraId="26E808BE">
            <w:pPr>
              <w:spacing w:line="480" w:lineRule="exact"/>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③电磁环境</w:t>
            </w:r>
          </w:p>
          <w:p w14:paraId="0463C108">
            <w:pPr>
              <w:pStyle w:val="5"/>
              <w:spacing w:line="48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根据本项目环境监测报告，工程所在区域工频电场强度在</w:t>
            </w:r>
            <w:r>
              <w:rPr>
                <w:rFonts w:hint="eastAsia"/>
                <w:color w:val="000000" w:themeColor="text1"/>
                <w:sz w:val="21"/>
                <w:szCs w:val="21"/>
                <w:lang w:val="en-US" w:eastAsia="zh-CN"/>
                <w14:textFill>
                  <w14:solidFill>
                    <w14:schemeClr w14:val="tx1"/>
                  </w14:solidFill>
                </w14:textFill>
              </w:rPr>
              <w:t>14.5</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438</w:t>
            </w:r>
            <w:r>
              <w:rPr>
                <w:rFonts w:hint="eastAsia"/>
                <w:color w:val="000000" w:themeColor="text1"/>
                <w:sz w:val="21"/>
                <w:szCs w:val="21"/>
                <w14:textFill>
                  <w14:solidFill>
                    <w14:schemeClr w14:val="tx1"/>
                  </w14:solidFill>
                </w14:textFill>
              </w:rPr>
              <w:t>V/m，工频磁感应强度为0.01</w:t>
            </w:r>
            <w:r>
              <w:rPr>
                <w:rFonts w:hint="eastAsia"/>
                <w:color w:val="000000" w:themeColor="text1"/>
                <w:sz w:val="21"/>
                <w:szCs w:val="21"/>
                <w:lang w:val="en-US" w:eastAsia="zh-CN"/>
                <w14:textFill>
                  <w14:solidFill>
                    <w14:schemeClr w14:val="tx1"/>
                  </w14:solidFill>
                </w14:textFill>
              </w:rPr>
              <w:t>4</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0.051</w:t>
            </w:r>
            <w:r>
              <w:rPr>
                <w:rFonts w:hint="eastAsia"/>
                <w:color w:val="000000" w:themeColor="text1"/>
                <w:sz w:val="21"/>
                <w:szCs w:val="21"/>
                <w14:textFill>
                  <w14:solidFill>
                    <w14:schemeClr w14:val="tx1"/>
                  </w14:solidFill>
                </w14:textFill>
              </w:rPr>
              <w:t>μT</w:t>
            </w:r>
            <w:r>
              <w:rPr>
                <w:rFonts w:hint="eastAsia" w:hAnsi="Times New Roman"/>
                <w:color w:val="000000" w:themeColor="text1"/>
                <w:sz w:val="21"/>
                <w:szCs w:val="21"/>
                <w14:textFill>
                  <w14:solidFill>
                    <w14:schemeClr w14:val="tx1"/>
                  </w14:solidFill>
                </w14:textFill>
              </w:rPr>
              <w:t>，其监测值均满足《电磁环境控制限值》（GB 8702-2014）中电场强度4kV/m、磁感应强度100µT的限值要求。</w:t>
            </w:r>
          </w:p>
          <w:p w14:paraId="6263249C">
            <w:pPr>
              <w:spacing w:line="480" w:lineRule="exact"/>
              <w:ind w:firstLine="420" w:firstLineChars="20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项目为输电线路工程，无土壤污染源，不涉及突破土壤环境质量底线。</w:t>
            </w:r>
          </w:p>
          <w:p w14:paraId="74D28308">
            <w:pPr>
              <w:spacing w:line="480" w:lineRule="exact"/>
              <w:ind w:firstLine="420" w:firstLineChars="200"/>
              <w:rPr>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综上，项目的建设与运行不会突破环境质量底线的要求。</w:t>
            </w:r>
          </w:p>
          <w:p w14:paraId="1438045F">
            <w:pPr>
              <w:pStyle w:val="53"/>
              <w:autoSpaceDE w:val="0"/>
              <w:snapToGrid w:val="0"/>
              <w:spacing w:line="480" w:lineRule="exact"/>
              <w:ind w:firstLine="480"/>
              <w:rPr>
                <w:rFonts w:ascii="宋体" w:hAnsi="宋体" w:cs="宋体"/>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（3）资源利用上线</w:t>
            </w:r>
          </w:p>
          <w:p w14:paraId="4F80733B">
            <w:pPr>
              <w:pStyle w:val="53"/>
              <w:autoSpaceDE w:val="0"/>
              <w:snapToGrid w:val="0"/>
              <w:spacing w:line="480" w:lineRule="exact"/>
              <w:ind w:firstLine="420" w:firstLineChars="200"/>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项目为输电工程，占用土地较少，项目完成后，供电区域可以减少其他能源的使用，提高清洁能源的资源利用效率。因此，项目不涉及突破资源利用上线。</w:t>
            </w:r>
          </w:p>
          <w:p w14:paraId="0F416B02">
            <w:pPr>
              <w:autoSpaceDE w:val="0"/>
              <w:autoSpaceDN w:val="0"/>
              <w:adjustRightInd w:val="0"/>
              <w:snapToGrid w:val="0"/>
              <w:spacing w:line="480" w:lineRule="exact"/>
              <w:ind w:firstLine="422" w:firstLineChars="200"/>
              <w:jc w:val="left"/>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（4）环境准入负面清单符合性分析</w:t>
            </w:r>
          </w:p>
          <w:p w14:paraId="27190A69">
            <w:pPr>
              <w:autoSpaceDE w:val="0"/>
              <w:autoSpaceDN w:val="0"/>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依据《建设项目环境影响评价分类管理名录》（</w:t>
            </w:r>
            <w:r>
              <w:rPr>
                <w:rFonts w:hint="default"/>
                <w:color w:val="000000" w:themeColor="text1"/>
                <w:szCs w:val="21"/>
                <w:lang w:val="en-US" w:eastAsia="zh-CN"/>
                <w14:textFill>
                  <w14:solidFill>
                    <w14:schemeClr w14:val="tx1"/>
                  </w14:solidFill>
                </w14:textFill>
              </w:rPr>
              <w:t>2021</w:t>
            </w:r>
            <w:r>
              <w:rPr>
                <w:rFonts w:hint="eastAsia"/>
                <w:color w:val="000000" w:themeColor="text1"/>
                <w:szCs w:val="21"/>
                <w:lang w:val="en-US" w:eastAsia="zh-CN"/>
                <w14:textFill>
                  <w14:solidFill>
                    <w14:schemeClr w14:val="tx1"/>
                  </w14:solidFill>
                </w14:textFill>
              </w:rPr>
              <w:t>年版），本项目属于“五十五、核与辐射”中的“</w:t>
            </w:r>
            <w:r>
              <w:rPr>
                <w:rFonts w:hint="default"/>
                <w:color w:val="000000" w:themeColor="text1"/>
                <w:szCs w:val="21"/>
                <w:lang w:val="en-US" w:eastAsia="zh-CN"/>
                <w14:textFill>
                  <w14:solidFill>
                    <w14:schemeClr w14:val="tx1"/>
                  </w14:solidFill>
                </w14:textFill>
              </w:rPr>
              <w:t>161</w:t>
            </w:r>
            <w:r>
              <w:rPr>
                <w:rFonts w:hint="eastAsia"/>
                <w:color w:val="000000" w:themeColor="text1"/>
                <w:szCs w:val="21"/>
                <w:lang w:val="en-US" w:eastAsia="zh-CN"/>
                <w14:textFill>
                  <w14:solidFill>
                    <w14:schemeClr w14:val="tx1"/>
                  </w14:solidFill>
                </w14:textFill>
              </w:rPr>
              <w:t>输变电工程”类别中“其他（</w:t>
            </w:r>
            <w:r>
              <w:rPr>
                <w:rFonts w:hint="default"/>
                <w:color w:val="000000" w:themeColor="text1"/>
                <w:szCs w:val="21"/>
                <w:lang w:val="en-US" w:eastAsia="zh-CN"/>
                <w14:textFill>
                  <w14:solidFill>
                    <w14:schemeClr w14:val="tx1"/>
                  </w14:solidFill>
                </w14:textFill>
              </w:rPr>
              <w:t>100</w:t>
            </w:r>
            <w:r>
              <w:rPr>
                <w:rFonts w:hint="eastAsia"/>
                <w:color w:val="000000" w:themeColor="text1"/>
                <w:szCs w:val="21"/>
                <w:lang w:val="en-US" w:eastAsia="zh-CN"/>
                <w14:textFill>
                  <w14:solidFill>
                    <w14:schemeClr w14:val="tx1"/>
                  </w14:solidFill>
                </w14:textFill>
              </w:rPr>
              <w:t>千伏以下除外）”项目，对照《产业结构调整指导目录（</w:t>
            </w:r>
            <w:r>
              <w:rPr>
                <w:rFonts w:hint="default"/>
                <w:color w:val="000000" w:themeColor="text1"/>
                <w:szCs w:val="21"/>
                <w:lang w:val="en-US" w:eastAsia="zh-CN"/>
                <w14:textFill>
                  <w14:solidFill>
                    <w14:schemeClr w14:val="tx1"/>
                  </w14:solidFill>
                </w14:textFill>
              </w:rPr>
              <w:t>2024</w:t>
            </w:r>
            <w:r>
              <w:rPr>
                <w:rFonts w:hint="eastAsia"/>
                <w:color w:val="000000" w:themeColor="text1"/>
                <w:szCs w:val="21"/>
                <w:lang w:val="en-US" w:eastAsia="zh-CN"/>
                <w14:textFill>
                  <w14:solidFill>
                    <w14:schemeClr w14:val="tx1"/>
                  </w14:solidFill>
                </w14:textFill>
              </w:rPr>
              <w:t>年本）》，本项目属于鼓励类项目；本项目不属于《市场准入负面清单（</w:t>
            </w:r>
            <w:r>
              <w:rPr>
                <w:rFonts w:hint="default"/>
                <w:color w:val="000000" w:themeColor="text1"/>
                <w:szCs w:val="21"/>
                <w:lang w:val="en-US" w:eastAsia="zh-CN"/>
                <w14:textFill>
                  <w14:solidFill>
                    <w14:schemeClr w14:val="tx1"/>
                  </w14:solidFill>
                </w14:textFill>
              </w:rPr>
              <w:t>2025</w:t>
            </w:r>
            <w:r>
              <w:rPr>
                <w:rFonts w:hint="eastAsia"/>
                <w:color w:val="000000" w:themeColor="text1"/>
                <w:szCs w:val="21"/>
                <w:lang w:val="en-US" w:eastAsia="zh-CN"/>
                <w14:textFill>
                  <w14:solidFill>
                    <w14:schemeClr w14:val="tx1"/>
                  </w14:solidFill>
                </w14:textFill>
              </w:rPr>
              <w:t>年版）》中禁止类项目</w:t>
            </w:r>
          </w:p>
          <w:p w14:paraId="17707CC2">
            <w:pPr>
              <w:autoSpaceDE w:val="0"/>
              <w:autoSpaceDN w:val="0"/>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综上所述，本项目建设符合国家及地方产业政策要求。</w:t>
            </w:r>
          </w:p>
          <w:p w14:paraId="5A8C66E3">
            <w:pPr>
              <w:autoSpaceDE w:val="0"/>
              <w:autoSpaceDN w:val="0"/>
              <w:adjustRightInd w:val="0"/>
              <w:snapToGrid w:val="0"/>
              <w:spacing w:line="480" w:lineRule="exact"/>
              <w:ind w:firstLine="422" w:firstLineChars="200"/>
              <w:jc w:val="left"/>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2、与《承德市生态环境分区管控准入清单（2023年版）》符合性分析</w:t>
            </w:r>
          </w:p>
          <w:p w14:paraId="476FF249">
            <w:pPr>
              <w:autoSpaceDE w:val="0"/>
              <w:autoSpaceDN w:val="0"/>
              <w:adjustRightInd w:val="0"/>
              <w:snapToGrid w:val="0"/>
              <w:spacing w:line="480" w:lineRule="exact"/>
              <w:ind w:firstLine="420" w:firstLineChars="200"/>
              <w:jc w:val="left"/>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位于承德市承德县甲山镇、六沟镇、石灰窑镇，项目所处管控单元为：重点管控单元：ZH13082120001、ZH13082120004；优先管控单元：ZH13082110010、ZH13082110009、ZH13082110013；一般管控单元：ZH13082130001。本项目与《承德市人民政府关于加快实施“三线一单”生态环境分区管控的意见》（2021年6月）管控要求、“承德市‘三线一单’生态环境准入清单”符合性对比见下表。</w:t>
            </w:r>
          </w:p>
          <w:p w14:paraId="6E920837">
            <w:pPr>
              <w:autoSpaceDE w:val="0"/>
              <w:autoSpaceDN w:val="0"/>
              <w:adjustRightInd w:val="0"/>
              <w:snapToGrid w:val="0"/>
              <w:spacing w:line="480" w:lineRule="exact"/>
              <w:jc w:val="center"/>
              <w:rPr>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4</w:t>
            </w:r>
            <w:r>
              <w:rPr>
                <w:b/>
                <w:bCs/>
                <w:color w:val="000000" w:themeColor="text1"/>
                <w:szCs w:val="21"/>
                <w14:textFill>
                  <w14:solidFill>
                    <w14:schemeClr w14:val="tx1"/>
                  </w14:solidFill>
                </w14:textFill>
              </w:rPr>
              <w:t xml:space="preserve"> 项目环境管控单元准入清单符合性分析表</w:t>
            </w:r>
          </w:p>
          <w:tbl>
            <w:tblPr>
              <w:tblStyle w:val="23"/>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
              <w:gridCol w:w="425"/>
              <w:gridCol w:w="425"/>
              <w:gridCol w:w="425"/>
              <w:gridCol w:w="425"/>
              <w:gridCol w:w="425"/>
              <w:gridCol w:w="635"/>
              <w:gridCol w:w="635"/>
              <w:gridCol w:w="2665"/>
              <w:gridCol w:w="1701"/>
              <w:gridCol w:w="410"/>
            </w:tblGrid>
            <w:tr w14:paraId="599F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Align w:val="center"/>
                </w:tcPr>
                <w:p w14:paraId="6583640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编号</w:t>
                  </w:r>
                </w:p>
              </w:tc>
              <w:tc>
                <w:tcPr>
                  <w:tcW w:w="425" w:type="dxa"/>
                  <w:vAlign w:val="center"/>
                </w:tcPr>
                <w:p w14:paraId="6307D88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省</w:t>
                  </w:r>
                </w:p>
              </w:tc>
              <w:tc>
                <w:tcPr>
                  <w:tcW w:w="425" w:type="dxa"/>
                  <w:vAlign w:val="center"/>
                </w:tcPr>
                <w:p w14:paraId="6897455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市</w:t>
                  </w:r>
                </w:p>
              </w:tc>
              <w:tc>
                <w:tcPr>
                  <w:tcW w:w="425" w:type="dxa"/>
                  <w:vAlign w:val="center"/>
                </w:tcPr>
                <w:p w14:paraId="738AF41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县</w:t>
                  </w:r>
                </w:p>
              </w:tc>
              <w:tc>
                <w:tcPr>
                  <w:tcW w:w="425" w:type="dxa"/>
                  <w:vAlign w:val="center"/>
                </w:tcPr>
                <w:p w14:paraId="59E4E79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涉及乡镇</w:t>
                  </w:r>
                </w:p>
              </w:tc>
              <w:tc>
                <w:tcPr>
                  <w:tcW w:w="425" w:type="dxa"/>
                  <w:vAlign w:val="center"/>
                </w:tcPr>
                <w:p w14:paraId="5C6C6A3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管控类型</w:t>
                  </w:r>
                </w:p>
              </w:tc>
              <w:tc>
                <w:tcPr>
                  <w:tcW w:w="635" w:type="dxa"/>
                  <w:vAlign w:val="center"/>
                </w:tcPr>
                <w:p w14:paraId="2070803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环境要素类别</w:t>
                  </w:r>
                </w:p>
              </w:tc>
              <w:tc>
                <w:tcPr>
                  <w:tcW w:w="635" w:type="dxa"/>
                  <w:vAlign w:val="center"/>
                </w:tcPr>
                <w:p w14:paraId="6E02C83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维度</w:t>
                  </w:r>
                </w:p>
              </w:tc>
              <w:tc>
                <w:tcPr>
                  <w:tcW w:w="2665" w:type="dxa"/>
                  <w:vAlign w:val="center"/>
                </w:tcPr>
                <w:p w14:paraId="15FB469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管控措施</w:t>
                  </w:r>
                </w:p>
              </w:tc>
              <w:tc>
                <w:tcPr>
                  <w:tcW w:w="1701" w:type="dxa"/>
                  <w:vAlign w:val="center"/>
                </w:tcPr>
                <w:p w14:paraId="576A264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工程情况</w:t>
                  </w:r>
                </w:p>
              </w:tc>
              <w:tc>
                <w:tcPr>
                  <w:tcW w:w="410" w:type="dxa"/>
                  <w:vAlign w:val="center"/>
                </w:tcPr>
                <w:p w14:paraId="3893B8B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符合性</w:t>
                  </w:r>
                </w:p>
              </w:tc>
            </w:tr>
            <w:tr w14:paraId="2BC6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restart"/>
                  <w:vAlign w:val="center"/>
                </w:tcPr>
                <w:p w14:paraId="1096BB9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ZH13082110010</w:t>
                  </w:r>
                </w:p>
              </w:tc>
              <w:tc>
                <w:tcPr>
                  <w:tcW w:w="425" w:type="dxa"/>
                  <w:vMerge w:val="restart"/>
                  <w:vAlign w:val="center"/>
                </w:tcPr>
                <w:p w14:paraId="20A846C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河北省</w:t>
                  </w:r>
                </w:p>
              </w:tc>
              <w:tc>
                <w:tcPr>
                  <w:tcW w:w="425" w:type="dxa"/>
                  <w:vMerge w:val="restart"/>
                  <w:vAlign w:val="center"/>
                </w:tcPr>
                <w:p w14:paraId="6D0592D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承德市</w:t>
                  </w:r>
                </w:p>
              </w:tc>
              <w:tc>
                <w:tcPr>
                  <w:tcW w:w="425" w:type="dxa"/>
                  <w:vMerge w:val="restart"/>
                  <w:vAlign w:val="center"/>
                </w:tcPr>
                <w:p w14:paraId="37B1C8D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承德县</w:t>
                  </w:r>
                </w:p>
              </w:tc>
              <w:tc>
                <w:tcPr>
                  <w:tcW w:w="425" w:type="dxa"/>
                  <w:vMerge w:val="restart"/>
                  <w:vAlign w:val="center"/>
                </w:tcPr>
                <w:p w14:paraId="5736A0B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甲山镇</w:t>
                  </w:r>
                </w:p>
                <w:p w14:paraId="3879A82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石灰窑镇</w:t>
                  </w:r>
                </w:p>
              </w:tc>
              <w:tc>
                <w:tcPr>
                  <w:tcW w:w="425" w:type="dxa"/>
                  <w:vMerge w:val="restart"/>
                  <w:vAlign w:val="center"/>
                </w:tcPr>
                <w:p w14:paraId="1430F72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优先保护单元</w:t>
                  </w:r>
                </w:p>
              </w:tc>
              <w:tc>
                <w:tcPr>
                  <w:tcW w:w="635" w:type="dxa"/>
                  <w:vMerge w:val="restart"/>
                  <w:vAlign w:val="center"/>
                </w:tcPr>
                <w:p w14:paraId="336675D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一般生态空间</w:t>
                  </w:r>
                </w:p>
                <w:p w14:paraId="045C447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水环</w:t>
                  </w:r>
                </w:p>
                <w:p w14:paraId="2BFBA1E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其他区域</w:t>
                  </w:r>
                </w:p>
                <w:p w14:paraId="43CE676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大气一般管</w:t>
                  </w:r>
                </w:p>
                <w:p w14:paraId="177C31B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控区</w:t>
                  </w:r>
                </w:p>
              </w:tc>
              <w:tc>
                <w:tcPr>
                  <w:tcW w:w="635" w:type="dxa"/>
                  <w:vAlign w:val="center"/>
                </w:tcPr>
                <w:p w14:paraId="0B8C7F7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空间布局</w:t>
                  </w:r>
                </w:p>
              </w:tc>
              <w:tc>
                <w:tcPr>
                  <w:tcW w:w="2665" w:type="dxa"/>
                  <w:vAlign w:val="center"/>
                </w:tcPr>
                <w:p w14:paraId="1A2094AB">
                  <w:pPr>
                    <w:pStyle w:val="17"/>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1.执行承德市总体准入清单中一般生态空间准入要求。</w:t>
                  </w:r>
                </w:p>
              </w:tc>
              <w:tc>
                <w:tcPr>
                  <w:tcW w:w="1701" w:type="dxa"/>
                  <w:vAlign w:val="center"/>
                </w:tcPr>
                <w:p w14:paraId="78F57A3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具体分析详见表1-</w:t>
                  </w:r>
                  <w:r>
                    <w:rPr>
                      <w:rFonts w:hint="eastAsia" w:cs="Times New Roman"/>
                      <w:color w:val="000000" w:themeColor="text1"/>
                      <w:sz w:val="18"/>
                      <w:szCs w:val="18"/>
                      <w:lang w:val="en-US" w:eastAsia="zh-CN"/>
                      <w14:textFill>
                        <w14:solidFill>
                          <w14:schemeClr w14:val="tx1"/>
                        </w14:solidFill>
                      </w14:textFill>
                    </w:rPr>
                    <w:t>6。</w:t>
                  </w:r>
                </w:p>
              </w:tc>
              <w:tc>
                <w:tcPr>
                  <w:tcW w:w="410" w:type="dxa"/>
                  <w:vMerge w:val="restart"/>
                  <w:vAlign w:val="center"/>
                </w:tcPr>
                <w:p w14:paraId="60B1F7E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符合</w:t>
                  </w:r>
                </w:p>
              </w:tc>
            </w:tr>
            <w:tr w14:paraId="0233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794DD67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5BD52A0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1FF4D74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104E3FD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67D1EC9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1321BD5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26DCD9F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Align w:val="center"/>
                </w:tcPr>
                <w:p w14:paraId="7F29633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污染物排放管控</w:t>
                  </w:r>
                </w:p>
              </w:tc>
              <w:tc>
                <w:tcPr>
                  <w:tcW w:w="2665" w:type="dxa"/>
                  <w:vAlign w:val="center"/>
                </w:tcPr>
                <w:p w14:paraId="63664A9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1、严格控制高毒高残留高风险农药使用，严格落实农膜管理制度，推广地膜科学使用回收。</w:t>
                  </w:r>
                </w:p>
              </w:tc>
              <w:tc>
                <w:tcPr>
                  <w:tcW w:w="1701" w:type="dxa"/>
                  <w:vAlign w:val="center"/>
                </w:tcPr>
                <w:p w14:paraId="68508A1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本项目不使用</w:t>
                  </w:r>
                  <w:r>
                    <w:rPr>
                      <w:rFonts w:hint="default" w:ascii="Times New Roman" w:hAnsi="Times New Roman" w:cs="Times New Roman"/>
                      <w:color w:val="000000" w:themeColor="text1"/>
                      <w:sz w:val="18"/>
                      <w:szCs w:val="18"/>
                      <w:lang w:val="en-US" w:eastAsia="zh-CN"/>
                      <w14:textFill>
                        <w14:solidFill>
                          <w14:schemeClr w14:val="tx1"/>
                        </w14:solidFill>
                      </w14:textFill>
                    </w:rPr>
                    <w:t>高毒高残留高风险农药</w:t>
                  </w:r>
                  <w:r>
                    <w:rPr>
                      <w:rFonts w:hint="eastAsia" w:cs="Times New Roman"/>
                      <w:color w:val="000000" w:themeColor="text1"/>
                      <w:sz w:val="18"/>
                      <w:szCs w:val="18"/>
                      <w:lang w:val="en-US" w:eastAsia="zh-CN"/>
                      <w14:textFill>
                        <w14:solidFill>
                          <w14:schemeClr w14:val="tx1"/>
                        </w14:solidFill>
                      </w14:textFill>
                    </w:rPr>
                    <w:t>、</w:t>
                  </w:r>
                  <w:r>
                    <w:rPr>
                      <w:rFonts w:hint="default" w:ascii="Times New Roman" w:hAnsi="Times New Roman" w:cs="Times New Roman"/>
                      <w:color w:val="000000" w:themeColor="text1"/>
                      <w:sz w:val="18"/>
                      <w:szCs w:val="18"/>
                      <w:lang w:val="en-US" w:eastAsia="zh-CN"/>
                      <w14:textFill>
                        <w14:solidFill>
                          <w14:schemeClr w14:val="tx1"/>
                        </w14:solidFill>
                      </w14:textFill>
                    </w:rPr>
                    <w:t>农膜</w:t>
                  </w:r>
                  <w:r>
                    <w:rPr>
                      <w:rFonts w:hint="eastAsia" w:cs="Times New Roman"/>
                      <w:color w:val="000000" w:themeColor="text1"/>
                      <w:sz w:val="18"/>
                      <w:szCs w:val="18"/>
                      <w:lang w:val="en-US" w:eastAsia="zh-CN"/>
                      <w14:textFill>
                        <w14:solidFill>
                          <w14:schemeClr w14:val="tx1"/>
                        </w14:solidFill>
                      </w14:textFill>
                    </w:rPr>
                    <w:t>。</w:t>
                  </w:r>
                </w:p>
              </w:tc>
              <w:tc>
                <w:tcPr>
                  <w:tcW w:w="410" w:type="dxa"/>
                  <w:vMerge w:val="continue"/>
                  <w:vAlign w:val="center"/>
                </w:tcPr>
                <w:p w14:paraId="1123E50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3BF8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5B49754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642BAC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48DBFBD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289F11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C446C7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49E1A1A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4829D26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Align w:val="center"/>
                </w:tcPr>
                <w:p w14:paraId="5FB3C9C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环境</w:t>
                  </w:r>
                  <w:r>
                    <w:rPr>
                      <w:rFonts w:hint="default" w:ascii="Times New Roman" w:hAnsi="Times New Roman" w:cs="Times New Roman"/>
                      <w:color w:val="000000" w:themeColor="text1"/>
                      <w:sz w:val="18"/>
                      <w:szCs w:val="18"/>
                      <w14:textFill>
                        <w14:solidFill>
                          <w14:schemeClr w14:val="tx1"/>
                        </w14:solidFill>
                      </w14:textFill>
                    </w:rPr>
                    <w:t>风险防控</w:t>
                  </w:r>
                </w:p>
              </w:tc>
              <w:tc>
                <w:tcPr>
                  <w:tcW w:w="2665" w:type="dxa"/>
                  <w:vAlign w:val="center"/>
                </w:tcPr>
                <w:p w14:paraId="60610AB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1701" w:type="dxa"/>
                  <w:vAlign w:val="center"/>
                </w:tcPr>
                <w:p w14:paraId="6C14E05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410" w:type="dxa"/>
                  <w:vMerge w:val="continue"/>
                  <w:vAlign w:val="center"/>
                </w:tcPr>
                <w:p w14:paraId="12F6335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3D7D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7FE686A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6A635B0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9E95BF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645B220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7B341A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45C2C1B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73E2DFC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Align w:val="center"/>
                </w:tcPr>
                <w:p w14:paraId="49178AE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资源利用效率</w:t>
                  </w:r>
                </w:p>
              </w:tc>
              <w:tc>
                <w:tcPr>
                  <w:tcW w:w="2665" w:type="dxa"/>
                  <w:vAlign w:val="center"/>
                </w:tcPr>
                <w:p w14:paraId="18B514A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1、加强对森林的培育和抚育，提高林分质量，增加林木蓄积量，调整优化树种结构，精准提升森林质量和生态服务价值。</w:t>
                  </w:r>
                </w:p>
                <w:p w14:paraId="4177569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2、在严格保护生态环境前提下，鼓励采取多样化模式和路径，科学合理推动生态产品价值实现。</w:t>
                  </w:r>
                </w:p>
                <w:p w14:paraId="7FA4FB9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3、加强农田灌溉设施建设，有效提高农田灌溉用水效率。</w:t>
                  </w:r>
                </w:p>
              </w:tc>
              <w:tc>
                <w:tcPr>
                  <w:tcW w:w="1701" w:type="dxa"/>
                  <w:vAlign w:val="center"/>
                </w:tcPr>
                <w:p w14:paraId="68769A8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1、</w:t>
                  </w:r>
                  <w:r>
                    <w:rPr>
                      <w:rFonts w:hint="eastAsia" w:cs="Times New Roman"/>
                      <w:color w:val="000000" w:themeColor="text1"/>
                      <w:sz w:val="18"/>
                      <w:szCs w:val="18"/>
                      <w:lang w:val="en-US" w:eastAsia="zh-CN"/>
                      <w14:textFill>
                        <w14:solidFill>
                          <w14:schemeClr w14:val="tx1"/>
                        </w14:solidFill>
                      </w14:textFill>
                    </w:rPr>
                    <w:t>本项目建设完成后，对施工场地等进行绿化，种植树木。</w:t>
                  </w:r>
                </w:p>
                <w:p w14:paraId="619DDE1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2、本项目为输变电工程，不属于生态产品类项目。</w:t>
                  </w:r>
                </w:p>
                <w:p w14:paraId="0A137D6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3、本项目不涉及农田灌溉。</w:t>
                  </w:r>
                </w:p>
              </w:tc>
              <w:tc>
                <w:tcPr>
                  <w:tcW w:w="410" w:type="dxa"/>
                  <w:vMerge w:val="continue"/>
                  <w:vAlign w:val="center"/>
                </w:tcPr>
                <w:p w14:paraId="6B0A723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74E2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restart"/>
                  <w:vAlign w:val="center"/>
                </w:tcPr>
                <w:p w14:paraId="4D9EA3E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olor w:val="000000" w:themeColor="text1"/>
                      <w:szCs w:val="21"/>
                      <w:lang w:val="en-US" w:eastAsia="zh-CN"/>
                      <w14:textFill>
                        <w14:solidFill>
                          <w14:schemeClr w14:val="tx1"/>
                        </w14:solidFill>
                      </w14:textFill>
                    </w:rPr>
                    <w:t>ZH13082110009</w:t>
                  </w:r>
                </w:p>
              </w:tc>
              <w:tc>
                <w:tcPr>
                  <w:tcW w:w="425" w:type="dxa"/>
                  <w:vMerge w:val="restart"/>
                  <w:vAlign w:val="center"/>
                </w:tcPr>
                <w:p w14:paraId="2942C1C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河北省</w:t>
                  </w:r>
                </w:p>
              </w:tc>
              <w:tc>
                <w:tcPr>
                  <w:tcW w:w="425" w:type="dxa"/>
                  <w:vMerge w:val="restart"/>
                  <w:vAlign w:val="center"/>
                </w:tcPr>
                <w:p w14:paraId="44396A0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承德市</w:t>
                  </w:r>
                </w:p>
              </w:tc>
              <w:tc>
                <w:tcPr>
                  <w:tcW w:w="425" w:type="dxa"/>
                  <w:vMerge w:val="restart"/>
                  <w:vAlign w:val="center"/>
                </w:tcPr>
                <w:p w14:paraId="74069F8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承德县</w:t>
                  </w:r>
                </w:p>
              </w:tc>
              <w:tc>
                <w:tcPr>
                  <w:tcW w:w="425" w:type="dxa"/>
                  <w:vMerge w:val="restart"/>
                  <w:vAlign w:val="center"/>
                </w:tcPr>
                <w:p w14:paraId="53D1B58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甲山镇</w:t>
                  </w:r>
                </w:p>
                <w:p w14:paraId="3B8A9B0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石灰窑镇</w:t>
                  </w:r>
                </w:p>
                <w:p w14:paraId="7EC2151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六沟镇</w:t>
                  </w:r>
                </w:p>
              </w:tc>
              <w:tc>
                <w:tcPr>
                  <w:tcW w:w="425" w:type="dxa"/>
                  <w:vMerge w:val="restart"/>
                  <w:vAlign w:val="center"/>
                </w:tcPr>
                <w:p w14:paraId="080A5FF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优先保护单元</w:t>
                  </w:r>
                </w:p>
              </w:tc>
              <w:tc>
                <w:tcPr>
                  <w:tcW w:w="635" w:type="dxa"/>
                  <w:vMerge w:val="restart"/>
                  <w:vAlign w:val="center"/>
                </w:tcPr>
                <w:p w14:paraId="2489F5A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燕山水源涵养-</w:t>
                  </w:r>
                  <w:r>
                    <w:rPr>
                      <w:rFonts w:hint="eastAsia" w:cs="Times New Roman"/>
                      <w:color w:val="000000" w:themeColor="text1"/>
                      <w:sz w:val="18"/>
                      <w:szCs w:val="18"/>
                      <w:lang w:val="en-US" w:eastAsia="zh-CN"/>
                      <w14:textFill>
                        <w14:solidFill>
                          <w14:schemeClr w14:val="tx1"/>
                        </w14:solidFill>
                      </w14:textFill>
                    </w:rPr>
                    <w:t>生物多样性保护</w:t>
                  </w:r>
                  <w:r>
                    <w:rPr>
                      <w:rFonts w:hint="default" w:ascii="Times New Roman" w:hAnsi="Times New Roman" w:cs="Times New Roman"/>
                      <w:color w:val="000000" w:themeColor="text1"/>
                      <w:sz w:val="18"/>
                      <w:szCs w:val="18"/>
                      <w:lang w:val="en-US" w:eastAsia="zh-CN"/>
                      <w14:textFill>
                        <w14:solidFill>
                          <w14:schemeClr w14:val="tx1"/>
                        </w14:solidFill>
                      </w14:textFill>
                    </w:rPr>
                    <w:t>生态保护红线</w:t>
                  </w:r>
                </w:p>
              </w:tc>
              <w:tc>
                <w:tcPr>
                  <w:tcW w:w="635" w:type="dxa"/>
                  <w:vAlign w:val="center"/>
                </w:tcPr>
                <w:p w14:paraId="2B7709F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空间布局</w:t>
                  </w:r>
                </w:p>
              </w:tc>
              <w:tc>
                <w:tcPr>
                  <w:tcW w:w="2665" w:type="dxa"/>
                  <w:vAlign w:val="center"/>
                </w:tcPr>
                <w:p w14:paraId="47EBD68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1、执行承德市总体准入清单中生态保护红线准入要求。</w:t>
                  </w:r>
                </w:p>
              </w:tc>
              <w:tc>
                <w:tcPr>
                  <w:tcW w:w="1701" w:type="dxa"/>
                  <w:vAlign w:val="center"/>
                </w:tcPr>
                <w:p w14:paraId="1A2619F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具体分析详见表1-5。</w:t>
                  </w:r>
                </w:p>
              </w:tc>
              <w:tc>
                <w:tcPr>
                  <w:tcW w:w="410" w:type="dxa"/>
                  <w:vMerge w:val="restart"/>
                  <w:vAlign w:val="center"/>
                </w:tcPr>
                <w:p w14:paraId="11DABC6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符合</w:t>
                  </w:r>
                </w:p>
              </w:tc>
            </w:tr>
            <w:tr w14:paraId="71E9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3019CE0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32F4F78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766B82D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4EEFB98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03CC723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0745366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635" w:type="dxa"/>
                  <w:vMerge w:val="continue"/>
                  <w:vAlign w:val="center"/>
                </w:tcPr>
                <w:p w14:paraId="3966CD0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635" w:type="dxa"/>
                  <w:vAlign w:val="center"/>
                </w:tcPr>
                <w:p w14:paraId="637B531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污染物排放管控</w:t>
                  </w:r>
                </w:p>
              </w:tc>
              <w:tc>
                <w:tcPr>
                  <w:tcW w:w="2665" w:type="dxa"/>
                  <w:vAlign w:val="center"/>
                </w:tcPr>
                <w:p w14:paraId="760B132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701" w:type="dxa"/>
                  <w:vAlign w:val="center"/>
                </w:tcPr>
                <w:p w14:paraId="65F97EE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0" w:type="dxa"/>
                  <w:vMerge w:val="continue"/>
                  <w:vAlign w:val="center"/>
                </w:tcPr>
                <w:p w14:paraId="76F7774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2AD0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0B9DF6B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4D6516D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B35ACF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A1674C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68E64DC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396F71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24E22D7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Align w:val="center"/>
                </w:tcPr>
                <w:p w14:paraId="0BF23EA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环境</w:t>
                  </w:r>
                  <w:r>
                    <w:rPr>
                      <w:rFonts w:hint="default" w:ascii="Times New Roman" w:hAnsi="Times New Roman" w:cs="Times New Roman"/>
                      <w:color w:val="000000" w:themeColor="text1"/>
                      <w:sz w:val="18"/>
                      <w:szCs w:val="18"/>
                      <w14:textFill>
                        <w14:solidFill>
                          <w14:schemeClr w14:val="tx1"/>
                        </w14:solidFill>
                      </w14:textFill>
                    </w:rPr>
                    <w:t>风险防控</w:t>
                  </w:r>
                </w:p>
              </w:tc>
              <w:tc>
                <w:tcPr>
                  <w:tcW w:w="2665" w:type="dxa"/>
                  <w:vAlign w:val="center"/>
                </w:tcPr>
                <w:p w14:paraId="384B769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701" w:type="dxa"/>
                  <w:vAlign w:val="center"/>
                </w:tcPr>
                <w:p w14:paraId="0C6BA01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0" w:type="dxa"/>
                  <w:vMerge w:val="continue"/>
                  <w:vAlign w:val="center"/>
                </w:tcPr>
                <w:p w14:paraId="254A88C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0A8D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596AA39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97D6E4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312B449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0AED18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5DCFB1B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2BB965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4F2E3F6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Align w:val="center"/>
                </w:tcPr>
                <w:p w14:paraId="24C52CE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资源利用效率</w:t>
                  </w:r>
                </w:p>
              </w:tc>
              <w:tc>
                <w:tcPr>
                  <w:tcW w:w="2665" w:type="dxa"/>
                  <w:vAlign w:val="center"/>
                </w:tcPr>
                <w:p w14:paraId="0F2826A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701" w:type="dxa"/>
                  <w:vAlign w:val="center"/>
                </w:tcPr>
                <w:p w14:paraId="0A42B3F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0" w:type="dxa"/>
                  <w:vMerge w:val="continue"/>
                  <w:vAlign w:val="center"/>
                </w:tcPr>
                <w:p w14:paraId="285573D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524F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restart"/>
                  <w:vAlign w:val="center"/>
                </w:tcPr>
                <w:p w14:paraId="54F7D01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olor w:val="000000" w:themeColor="text1"/>
                      <w:szCs w:val="21"/>
                      <w:lang w:val="en-US" w:eastAsia="zh-CN"/>
                      <w14:textFill>
                        <w14:solidFill>
                          <w14:schemeClr w14:val="tx1"/>
                        </w14:solidFill>
                      </w14:textFill>
                    </w:rPr>
                    <w:t>ZH13082110013</w:t>
                  </w:r>
                </w:p>
              </w:tc>
              <w:tc>
                <w:tcPr>
                  <w:tcW w:w="425" w:type="dxa"/>
                  <w:vMerge w:val="restart"/>
                  <w:vAlign w:val="center"/>
                </w:tcPr>
                <w:p w14:paraId="44F0A20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河北省</w:t>
                  </w:r>
                </w:p>
              </w:tc>
              <w:tc>
                <w:tcPr>
                  <w:tcW w:w="425" w:type="dxa"/>
                  <w:vMerge w:val="restart"/>
                  <w:vAlign w:val="center"/>
                </w:tcPr>
                <w:p w14:paraId="141E024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承德市</w:t>
                  </w:r>
                </w:p>
              </w:tc>
              <w:tc>
                <w:tcPr>
                  <w:tcW w:w="425" w:type="dxa"/>
                  <w:vMerge w:val="restart"/>
                  <w:vAlign w:val="center"/>
                </w:tcPr>
                <w:p w14:paraId="0F8DCA8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承德县</w:t>
                  </w:r>
                </w:p>
              </w:tc>
              <w:tc>
                <w:tcPr>
                  <w:tcW w:w="425" w:type="dxa"/>
                  <w:vMerge w:val="restart"/>
                  <w:vAlign w:val="center"/>
                </w:tcPr>
                <w:p w14:paraId="4412646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甲山镇</w:t>
                  </w:r>
                </w:p>
                <w:p w14:paraId="61CAE49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石灰窑镇</w:t>
                  </w:r>
                </w:p>
                <w:p w14:paraId="1053DBF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六沟镇</w:t>
                  </w:r>
                </w:p>
              </w:tc>
              <w:tc>
                <w:tcPr>
                  <w:tcW w:w="425" w:type="dxa"/>
                  <w:vMerge w:val="restart"/>
                  <w:vAlign w:val="center"/>
                </w:tcPr>
                <w:p w14:paraId="42FD805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优先保护单元</w:t>
                  </w:r>
                </w:p>
              </w:tc>
              <w:tc>
                <w:tcPr>
                  <w:tcW w:w="635" w:type="dxa"/>
                  <w:vMerge w:val="restart"/>
                  <w:vAlign w:val="center"/>
                </w:tcPr>
                <w:p w14:paraId="713D5AD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一般生态空间</w:t>
                  </w:r>
                </w:p>
                <w:p w14:paraId="11AF54F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水环境其他区域</w:t>
                  </w:r>
                </w:p>
                <w:p w14:paraId="3F6EFF0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大气环境弱扩散重点管控区</w:t>
                  </w:r>
                </w:p>
              </w:tc>
              <w:tc>
                <w:tcPr>
                  <w:tcW w:w="635" w:type="dxa"/>
                  <w:vAlign w:val="center"/>
                </w:tcPr>
                <w:p w14:paraId="512FF1C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空间布局</w:t>
                  </w:r>
                </w:p>
              </w:tc>
              <w:tc>
                <w:tcPr>
                  <w:tcW w:w="2665" w:type="dxa"/>
                  <w:vAlign w:val="center"/>
                </w:tcPr>
                <w:p w14:paraId="29D1DE5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1、执行承德市总体准入清单中一般生态空间准入要求。</w:t>
                  </w:r>
                </w:p>
                <w:p w14:paraId="69837B2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2、中心城区内弱扩散重点管控区应禁止新建大气高污染排放工业企业，优先实施清洁能源替代，其他区域的弱扩散区应提高节能环保准入门槛</w:t>
                  </w:r>
                  <w:r>
                    <w:rPr>
                      <w:rFonts w:hint="eastAsia" w:cs="Times New Roman"/>
                      <w:color w:val="000000" w:themeColor="text1"/>
                      <w:sz w:val="18"/>
                      <w:szCs w:val="18"/>
                      <w:lang w:val="en-US" w:eastAsia="zh-CN"/>
                      <w14:textFill>
                        <w14:solidFill>
                          <w14:schemeClr w14:val="tx1"/>
                        </w14:solidFill>
                      </w14:textFill>
                    </w:rPr>
                    <w:t>。</w:t>
                  </w:r>
                </w:p>
              </w:tc>
              <w:tc>
                <w:tcPr>
                  <w:tcW w:w="1701" w:type="dxa"/>
                  <w:vAlign w:val="center"/>
                </w:tcPr>
                <w:p w14:paraId="0C004FD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1、具体分析详见表1-6。</w:t>
                  </w:r>
                </w:p>
                <w:p w14:paraId="33BC887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2、本项目属于输变电工程，不属于大气高污染排放的工业企业。</w:t>
                  </w:r>
                </w:p>
              </w:tc>
              <w:tc>
                <w:tcPr>
                  <w:tcW w:w="410" w:type="dxa"/>
                  <w:vMerge w:val="restart"/>
                  <w:vAlign w:val="center"/>
                </w:tcPr>
                <w:p w14:paraId="4C3B68D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符合</w:t>
                  </w:r>
                </w:p>
              </w:tc>
            </w:tr>
            <w:tr w14:paraId="581A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774E8EC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41C4332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472366B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0392EE5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18543CB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1539B76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635" w:type="dxa"/>
                  <w:vMerge w:val="continue"/>
                  <w:vAlign w:val="center"/>
                </w:tcPr>
                <w:p w14:paraId="314EDDA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635" w:type="dxa"/>
                  <w:vAlign w:val="center"/>
                </w:tcPr>
                <w:p w14:paraId="3B417A2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污染物排放管控</w:t>
                  </w:r>
                </w:p>
              </w:tc>
              <w:tc>
                <w:tcPr>
                  <w:tcW w:w="2665" w:type="dxa"/>
                  <w:vAlign w:val="center"/>
                </w:tcPr>
                <w:p w14:paraId="78F5DA6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、实行大气污染物排放减量置换，提高清洁生产水平要求。</w:t>
                  </w:r>
                </w:p>
              </w:tc>
              <w:tc>
                <w:tcPr>
                  <w:tcW w:w="1701" w:type="dxa"/>
                  <w:vAlign w:val="center"/>
                </w:tcPr>
                <w:p w14:paraId="0549549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本项目运营期无大气污染物产生。</w:t>
                  </w:r>
                </w:p>
              </w:tc>
              <w:tc>
                <w:tcPr>
                  <w:tcW w:w="410" w:type="dxa"/>
                  <w:vMerge w:val="continue"/>
                  <w:vAlign w:val="center"/>
                </w:tcPr>
                <w:p w14:paraId="48665D0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0F05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334CA6E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475DC7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5E8E48A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6D9078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419F669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129886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4AA3773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Align w:val="center"/>
                </w:tcPr>
                <w:p w14:paraId="1AECA7E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环境</w:t>
                  </w:r>
                  <w:r>
                    <w:rPr>
                      <w:rFonts w:hint="default" w:ascii="Times New Roman" w:hAnsi="Times New Roman" w:cs="Times New Roman"/>
                      <w:color w:val="000000" w:themeColor="text1"/>
                      <w:sz w:val="18"/>
                      <w:szCs w:val="18"/>
                      <w14:textFill>
                        <w14:solidFill>
                          <w14:schemeClr w14:val="tx1"/>
                        </w14:solidFill>
                      </w14:textFill>
                    </w:rPr>
                    <w:t>风险防控</w:t>
                  </w:r>
                </w:p>
              </w:tc>
              <w:tc>
                <w:tcPr>
                  <w:tcW w:w="2665" w:type="dxa"/>
                  <w:vAlign w:val="center"/>
                </w:tcPr>
                <w:p w14:paraId="5255A75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1、加强危险废物全过程环境监管，尽快形成需求与能力相匹配、平常与应急相兼顾的危险废物处置网络。</w:t>
                  </w:r>
                </w:p>
                <w:p w14:paraId="7FEB54A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2、完善生活垃圾收运处置体系，按照可回收物、有害垃圾、厨余垃圾、其他垃圾分类标准，合理设置垃圾收集设施和棚亭、站点。</w:t>
                  </w:r>
                </w:p>
              </w:tc>
              <w:tc>
                <w:tcPr>
                  <w:tcW w:w="1701" w:type="dxa"/>
                  <w:vAlign w:val="center"/>
                </w:tcPr>
                <w:p w14:paraId="0065B6A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1、本项目为输变电项目，运营期无危险废物产生。</w:t>
                  </w:r>
                </w:p>
                <w:p w14:paraId="639F633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2、本项目为自动测控无人值守，运营期无生活垃圾产生。</w:t>
                  </w:r>
                </w:p>
              </w:tc>
              <w:tc>
                <w:tcPr>
                  <w:tcW w:w="410" w:type="dxa"/>
                  <w:vMerge w:val="continue"/>
                  <w:vAlign w:val="center"/>
                </w:tcPr>
                <w:p w14:paraId="60D3C7C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78F4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5253CF8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169BDB7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41A3C4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6EEAB3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300AEC5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331A2E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57721F5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Align w:val="center"/>
                </w:tcPr>
                <w:p w14:paraId="7BA7B84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资源利用效率</w:t>
                  </w:r>
                </w:p>
              </w:tc>
              <w:tc>
                <w:tcPr>
                  <w:tcW w:w="2665" w:type="dxa"/>
                  <w:vAlign w:val="center"/>
                </w:tcPr>
                <w:p w14:paraId="27BB78C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1、在严格保护生态环境前提下，鼓励采取多样化模式和路径，科学合理推动生态产品价值实现。</w:t>
                  </w:r>
                </w:p>
              </w:tc>
              <w:tc>
                <w:tcPr>
                  <w:tcW w:w="1701" w:type="dxa"/>
                  <w:vAlign w:val="center"/>
                </w:tcPr>
                <w:p w14:paraId="3125CBA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本项目为输变电工程，不属于生态产品类项目。</w:t>
                  </w:r>
                </w:p>
              </w:tc>
              <w:tc>
                <w:tcPr>
                  <w:tcW w:w="410" w:type="dxa"/>
                  <w:vMerge w:val="continue"/>
                  <w:vAlign w:val="center"/>
                </w:tcPr>
                <w:p w14:paraId="6A4CC14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6676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restart"/>
                  <w:vAlign w:val="center"/>
                </w:tcPr>
                <w:p w14:paraId="153B700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olor w:val="000000" w:themeColor="text1"/>
                      <w:szCs w:val="21"/>
                      <w:lang w:val="en-US" w:eastAsia="zh-CN"/>
                      <w14:textFill>
                        <w14:solidFill>
                          <w14:schemeClr w14:val="tx1"/>
                        </w14:solidFill>
                      </w14:textFill>
                    </w:rPr>
                    <w:t>ZH13082120001</w:t>
                  </w:r>
                </w:p>
              </w:tc>
              <w:tc>
                <w:tcPr>
                  <w:tcW w:w="425" w:type="dxa"/>
                  <w:vMerge w:val="restart"/>
                  <w:vAlign w:val="center"/>
                </w:tcPr>
                <w:p w14:paraId="55C4F09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河北省</w:t>
                  </w:r>
                </w:p>
              </w:tc>
              <w:tc>
                <w:tcPr>
                  <w:tcW w:w="425" w:type="dxa"/>
                  <w:vMerge w:val="restart"/>
                  <w:vAlign w:val="center"/>
                </w:tcPr>
                <w:p w14:paraId="17DDBD6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承德市</w:t>
                  </w:r>
                </w:p>
              </w:tc>
              <w:tc>
                <w:tcPr>
                  <w:tcW w:w="425" w:type="dxa"/>
                  <w:vMerge w:val="restart"/>
                  <w:vAlign w:val="center"/>
                </w:tcPr>
                <w:p w14:paraId="14500CD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承德县</w:t>
                  </w:r>
                </w:p>
              </w:tc>
              <w:tc>
                <w:tcPr>
                  <w:tcW w:w="425" w:type="dxa"/>
                  <w:vMerge w:val="restart"/>
                  <w:vAlign w:val="center"/>
                </w:tcPr>
                <w:p w14:paraId="4CD5268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甲山镇</w:t>
                  </w:r>
                </w:p>
                <w:p w14:paraId="7E5728F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石灰窑镇</w:t>
                  </w:r>
                </w:p>
                <w:p w14:paraId="01C9458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六沟镇</w:t>
                  </w:r>
                </w:p>
              </w:tc>
              <w:tc>
                <w:tcPr>
                  <w:tcW w:w="425" w:type="dxa"/>
                  <w:vMerge w:val="restart"/>
                  <w:vAlign w:val="center"/>
                </w:tcPr>
                <w:p w14:paraId="0422720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重点管控单元</w:t>
                  </w:r>
                </w:p>
              </w:tc>
              <w:tc>
                <w:tcPr>
                  <w:tcW w:w="635" w:type="dxa"/>
                  <w:vMerge w:val="restart"/>
                  <w:vAlign w:val="center"/>
                </w:tcPr>
                <w:p w14:paraId="75EC5BF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水环境其他区域</w:t>
                  </w:r>
                </w:p>
                <w:p w14:paraId="5B91989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大气环境弱扩散重点管控区</w:t>
                  </w:r>
                </w:p>
              </w:tc>
              <w:tc>
                <w:tcPr>
                  <w:tcW w:w="635" w:type="dxa"/>
                  <w:vAlign w:val="center"/>
                </w:tcPr>
                <w:p w14:paraId="2C5BB5F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空间布局</w:t>
                  </w:r>
                </w:p>
              </w:tc>
              <w:tc>
                <w:tcPr>
                  <w:tcW w:w="2665" w:type="dxa"/>
                  <w:vAlign w:val="center"/>
                </w:tcPr>
                <w:p w14:paraId="4D3898E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、中心城区内弱扩散重点管控区应禁止新建大气高污染排放工业企业，优先实施清洁能源替代，其他区域的弱扩散区应提高节能环保准入门槛</w:t>
                  </w:r>
                  <w:r>
                    <w:rPr>
                      <w:rFonts w:hint="eastAsia" w:cs="Times New Roman"/>
                      <w:color w:val="000000" w:themeColor="text1"/>
                      <w:sz w:val="18"/>
                      <w:szCs w:val="18"/>
                      <w:lang w:val="en-US" w:eastAsia="zh-CN"/>
                      <w14:textFill>
                        <w14:solidFill>
                          <w14:schemeClr w14:val="tx1"/>
                        </w14:solidFill>
                      </w14:textFill>
                    </w:rPr>
                    <w:t>。</w:t>
                  </w:r>
                </w:p>
              </w:tc>
              <w:tc>
                <w:tcPr>
                  <w:tcW w:w="1701" w:type="dxa"/>
                  <w:vAlign w:val="center"/>
                </w:tcPr>
                <w:p w14:paraId="5F0AEB7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本项目属于输变电工程，不属于大气高污染排放的工业企业。</w:t>
                  </w:r>
                </w:p>
              </w:tc>
              <w:tc>
                <w:tcPr>
                  <w:tcW w:w="410" w:type="dxa"/>
                  <w:vMerge w:val="restart"/>
                  <w:vAlign w:val="center"/>
                </w:tcPr>
                <w:p w14:paraId="09A3D34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符合</w:t>
                  </w:r>
                </w:p>
              </w:tc>
            </w:tr>
            <w:tr w14:paraId="2D95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5D59E64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06AE7FE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4F17A1C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1D45412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597A2D0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10DD1D5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635" w:type="dxa"/>
                  <w:vMerge w:val="continue"/>
                  <w:vAlign w:val="center"/>
                </w:tcPr>
                <w:p w14:paraId="6C91F9E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635" w:type="dxa"/>
                  <w:vAlign w:val="center"/>
                </w:tcPr>
                <w:p w14:paraId="133325D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污染物排放管控</w:t>
                  </w:r>
                </w:p>
              </w:tc>
              <w:tc>
                <w:tcPr>
                  <w:tcW w:w="2665" w:type="dxa"/>
                  <w:vAlign w:val="center"/>
                </w:tcPr>
                <w:p w14:paraId="33436BC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1、严格控制高毒高残留高风险农药使用，严格落实农膜管理制度，推广地膜科学使用回收。</w:t>
                  </w:r>
                </w:p>
                <w:p w14:paraId="06F6903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2、加强农村生活垃圾分类、收集、转运与处理体系建设，农村生活垃圾基本实现全面治理。</w:t>
                  </w:r>
                </w:p>
                <w:p w14:paraId="525B0C8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3、实行大气污染物排放减量置换，提高清洁生产水平要求。</w:t>
                  </w:r>
                </w:p>
              </w:tc>
              <w:tc>
                <w:tcPr>
                  <w:tcW w:w="1701" w:type="dxa"/>
                  <w:vAlign w:val="center"/>
                </w:tcPr>
                <w:p w14:paraId="1B4704A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r>
                    <w:rPr>
                      <w:rFonts w:hint="eastAsia" w:ascii="Times New Roman" w:hAnsi="Times New Roman" w:cs="Times New Roman"/>
                      <w:color w:val="000000" w:themeColor="text1"/>
                      <w:sz w:val="18"/>
                      <w:szCs w:val="18"/>
                      <w:lang w:val="en-US" w:eastAsia="zh-CN"/>
                      <w14:textFill>
                        <w14:solidFill>
                          <w14:schemeClr w14:val="tx1"/>
                        </w14:solidFill>
                      </w14:textFill>
                    </w:rPr>
                    <w:t>本项目不使用</w:t>
                  </w:r>
                  <w:r>
                    <w:rPr>
                      <w:rFonts w:hint="default" w:ascii="Times New Roman" w:hAnsi="Times New Roman" w:cs="Times New Roman"/>
                      <w:color w:val="000000" w:themeColor="text1"/>
                      <w:sz w:val="18"/>
                      <w:szCs w:val="18"/>
                      <w:lang w:val="en-US" w:eastAsia="zh-CN"/>
                      <w14:textFill>
                        <w14:solidFill>
                          <w14:schemeClr w14:val="tx1"/>
                        </w14:solidFill>
                      </w14:textFill>
                    </w:rPr>
                    <w:t>高毒高残留高风险农药</w:t>
                  </w:r>
                  <w:r>
                    <w:rPr>
                      <w:rFonts w:hint="eastAsia" w:cs="Times New Roman"/>
                      <w:color w:val="000000" w:themeColor="text1"/>
                      <w:sz w:val="18"/>
                      <w:szCs w:val="18"/>
                      <w:lang w:val="en-US" w:eastAsia="zh-CN"/>
                      <w14:textFill>
                        <w14:solidFill>
                          <w14:schemeClr w14:val="tx1"/>
                        </w14:solidFill>
                      </w14:textFill>
                    </w:rPr>
                    <w:t>、</w:t>
                  </w:r>
                  <w:r>
                    <w:rPr>
                      <w:rFonts w:hint="default" w:ascii="Times New Roman" w:hAnsi="Times New Roman" w:cs="Times New Roman"/>
                      <w:color w:val="000000" w:themeColor="text1"/>
                      <w:sz w:val="18"/>
                      <w:szCs w:val="18"/>
                      <w:lang w:val="en-US" w:eastAsia="zh-CN"/>
                      <w14:textFill>
                        <w14:solidFill>
                          <w14:schemeClr w14:val="tx1"/>
                        </w14:solidFill>
                      </w14:textFill>
                    </w:rPr>
                    <w:t>农膜</w:t>
                  </w:r>
                  <w:r>
                    <w:rPr>
                      <w:rFonts w:hint="eastAsia" w:cs="Times New Roman"/>
                      <w:color w:val="000000" w:themeColor="text1"/>
                      <w:sz w:val="18"/>
                      <w:szCs w:val="18"/>
                      <w:lang w:val="en-US" w:eastAsia="zh-CN"/>
                      <w14:textFill>
                        <w14:solidFill>
                          <w14:schemeClr w14:val="tx1"/>
                        </w14:solidFill>
                      </w14:textFill>
                    </w:rPr>
                    <w:t>。</w:t>
                  </w:r>
                </w:p>
                <w:p w14:paraId="07CFEDA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2、本项目不涉及农村生活垃圾的产生及处置。</w:t>
                  </w:r>
                </w:p>
                <w:p w14:paraId="37E23DF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3、本项目运营期无大气污染物产生。</w:t>
                  </w:r>
                </w:p>
              </w:tc>
              <w:tc>
                <w:tcPr>
                  <w:tcW w:w="410" w:type="dxa"/>
                  <w:vMerge w:val="continue"/>
                  <w:vAlign w:val="center"/>
                </w:tcPr>
                <w:p w14:paraId="364C13B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5936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23DC6B4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37FC600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EDA4BD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209580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5B181B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3D1BAD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6289BB4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Align w:val="center"/>
                </w:tcPr>
                <w:p w14:paraId="10EAC23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环境</w:t>
                  </w:r>
                  <w:r>
                    <w:rPr>
                      <w:rFonts w:hint="default" w:ascii="Times New Roman" w:hAnsi="Times New Roman" w:cs="Times New Roman"/>
                      <w:color w:val="000000" w:themeColor="text1"/>
                      <w:sz w:val="18"/>
                      <w:szCs w:val="18"/>
                      <w14:textFill>
                        <w14:solidFill>
                          <w14:schemeClr w14:val="tx1"/>
                        </w14:solidFill>
                      </w14:textFill>
                    </w:rPr>
                    <w:t>风险防控</w:t>
                  </w:r>
                </w:p>
              </w:tc>
              <w:tc>
                <w:tcPr>
                  <w:tcW w:w="2665" w:type="dxa"/>
                  <w:vAlign w:val="center"/>
                </w:tcPr>
                <w:p w14:paraId="70B0555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1、矿山企业应当依据国家有关规定编制矿山生态环境保护与恢复治理等方案，严格履行责任义务，边开采、边治理、边恢复；依法依规有序退出的矿山及时进行生态评估并实施生态恢复。</w:t>
                  </w:r>
                </w:p>
                <w:p w14:paraId="3CD950B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2、推进企业建立健全尾矿库全生命周期风险防控和隐患治理机制，落实管控措施，确</w:t>
                  </w:r>
                </w:p>
                <w:p w14:paraId="09698DD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保尾矿库安全运行、闭库。</w:t>
                  </w:r>
                </w:p>
              </w:tc>
              <w:tc>
                <w:tcPr>
                  <w:tcW w:w="1701" w:type="dxa"/>
                  <w:vAlign w:val="center"/>
                </w:tcPr>
                <w:p w14:paraId="0687423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1、本项目为输变电项目，不涉及矿山工程。</w:t>
                  </w:r>
                </w:p>
                <w:p w14:paraId="25941A6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2、本项目不涉及尾矿库工程。</w:t>
                  </w:r>
                </w:p>
              </w:tc>
              <w:tc>
                <w:tcPr>
                  <w:tcW w:w="410" w:type="dxa"/>
                  <w:vMerge w:val="continue"/>
                  <w:vAlign w:val="center"/>
                </w:tcPr>
                <w:p w14:paraId="18BB283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7B77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28D41FF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3EE8C14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63C964E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24791D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1D33A80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00E8C8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431AFED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Align w:val="center"/>
                </w:tcPr>
                <w:p w14:paraId="3BE9B74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资源利用效率</w:t>
                  </w:r>
                </w:p>
              </w:tc>
              <w:tc>
                <w:tcPr>
                  <w:tcW w:w="2665" w:type="dxa"/>
                  <w:vAlign w:val="center"/>
                </w:tcPr>
                <w:p w14:paraId="0BA4EF9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701" w:type="dxa"/>
                  <w:vAlign w:val="center"/>
                </w:tcPr>
                <w:p w14:paraId="46AAD25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0" w:type="dxa"/>
                  <w:vMerge w:val="continue"/>
                  <w:vAlign w:val="center"/>
                </w:tcPr>
                <w:p w14:paraId="475CD52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5B5F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restart"/>
                  <w:vAlign w:val="center"/>
                </w:tcPr>
                <w:p w14:paraId="76626F3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olor w:val="000000" w:themeColor="text1"/>
                      <w:szCs w:val="21"/>
                      <w:lang w:val="en-US" w:eastAsia="zh-CN"/>
                      <w14:textFill>
                        <w14:solidFill>
                          <w14:schemeClr w14:val="tx1"/>
                        </w14:solidFill>
                      </w14:textFill>
                    </w:rPr>
                    <w:t>ZH13082120004</w:t>
                  </w:r>
                </w:p>
              </w:tc>
              <w:tc>
                <w:tcPr>
                  <w:tcW w:w="425" w:type="dxa"/>
                  <w:vMerge w:val="restart"/>
                  <w:vAlign w:val="center"/>
                </w:tcPr>
                <w:p w14:paraId="66F27A7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河北省</w:t>
                  </w:r>
                </w:p>
              </w:tc>
              <w:tc>
                <w:tcPr>
                  <w:tcW w:w="425" w:type="dxa"/>
                  <w:vMerge w:val="restart"/>
                  <w:vAlign w:val="center"/>
                </w:tcPr>
                <w:p w14:paraId="4490B08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承德市</w:t>
                  </w:r>
                </w:p>
              </w:tc>
              <w:tc>
                <w:tcPr>
                  <w:tcW w:w="425" w:type="dxa"/>
                  <w:vMerge w:val="restart"/>
                  <w:vAlign w:val="center"/>
                </w:tcPr>
                <w:p w14:paraId="35191F4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承德县</w:t>
                  </w:r>
                </w:p>
              </w:tc>
              <w:tc>
                <w:tcPr>
                  <w:tcW w:w="425" w:type="dxa"/>
                  <w:vMerge w:val="restart"/>
                  <w:vAlign w:val="center"/>
                </w:tcPr>
                <w:p w14:paraId="60FC989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甲山镇</w:t>
                  </w:r>
                </w:p>
                <w:p w14:paraId="0FD9723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六沟镇</w:t>
                  </w:r>
                </w:p>
              </w:tc>
              <w:tc>
                <w:tcPr>
                  <w:tcW w:w="425" w:type="dxa"/>
                  <w:vMerge w:val="restart"/>
                  <w:vAlign w:val="center"/>
                </w:tcPr>
                <w:p w14:paraId="3A16855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重点管控单元</w:t>
                  </w:r>
                </w:p>
              </w:tc>
              <w:tc>
                <w:tcPr>
                  <w:tcW w:w="635" w:type="dxa"/>
                  <w:vMerge w:val="restart"/>
                  <w:vAlign w:val="center"/>
                </w:tcPr>
                <w:p w14:paraId="3599B8D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承德县经济开发区</w:t>
                  </w:r>
                </w:p>
              </w:tc>
              <w:tc>
                <w:tcPr>
                  <w:tcW w:w="635" w:type="dxa"/>
                  <w:vAlign w:val="center"/>
                </w:tcPr>
                <w:p w14:paraId="616024F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空间布局</w:t>
                  </w:r>
                </w:p>
              </w:tc>
              <w:tc>
                <w:tcPr>
                  <w:tcW w:w="2665" w:type="dxa"/>
                  <w:vAlign w:val="center"/>
                </w:tcPr>
                <w:p w14:paraId="4158A32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1、执行承德市生态环境总体准入清单要求。</w:t>
                  </w:r>
                </w:p>
                <w:p w14:paraId="739FDD3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2、严格执行国家产业政策和准入标准。</w:t>
                  </w:r>
                </w:p>
                <w:p w14:paraId="03C36F8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3、执行经开区规划环评及其批复文件相关要求；规划环评依法依规发生调整的，执行其最新的管理要求。</w:t>
                  </w:r>
                </w:p>
                <w:p w14:paraId="0722D11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4、合理布置区内企业，将风险较大企业布置在远离周围村庄、学校、医院等环境敏感点位置。</w:t>
                  </w:r>
                </w:p>
              </w:tc>
              <w:tc>
                <w:tcPr>
                  <w:tcW w:w="1701" w:type="dxa"/>
                  <w:vAlign w:val="center"/>
                </w:tcPr>
                <w:p w14:paraId="625E7D8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1、具体分析详见表1-5、1-6。本项目占地不涉及自然保护地，运营期无废水、废气产生，无土壤环境的污染途径。</w:t>
                  </w:r>
                </w:p>
                <w:p w14:paraId="01B598E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2、本项目符合</w:t>
                  </w:r>
                  <w:r>
                    <w:rPr>
                      <w:rFonts w:hint="default" w:ascii="Times New Roman" w:hAnsi="Times New Roman" w:cs="Times New Roman"/>
                      <w:color w:val="000000" w:themeColor="text1"/>
                      <w:sz w:val="18"/>
                      <w:szCs w:val="18"/>
                      <w:lang w:val="en-US" w:eastAsia="zh-CN"/>
                      <w14:textFill>
                        <w14:solidFill>
                          <w14:schemeClr w14:val="tx1"/>
                        </w14:solidFill>
                      </w14:textFill>
                    </w:rPr>
                    <w:t>国家产业政策和准入标准</w:t>
                  </w:r>
                  <w:r>
                    <w:rPr>
                      <w:rFonts w:hint="eastAsia" w:cs="Times New Roman"/>
                      <w:color w:val="000000" w:themeColor="text1"/>
                      <w:sz w:val="18"/>
                      <w:szCs w:val="18"/>
                      <w:lang w:val="en-US" w:eastAsia="zh-CN"/>
                      <w14:textFill>
                        <w14:solidFill>
                          <w14:schemeClr w14:val="tx1"/>
                        </w14:solidFill>
                      </w14:textFill>
                    </w:rPr>
                    <w:t>。</w:t>
                  </w:r>
                </w:p>
                <w:p w14:paraId="747E108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3、具体分析详见“3、规划环评及审查意见的符合性”。</w:t>
                  </w:r>
                </w:p>
                <w:p w14:paraId="3D71CB4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4、本项目为输变电工程，距园区附近最近村庄距离为180m。</w:t>
                  </w:r>
                </w:p>
              </w:tc>
              <w:tc>
                <w:tcPr>
                  <w:tcW w:w="410" w:type="dxa"/>
                  <w:vMerge w:val="restart"/>
                  <w:vAlign w:val="center"/>
                </w:tcPr>
                <w:p w14:paraId="4E2DDA6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7296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57043E8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467D4E3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35A7EAA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745B8BE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0524B2E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425" w:type="dxa"/>
                  <w:vMerge w:val="continue"/>
                  <w:vAlign w:val="center"/>
                </w:tcPr>
                <w:p w14:paraId="4B13A4A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635" w:type="dxa"/>
                  <w:vMerge w:val="continue"/>
                  <w:vAlign w:val="center"/>
                </w:tcPr>
                <w:p w14:paraId="019DD0B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pPr>
                </w:p>
              </w:tc>
              <w:tc>
                <w:tcPr>
                  <w:tcW w:w="635" w:type="dxa"/>
                  <w:vAlign w:val="center"/>
                </w:tcPr>
                <w:p w14:paraId="6E729EC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污染物排放管控</w:t>
                  </w:r>
                </w:p>
              </w:tc>
              <w:tc>
                <w:tcPr>
                  <w:tcW w:w="2665" w:type="dxa"/>
                  <w:vAlign w:val="center"/>
                </w:tcPr>
                <w:p w14:paraId="2726EDF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1、入区项目采用先进生产技术，清洁生产水平应达到国内先进水平以上。</w:t>
                  </w:r>
                </w:p>
                <w:p w14:paraId="4F2815B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2、加强入区企业厂区防渗，杜绝跑冒滴漏和事故状态对土壤环境的污染。</w:t>
                  </w:r>
                </w:p>
                <w:p w14:paraId="0EE7971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3、对于产生危险固废的企业，严格执行《危险废物转连单管理办法》相关要求。</w:t>
                  </w:r>
                </w:p>
                <w:p w14:paraId="058314B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4、坚决遏制高耗能、高排放、低水平项目盲目发展，提升高耗能项目能耗准入标准，能耗、物耗、水耗要达到清洁生产先进水平。</w:t>
                  </w:r>
                </w:p>
                <w:p w14:paraId="4236804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5、加快产业园区和集群污染综合整治，推进园区供热、供电、污水处理、再生水回用等</w:t>
                  </w:r>
                </w:p>
                <w:p w14:paraId="3F9E4CB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公共基础设施共建共享。</w:t>
                  </w:r>
                </w:p>
              </w:tc>
              <w:tc>
                <w:tcPr>
                  <w:tcW w:w="1701" w:type="dxa"/>
                  <w:vAlign w:val="center"/>
                </w:tcPr>
                <w:p w14:paraId="2CE4539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1、本项目属于输变电项目，采用国内较为先进的生产技术。</w:t>
                  </w:r>
                </w:p>
                <w:p w14:paraId="1B6780B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2、本项目无土壤环境的影响途径。</w:t>
                  </w:r>
                </w:p>
                <w:p w14:paraId="48BD004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3、本项目运营期无危险废物产生。</w:t>
                  </w:r>
                </w:p>
                <w:p w14:paraId="2B2E303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4、本项目不属于高耗能、高排放、低水平的项目。</w:t>
                  </w:r>
                </w:p>
                <w:p w14:paraId="2127E84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5、本项目采用自动测控无人值守，无新增工作人员，不涉及供热、供电等工程。</w:t>
                  </w:r>
                </w:p>
              </w:tc>
              <w:tc>
                <w:tcPr>
                  <w:tcW w:w="410" w:type="dxa"/>
                  <w:vMerge w:val="continue"/>
                  <w:vAlign w:val="center"/>
                </w:tcPr>
                <w:p w14:paraId="135269A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205C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3DE4DD2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565AF56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87891E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D62009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67FCD3E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57EF933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7002087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Align w:val="center"/>
                </w:tcPr>
                <w:p w14:paraId="3591C81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环境</w:t>
                  </w:r>
                  <w:r>
                    <w:rPr>
                      <w:rFonts w:hint="default" w:ascii="Times New Roman" w:hAnsi="Times New Roman" w:cs="Times New Roman"/>
                      <w:color w:val="000000" w:themeColor="text1"/>
                      <w:sz w:val="18"/>
                      <w:szCs w:val="18"/>
                      <w14:textFill>
                        <w14:solidFill>
                          <w14:schemeClr w14:val="tx1"/>
                        </w14:solidFill>
                      </w14:textFill>
                    </w:rPr>
                    <w:t>风险防控</w:t>
                  </w:r>
                </w:p>
              </w:tc>
              <w:tc>
                <w:tcPr>
                  <w:tcW w:w="2665" w:type="dxa"/>
                  <w:vAlign w:val="center"/>
                </w:tcPr>
                <w:p w14:paraId="72EF3ED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1、严格落实规划环评及其批复文件制定的环境风险防范措施，并随规划环评及其批复文件的更新及时调整。</w:t>
                  </w:r>
                </w:p>
                <w:p w14:paraId="54546BD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2、开发区及入区企业需组织编制《突发环境事件应急预案》，成立应急组织机构，定期开展应急演练，建立有效的事故风险防范体系，提高区域环境风险防范能力。</w:t>
                  </w:r>
                </w:p>
              </w:tc>
              <w:tc>
                <w:tcPr>
                  <w:tcW w:w="1701" w:type="dxa"/>
                  <w:vAlign w:val="center"/>
                </w:tcPr>
                <w:p w14:paraId="673C423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eastAsia="宋体"/>
                      <w:lang w:val="en-US" w:eastAsia="zh-CN"/>
                    </w:rPr>
                  </w:pPr>
                  <w:r>
                    <w:rPr>
                      <w:rFonts w:hint="eastAsia" w:cs="Times New Roman"/>
                      <w:color w:val="000000" w:themeColor="text1"/>
                      <w:sz w:val="18"/>
                      <w:szCs w:val="18"/>
                      <w:lang w:val="en-US" w:eastAsia="zh-CN"/>
                      <w14:textFill>
                        <w14:solidFill>
                          <w14:schemeClr w14:val="tx1"/>
                        </w14:solidFill>
                      </w14:textFill>
                    </w:rPr>
                    <w:t>1、具体分析详见“3、规划环评及审查意见的符合性”。</w:t>
                  </w:r>
                </w:p>
                <w:p w14:paraId="4128E1A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eastAsia="宋体"/>
                      <w:lang w:val="en-US" w:eastAsia="zh-CN"/>
                    </w:rPr>
                  </w:pPr>
                  <w:r>
                    <w:rPr>
                      <w:rFonts w:hint="eastAsia" w:cs="Times New Roman"/>
                      <w:color w:val="000000" w:themeColor="text1"/>
                      <w:sz w:val="18"/>
                      <w:szCs w:val="18"/>
                      <w:lang w:val="en-US" w:eastAsia="zh-CN"/>
                      <w14:textFill>
                        <w14:solidFill>
                          <w14:schemeClr w14:val="tx1"/>
                        </w14:solidFill>
                      </w14:textFill>
                    </w:rPr>
                    <w:t>2、待项目建设完成后，编制突发环境事件应急预案。</w:t>
                  </w:r>
                </w:p>
              </w:tc>
              <w:tc>
                <w:tcPr>
                  <w:tcW w:w="410" w:type="dxa"/>
                  <w:vMerge w:val="continue"/>
                  <w:vAlign w:val="center"/>
                </w:tcPr>
                <w:p w14:paraId="19F2FC7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69A9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0F650C9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4BD596A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D646F7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14F4B1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EDE645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149A62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2C804E9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Align w:val="center"/>
                </w:tcPr>
                <w:p w14:paraId="4A868AE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资源利用效率</w:t>
                  </w:r>
                </w:p>
              </w:tc>
              <w:tc>
                <w:tcPr>
                  <w:tcW w:w="2665" w:type="dxa"/>
                  <w:vAlign w:val="center"/>
                </w:tcPr>
                <w:p w14:paraId="111D9DD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1、实施能源消耗总量控制，总用地规模严格控制。</w:t>
                  </w:r>
                </w:p>
                <w:p w14:paraId="4BA2B4C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2、减少新鲜水用量，提高中水回用率。</w:t>
                  </w:r>
                </w:p>
                <w:p w14:paraId="43CDD9C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3、鼓励锅炉、工业窑炉进行余热利用。</w:t>
                  </w:r>
                </w:p>
                <w:p w14:paraId="1359D34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4、完善城镇污水处理基础设施，加强城市节约用水，加快城镇污水处理厂再生水利用系统建设，稳步提升城区污水处理厂再生水利用率。</w:t>
                  </w:r>
                </w:p>
              </w:tc>
              <w:tc>
                <w:tcPr>
                  <w:tcW w:w="1701" w:type="dxa"/>
                  <w:vAlign w:val="center"/>
                </w:tcPr>
                <w:p w14:paraId="66C0257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1、本项目为输变电项目的辐射环评，不涉及能源消耗。</w:t>
                  </w:r>
                </w:p>
                <w:p w14:paraId="1B6BDD2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2、本项目生产过程中不涉及新鲜水的使用。</w:t>
                  </w:r>
                </w:p>
                <w:p w14:paraId="547E3C0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3、本项目不涉及锅炉、工业炉窑。</w:t>
                  </w:r>
                </w:p>
                <w:p w14:paraId="0275698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4、本项目无生活污水产生，不涉及污水处理。</w:t>
                  </w:r>
                </w:p>
              </w:tc>
              <w:tc>
                <w:tcPr>
                  <w:tcW w:w="410" w:type="dxa"/>
                  <w:vMerge w:val="continue"/>
                  <w:vAlign w:val="center"/>
                </w:tcPr>
                <w:p w14:paraId="08528B1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6702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restart"/>
                  <w:vAlign w:val="center"/>
                </w:tcPr>
                <w:p w14:paraId="0CFCD5E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olor w:val="000000" w:themeColor="text1"/>
                      <w:szCs w:val="21"/>
                      <w:lang w:val="en-US" w:eastAsia="zh-CN"/>
                      <w14:textFill>
                        <w14:solidFill>
                          <w14:schemeClr w14:val="tx1"/>
                        </w14:solidFill>
                      </w14:textFill>
                    </w:rPr>
                    <w:t>ZH13082130001</w:t>
                  </w:r>
                </w:p>
              </w:tc>
              <w:tc>
                <w:tcPr>
                  <w:tcW w:w="425" w:type="dxa"/>
                  <w:vMerge w:val="restart"/>
                  <w:vAlign w:val="center"/>
                </w:tcPr>
                <w:p w14:paraId="04A4659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河北省</w:t>
                  </w:r>
                </w:p>
              </w:tc>
              <w:tc>
                <w:tcPr>
                  <w:tcW w:w="425" w:type="dxa"/>
                  <w:vMerge w:val="restart"/>
                  <w:vAlign w:val="center"/>
                </w:tcPr>
                <w:p w14:paraId="2C06CC0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承德市</w:t>
                  </w:r>
                </w:p>
              </w:tc>
              <w:tc>
                <w:tcPr>
                  <w:tcW w:w="425" w:type="dxa"/>
                  <w:vMerge w:val="restart"/>
                  <w:vAlign w:val="center"/>
                </w:tcPr>
                <w:p w14:paraId="1500686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承德县</w:t>
                  </w:r>
                </w:p>
              </w:tc>
              <w:tc>
                <w:tcPr>
                  <w:tcW w:w="425" w:type="dxa"/>
                  <w:vMerge w:val="restart"/>
                  <w:vAlign w:val="center"/>
                </w:tcPr>
                <w:p w14:paraId="05E8602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甲山镇</w:t>
                  </w:r>
                </w:p>
                <w:p w14:paraId="028263D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石灰窑镇</w:t>
                  </w:r>
                </w:p>
                <w:p w14:paraId="2FF2469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六沟镇</w:t>
                  </w:r>
                </w:p>
              </w:tc>
              <w:tc>
                <w:tcPr>
                  <w:tcW w:w="425" w:type="dxa"/>
                  <w:vMerge w:val="restart"/>
                  <w:vAlign w:val="center"/>
                </w:tcPr>
                <w:p w14:paraId="317C545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一般管控单元</w:t>
                  </w:r>
                </w:p>
              </w:tc>
              <w:tc>
                <w:tcPr>
                  <w:tcW w:w="635" w:type="dxa"/>
                  <w:vMerge w:val="restart"/>
                  <w:vAlign w:val="center"/>
                </w:tcPr>
                <w:p w14:paraId="70E8C27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水环境其他区域 大气一般管控区</w:t>
                  </w:r>
                </w:p>
              </w:tc>
              <w:tc>
                <w:tcPr>
                  <w:tcW w:w="635" w:type="dxa"/>
                  <w:shd w:val="clear" w:color="auto" w:fill="auto"/>
                  <w:vAlign w:val="center"/>
                </w:tcPr>
                <w:p w14:paraId="338F5A7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空间布局</w:t>
                  </w:r>
                </w:p>
              </w:tc>
              <w:tc>
                <w:tcPr>
                  <w:tcW w:w="2665" w:type="dxa"/>
                  <w:vAlign w:val="center"/>
                </w:tcPr>
                <w:p w14:paraId="1CEB7969">
                  <w:pPr>
                    <w:pStyle w:val="17"/>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701" w:type="dxa"/>
                  <w:vAlign w:val="center"/>
                </w:tcPr>
                <w:p w14:paraId="44551F5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0" w:type="dxa"/>
                  <w:vMerge w:val="restart"/>
                  <w:vAlign w:val="center"/>
                </w:tcPr>
                <w:p w14:paraId="090295B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符合</w:t>
                  </w:r>
                </w:p>
              </w:tc>
            </w:tr>
            <w:tr w14:paraId="1E68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0CC2ED0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109D6C1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54AC811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2F5CB9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3BFD8EC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4A54C24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45AB0DB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shd w:val="clear" w:color="auto" w:fill="auto"/>
                  <w:vAlign w:val="center"/>
                </w:tcPr>
                <w:p w14:paraId="33141B4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污染物排放管控</w:t>
                  </w:r>
                </w:p>
              </w:tc>
              <w:tc>
                <w:tcPr>
                  <w:tcW w:w="2665" w:type="dxa"/>
                  <w:vAlign w:val="center"/>
                </w:tcPr>
                <w:p w14:paraId="060E86F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1、注重控制新增产能水环境污染物控制，实施水污染排放项目与污水处理设施同步规划、同步建设，严格控制水环境高风险类项目准入。执行通用型水环境准入管控清单。</w:t>
                  </w:r>
                </w:p>
                <w:p w14:paraId="4CDBD96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2、加强农村生活垃圾分类、收集、转运与处理体系建设，农村生活垃圾基本实现全面治理。</w:t>
                  </w:r>
                </w:p>
                <w:p w14:paraId="619F52C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3、加快农村生活供排水、旱厕改造等基础设施建设，对生活污水进行相对集中收集，采用适宜方式进行处理。</w:t>
                  </w:r>
                </w:p>
              </w:tc>
              <w:tc>
                <w:tcPr>
                  <w:tcW w:w="1701" w:type="dxa"/>
                  <w:vAlign w:val="center"/>
                </w:tcPr>
                <w:p w14:paraId="59ED072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1、本项目不属于水污染源排放项目。</w:t>
                  </w:r>
                </w:p>
                <w:p w14:paraId="7D3AA5E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2、本项目不涉及农村生活垃圾。</w:t>
                  </w:r>
                </w:p>
                <w:p w14:paraId="253D701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3、本项目不涉及</w:t>
                  </w:r>
                  <w:r>
                    <w:rPr>
                      <w:rFonts w:hint="default" w:ascii="Times New Roman" w:hAnsi="Times New Roman" w:cs="Times New Roman"/>
                      <w:color w:val="000000" w:themeColor="text1"/>
                      <w:sz w:val="18"/>
                      <w:szCs w:val="18"/>
                      <w:lang w:val="en-US" w:eastAsia="zh-CN"/>
                      <w14:textFill>
                        <w14:solidFill>
                          <w14:schemeClr w14:val="tx1"/>
                        </w14:solidFill>
                      </w14:textFill>
                    </w:rPr>
                    <w:t>农村生活供排水、旱厕改造等基础设施建设</w:t>
                  </w:r>
                  <w:r>
                    <w:rPr>
                      <w:rFonts w:hint="eastAsia" w:cs="Times New Roman"/>
                      <w:color w:val="000000" w:themeColor="text1"/>
                      <w:sz w:val="18"/>
                      <w:szCs w:val="18"/>
                      <w:lang w:val="en-US" w:eastAsia="zh-CN"/>
                      <w14:textFill>
                        <w14:solidFill>
                          <w14:schemeClr w14:val="tx1"/>
                        </w14:solidFill>
                      </w14:textFill>
                    </w:rPr>
                    <w:t>。</w:t>
                  </w:r>
                </w:p>
              </w:tc>
              <w:tc>
                <w:tcPr>
                  <w:tcW w:w="410" w:type="dxa"/>
                  <w:vMerge w:val="continue"/>
                  <w:vAlign w:val="center"/>
                </w:tcPr>
                <w:p w14:paraId="4FDD29B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43E1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1CE4EA7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135C996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E3B5E3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0D8567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1752247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7D84D80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21B201CE">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shd w:val="clear" w:color="auto" w:fill="auto"/>
                  <w:vAlign w:val="center"/>
                </w:tcPr>
                <w:p w14:paraId="608D145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环境</w:t>
                  </w:r>
                  <w:r>
                    <w:rPr>
                      <w:rFonts w:hint="default" w:ascii="Times New Roman" w:hAnsi="Times New Roman" w:cs="Times New Roman"/>
                      <w:color w:val="000000" w:themeColor="text1"/>
                      <w:sz w:val="18"/>
                      <w:szCs w:val="18"/>
                      <w14:textFill>
                        <w14:solidFill>
                          <w14:schemeClr w14:val="tx1"/>
                        </w14:solidFill>
                      </w14:textFill>
                    </w:rPr>
                    <w:t>风险防控</w:t>
                  </w:r>
                </w:p>
              </w:tc>
              <w:tc>
                <w:tcPr>
                  <w:tcW w:w="2665" w:type="dxa"/>
                  <w:vAlign w:val="center"/>
                </w:tcPr>
                <w:p w14:paraId="0FDEE1D8">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1、矿山企业应当依据国家有关规定编制矿山生态环境保护与恢复治理等方案，严格履行责任义务，边开采、边治理、边恢复；依法依规有序退出的矿山及时进行生态评估并实施生态恢复。</w:t>
                  </w:r>
                </w:p>
                <w:p w14:paraId="7E70217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2、推进企业建立健全尾矿库全生命周期风险防控和隐患治理机制，落实管控措施，确</w:t>
                  </w:r>
                </w:p>
                <w:p w14:paraId="138D42C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保尾矿库安全运行、闭库。</w:t>
                  </w:r>
                </w:p>
              </w:tc>
              <w:tc>
                <w:tcPr>
                  <w:tcW w:w="1701" w:type="dxa"/>
                  <w:vAlign w:val="center"/>
                </w:tcPr>
                <w:p w14:paraId="14AC8103">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1、本项目为输变电项目，不涉及矿山工程。</w:t>
                  </w:r>
                </w:p>
                <w:p w14:paraId="19A76875">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2、本项目不涉及尾矿库工程。</w:t>
                  </w:r>
                </w:p>
              </w:tc>
              <w:tc>
                <w:tcPr>
                  <w:tcW w:w="410" w:type="dxa"/>
                  <w:vMerge w:val="continue"/>
                  <w:vAlign w:val="center"/>
                </w:tcPr>
                <w:p w14:paraId="0CB9A1E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7CEE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 w:type="dxa"/>
                  <w:vMerge w:val="continue"/>
                  <w:vAlign w:val="center"/>
                </w:tcPr>
                <w:p w14:paraId="13F70929">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093BF4C">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EED380F">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2625EAA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5A8ABB5A">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25" w:type="dxa"/>
                  <w:vMerge w:val="continue"/>
                  <w:vAlign w:val="center"/>
                </w:tcPr>
                <w:p w14:paraId="0ECCA60B">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vMerge w:val="continue"/>
                  <w:vAlign w:val="center"/>
                </w:tcPr>
                <w:p w14:paraId="52C73DE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35" w:type="dxa"/>
                  <w:shd w:val="clear" w:color="auto" w:fill="auto"/>
                  <w:vAlign w:val="center"/>
                </w:tcPr>
                <w:p w14:paraId="0BDAF93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资源利用效率</w:t>
                  </w:r>
                </w:p>
              </w:tc>
              <w:tc>
                <w:tcPr>
                  <w:tcW w:w="2665" w:type="dxa"/>
                  <w:vAlign w:val="center"/>
                </w:tcPr>
                <w:p w14:paraId="62BBC08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1、完善规模化畜禽养殖场粪污处理设施配套建设，实施粪污资源化综合利用</w:t>
                  </w:r>
                </w:p>
              </w:tc>
              <w:tc>
                <w:tcPr>
                  <w:tcW w:w="1701" w:type="dxa"/>
                  <w:vAlign w:val="center"/>
                </w:tcPr>
                <w:p w14:paraId="23311F57">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1、本项目不属于畜禽养殖类项目。</w:t>
                  </w:r>
                </w:p>
              </w:tc>
              <w:tc>
                <w:tcPr>
                  <w:tcW w:w="410" w:type="dxa"/>
                  <w:vMerge w:val="continue"/>
                  <w:vAlign w:val="center"/>
                </w:tcPr>
                <w:p w14:paraId="73983E66">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bl>
          <w:p w14:paraId="4217D5CA">
            <w:pPr>
              <w:autoSpaceDE w:val="0"/>
              <w:autoSpaceDN w:val="0"/>
              <w:adjustRightInd w:val="0"/>
              <w:snapToGrid w:val="0"/>
              <w:spacing w:line="480" w:lineRule="exact"/>
              <w:jc w:val="center"/>
              <w:rPr>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5</w:t>
            </w:r>
            <w:r>
              <w:rPr>
                <w:b/>
                <w:bCs/>
                <w:color w:val="000000" w:themeColor="text1"/>
                <w:szCs w:val="21"/>
                <w14:textFill>
                  <w14:solidFill>
                    <w14:schemeClr w14:val="tx1"/>
                  </w14:solidFill>
                </w14:textFill>
              </w:rPr>
              <w:t xml:space="preserve"> 项目</w:t>
            </w:r>
            <w:r>
              <w:rPr>
                <w:rFonts w:hint="eastAsia"/>
                <w:b/>
                <w:bCs/>
                <w:color w:val="000000" w:themeColor="text1"/>
                <w:szCs w:val="21"/>
                <w:lang w:val="en-US" w:eastAsia="zh-CN"/>
                <w14:textFill>
                  <w14:solidFill>
                    <w14:schemeClr w14:val="tx1"/>
                  </w14:solidFill>
                </w14:textFill>
              </w:rPr>
              <w:t>与生态保护红线符合性</w:t>
            </w:r>
            <w:r>
              <w:rPr>
                <w:b/>
                <w:bCs/>
                <w:color w:val="000000" w:themeColor="text1"/>
                <w:szCs w:val="21"/>
                <w14:textFill>
                  <w14:solidFill>
                    <w14:schemeClr w14:val="tx1"/>
                  </w14:solidFill>
                </w14:textFill>
              </w:rPr>
              <w:t>分析表</w:t>
            </w:r>
          </w:p>
          <w:tbl>
            <w:tblPr>
              <w:tblStyle w:val="23"/>
              <w:tblW w:w="495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4"/>
              <w:gridCol w:w="556"/>
              <w:gridCol w:w="5087"/>
              <w:gridCol w:w="2242"/>
            </w:tblGrid>
            <w:tr w14:paraId="446B6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88" w:type="pct"/>
                  <w:tcBorders>
                    <w:top w:val="single" w:color="000000" w:sz="4" w:space="0"/>
                    <w:left w:val="single" w:color="000000" w:sz="4" w:space="0"/>
                    <w:bottom w:val="single" w:color="000000" w:sz="4" w:space="0"/>
                    <w:right w:val="single" w:color="000000" w:sz="4" w:space="0"/>
                  </w:tcBorders>
                  <w:noWrap w:val="0"/>
                  <w:vAlign w:val="center"/>
                </w:tcPr>
                <w:p w14:paraId="21B2D6F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要素属性</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32E6CCB2">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类别</w:t>
                  </w:r>
                </w:p>
              </w:tc>
              <w:tc>
                <w:tcPr>
                  <w:tcW w:w="2975" w:type="pct"/>
                  <w:tcBorders>
                    <w:top w:val="single" w:color="000000" w:sz="4" w:space="0"/>
                    <w:left w:val="single" w:color="000000" w:sz="4" w:space="0"/>
                    <w:bottom w:val="single" w:color="000000" w:sz="4" w:space="0"/>
                    <w:right w:val="single" w:color="000000" w:sz="4" w:space="0"/>
                  </w:tcBorders>
                  <w:noWrap w:val="0"/>
                  <w:vAlign w:val="center"/>
                </w:tcPr>
                <w:p w14:paraId="47D4659D">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管控要求</w:t>
                  </w:r>
                </w:p>
              </w:tc>
              <w:tc>
                <w:tcPr>
                  <w:tcW w:w="1311" w:type="pct"/>
                  <w:tcBorders>
                    <w:top w:val="single" w:color="000000" w:sz="4" w:space="0"/>
                    <w:left w:val="single" w:color="000000" w:sz="4" w:space="0"/>
                    <w:bottom w:val="single" w:color="000000" w:sz="4" w:space="0"/>
                    <w:right w:val="single" w:color="000000" w:sz="4" w:space="0"/>
                  </w:tcBorders>
                  <w:noWrap w:val="0"/>
                  <w:vAlign w:val="center"/>
                </w:tcPr>
                <w:p w14:paraId="6E0547E1">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符合性</w:t>
                  </w:r>
                </w:p>
              </w:tc>
            </w:tr>
            <w:tr w14:paraId="7EE65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88" w:type="pct"/>
                  <w:tcBorders>
                    <w:top w:val="single" w:color="000000" w:sz="4" w:space="0"/>
                    <w:left w:val="single" w:color="000000" w:sz="4" w:space="0"/>
                    <w:bottom w:val="single" w:color="000000" w:sz="4" w:space="0"/>
                    <w:right w:val="single" w:color="000000" w:sz="4" w:space="0"/>
                  </w:tcBorders>
                  <w:noWrap w:val="0"/>
                  <w:vAlign w:val="center"/>
                </w:tcPr>
                <w:p w14:paraId="722C7D8B">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生态保护红线</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7184ABCA">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正面清单</w:t>
                  </w:r>
                </w:p>
              </w:tc>
              <w:tc>
                <w:tcPr>
                  <w:tcW w:w="2975" w:type="pct"/>
                  <w:tcBorders>
                    <w:top w:val="single" w:color="000000" w:sz="4" w:space="0"/>
                    <w:left w:val="single" w:color="000000" w:sz="4" w:space="0"/>
                    <w:bottom w:val="single" w:color="000000" w:sz="4" w:space="0"/>
                    <w:right w:val="single" w:color="000000" w:sz="4" w:space="0"/>
                  </w:tcBorders>
                  <w:noWrap w:val="0"/>
                  <w:vAlign w:val="center"/>
                </w:tcPr>
                <w:p w14:paraId="2070D1F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生态保护红线内自然保护地核心保护区准入目录：1.原则上禁止人为活动，经依法批准的科学研究观测、调查监测、生态修复等法律、法规和国家有关规定允许的活动除外。</w:t>
                  </w:r>
                </w:p>
                <w:p w14:paraId="769B590E">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生态保护红线内、自然保护地核心保护区外准入目录：生态保护红线内自然保护区、风景名胜区、饮用水水源保护区等区域，依照法律法规执行。规范管控对生态功能不造成破坏的有限人为活动，禁止开发性、生产性建设活动，在符合法律法规的前提下，仅允许以下对生态功能不造成破坏的有限人为活动。（1）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3）经依法批准的考古调查发掘、古生物化石调查发掘、标本采集和文物保护活动。（4）按规定对人工商品林进行抚育采伐，或以提升森林质量、优化栖息地、建设生物防火隔离带等为目的的树种更新，依法开展的竹林采伐经营。（5）不破坏生态功能的适度参观旅游、科普宣教及符合相关规划的配套性服务设施和相关的必要公共设施建设及维护。（6）必须且无法避让、符合县级以上国土空间规划的线性基础设施、通讯和防洪、供水设施建设和船舶航行、航道疏浚清淤等活动；已有的合法水利、交通运输等设施运行维护改造。（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8）依据县级以上国土空间规划和生态保护修复专项规划开展的生态修复。（9）根据我国相关法律法规和与邻国签署的国界管理制度协定（条约）开展的边界边境通道清理以及界务工程的修建、维护和拆除工作。（10）法律法规规定允许的其他人为活动。开展上述活动时禁止新增填海造地和新增围海。上述活动涉及利用无居民海岛的，原则上仅允许按照相关规定对海岛自然岸线、表面积、岛体、植被改变轻微的低影响利用方式。上述允许的有限人为活动之外，确需占用生态保护红线的国家重大项目，按照《自然资源部生态环境部国家林业和草原局关于加强生态保护红线管理的通知（试行）》（自然资发〔2022〕142号）规定办理用地用海用岛审批。</w:t>
                  </w:r>
                </w:p>
              </w:tc>
              <w:tc>
                <w:tcPr>
                  <w:tcW w:w="1311" w:type="pct"/>
                  <w:tcBorders>
                    <w:top w:val="single" w:color="000000" w:sz="4" w:space="0"/>
                    <w:left w:val="single" w:color="000000" w:sz="4" w:space="0"/>
                    <w:bottom w:val="single" w:color="000000" w:sz="4" w:space="0"/>
                    <w:right w:val="single" w:color="000000" w:sz="4" w:space="0"/>
                  </w:tcBorders>
                  <w:noWrap w:val="0"/>
                  <w:vAlign w:val="center"/>
                </w:tcPr>
                <w:p w14:paraId="229E782E">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eastAsia"/>
                      <w:color w:val="000000" w:themeColor="text1"/>
                      <w:kern w:val="0"/>
                      <w:szCs w:val="21"/>
                      <w14:textFill>
                        <w14:solidFill>
                          <w14:schemeClr w14:val="tx1"/>
                        </w14:solidFill>
                      </w14:textFill>
                    </w:rPr>
                    <w:t>线路的两端有部分面积跨越生态保护红线、公路、林地等，在尽可能避开这些目标的前提下，无法全部避让</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燕山水源涵养-生物多样性保护生态保护红线</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及部分林地，工程必须跨越生态保护红线和林地才能完成建设。</w:t>
                  </w:r>
                </w:p>
              </w:tc>
            </w:tr>
          </w:tbl>
          <w:p w14:paraId="75481DC2">
            <w:pPr>
              <w:autoSpaceDE w:val="0"/>
              <w:autoSpaceDN w:val="0"/>
              <w:adjustRightInd w:val="0"/>
              <w:snapToGrid w:val="0"/>
              <w:spacing w:line="480" w:lineRule="exact"/>
              <w:jc w:val="center"/>
              <w:rPr>
                <w:b/>
                <w:bCs/>
                <w:color w:val="000000" w:themeColor="text1"/>
                <w:szCs w:val="21"/>
                <w14:textFill>
                  <w14:solidFill>
                    <w14:schemeClr w14:val="tx1"/>
                  </w14:solidFill>
                </w14:textFill>
              </w:rPr>
            </w:pPr>
          </w:p>
          <w:p w14:paraId="73873B03">
            <w:pPr>
              <w:autoSpaceDE w:val="0"/>
              <w:autoSpaceDN w:val="0"/>
              <w:adjustRightInd w:val="0"/>
              <w:snapToGrid w:val="0"/>
              <w:spacing w:line="480" w:lineRule="exact"/>
              <w:jc w:val="center"/>
              <w:rPr>
                <w:b/>
                <w:bCs/>
                <w:color w:val="000000" w:themeColor="text1"/>
                <w:szCs w:val="21"/>
                <w14:textFill>
                  <w14:solidFill>
                    <w14:schemeClr w14:val="tx1"/>
                  </w14:solidFill>
                </w14:textFill>
              </w:rPr>
            </w:pPr>
          </w:p>
          <w:p w14:paraId="2D77CC67">
            <w:pPr>
              <w:autoSpaceDE w:val="0"/>
              <w:autoSpaceDN w:val="0"/>
              <w:adjustRightInd w:val="0"/>
              <w:snapToGrid w:val="0"/>
              <w:spacing w:line="480" w:lineRule="exact"/>
              <w:jc w:val="center"/>
              <w:rPr>
                <w:b/>
                <w:bCs/>
                <w:color w:val="000000" w:themeColor="text1"/>
                <w:szCs w:val="21"/>
                <w14:textFill>
                  <w14:solidFill>
                    <w14:schemeClr w14:val="tx1"/>
                  </w14:solidFill>
                </w14:textFill>
              </w:rPr>
            </w:pPr>
          </w:p>
          <w:p w14:paraId="178C9B0A">
            <w:pPr>
              <w:autoSpaceDE w:val="0"/>
              <w:autoSpaceDN w:val="0"/>
              <w:adjustRightInd w:val="0"/>
              <w:snapToGrid w:val="0"/>
              <w:spacing w:line="480" w:lineRule="exact"/>
              <w:jc w:val="center"/>
              <w:rPr>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6</w:t>
            </w:r>
            <w:r>
              <w:rPr>
                <w:b/>
                <w:bCs/>
                <w:color w:val="000000" w:themeColor="text1"/>
                <w:szCs w:val="21"/>
                <w14:textFill>
                  <w14:solidFill>
                    <w14:schemeClr w14:val="tx1"/>
                  </w14:solidFill>
                </w14:textFill>
              </w:rPr>
              <w:t xml:space="preserve"> 项目</w:t>
            </w:r>
            <w:r>
              <w:rPr>
                <w:rFonts w:hint="eastAsia"/>
                <w:b/>
                <w:bCs/>
                <w:color w:val="000000" w:themeColor="text1"/>
                <w:szCs w:val="21"/>
                <w:lang w:val="en-US" w:eastAsia="zh-CN"/>
                <w14:textFill>
                  <w14:solidFill>
                    <w14:schemeClr w14:val="tx1"/>
                  </w14:solidFill>
                </w14:textFill>
              </w:rPr>
              <w:t>与一般生态空间符合性</w:t>
            </w:r>
            <w:r>
              <w:rPr>
                <w:b/>
                <w:bCs/>
                <w:color w:val="000000" w:themeColor="text1"/>
                <w:szCs w:val="21"/>
                <w14:textFill>
                  <w14:solidFill>
                    <w14:schemeClr w14:val="tx1"/>
                  </w14:solidFill>
                </w14:textFill>
              </w:rPr>
              <w:t>分析表</w:t>
            </w:r>
          </w:p>
          <w:tbl>
            <w:tblPr>
              <w:tblStyle w:val="23"/>
              <w:tblW w:w="497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8"/>
              <w:gridCol w:w="729"/>
              <w:gridCol w:w="5216"/>
              <w:gridCol w:w="1972"/>
            </w:tblGrid>
            <w:tr w14:paraId="6A2BF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88" w:type="pct"/>
                  <w:tcBorders>
                    <w:top w:val="single" w:color="000000" w:sz="4" w:space="0"/>
                    <w:left w:val="single" w:color="000000" w:sz="4" w:space="0"/>
                    <w:bottom w:val="single" w:color="000000" w:sz="4" w:space="0"/>
                    <w:right w:val="single" w:color="000000" w:sz="4" w:space="0"/>
                  </w:tcBorders>
                  <w:noWrap w:val="0"/>
                  <w:vAlign w:val="center"/>
                </w:tcPr>
                <w:p w14:paraId="4C00DCAC">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要素属性</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3353D6DB">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类别</w:t>
                  </w:r>
                </w:p>
              </w:tc>
              <w:tc>
                <w:tcPr>
                  <w:tcW w:w="3037" w:type="pct"/>
                  <w:tcBorders>
                    <w:top w:val="single" w:color="000000" w:sz="4" w:space="0"/>
                    <w:left w:val="single" w:color="000000" w:sz="4" w:space="0"/>
                    <w:bottom w:val="single" w:color="000000" w:sz="4" w:space="0"/>
                    <w:right w:val="single" w:color="000000" w:sz="4" w:space="0"/>
                  </w:tcBorders>
                  <w:noWrap w:val="0"/>
                  <w:vAlign w:val="center"/>
                </w:tcPr>
                <w:p w14:paraId="73EE8370">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管控要求</w:t>
                  </w:r>
                </w:p>
              </w:tc>
              <w:tc>
                <w:tcPr>
                  <w:tcW w:w="1148" w:type="pct"/>
                  <w:tcBorders>
                    <w:top w:val="single" w:color="000000" w:sz="4" w:space="0"/>
                    <w:left w:val="single" w:color="000000" w:sz="4" w:space="0"/>
                    <w:bottom w:val="single" w:color="000000" w:sz="4" w:space="0"/>
                    <w:right w:val="single" w:color="000000" w:sz="4" w:space="0"/>
                  </w:tcBorders>
                  <w:noWrap w:val="0"/>
                  <w:vAlign w:val="center"/>
                </w:tcPr>
                <w:p w14:paraId="274E1585">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符合性</w:t>
                  </w:r>
                </w:p>
              </w:tc>
            </w:tr>
            <w:tr w14:paraId="50404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88" w:type="pct"/>
                  <w:vMerge w:val="restart"/>
                  <w:tcBorders>
                    <w:top w:val="single" w:color="000000" w:sz="4" w:space="0"/>
                    <w:left w:val="single" w:color="000000" w:sz="4" w:space="0"/>
                    <w:bottom w:val="single" w:color="000000" w:sz="4" w:space="0"/>
                    <w:right w:val="single" w:color="000000" w:sz="4" w:space="0"/>
                  </w:tcBorders>
                  <w:noWrap w:val="0"/>
                  <w:vAlign w:val="center"/>
                </w:tcPr>
                <w:p w14:paraId="508D1032">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一般生态空间</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1238A17D">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总体管控要求</w:t>
                  </w:r>
                </w:p>
              </w:tc>
              <w:tc>
                <w:tcPr>
                  <w:tcW w:w="3037" w:type="pct"/>
                  <w:tcBorders>
                    <w:top w:val="single" w:color="000000" w:sz="4" w:space="0"/>
                    <w:left w:val="single" w:color="000000" w:sz="4" w:space="0"/>
                    <w:bottom w:val="single" w:color="000000" w:sz="4" w:space="0"/>
                    <w:right w:val="single" w:color="000000" w:sz="4" w:space="0"/>
                  </w:tcBorders>
                  <w:noWrap w:val="0"/>
                  <w:vAlign w:val="center"/>
                </w:tcPr>
                <w:p w14:paraId="09F95C4B">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1.承德市生态功能主要为水源涵养与防风固沙，重点执行河北省一般生态空间总体管控要求中“水源涵养”与“防风固沙”管控要求。</w:t>
                  </w:r>
                </w:p>
              </w:tc>
              <w:tc>
                <w:tcPr>
                  <w:tcW w:w="1148" w:type="pct"/>
                  <w:tcBorders>
                    <w:top w:val="single" w:color="000000" w:sz="4" w:space="0"/>
                    <w:left w:val="single" w:color="000000" w:sz="4" w:space="0"/>
                    <w:bottom w:val="single" w:color="000000" w:sz="4" w:space="0"/>
                    <w:right w:val="single" w:color="000000" w:sz="4" w:space="0"/>
                  </w:tcBorders>
                  <w:noWrap w:val="0"/>
                  <w:vAlign w:val="center"/>
                </w:tcPr>
                <w:p w14:paraId="57D8B801">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本项目处于水源涵养生态功能区，本项目运营期无水污染物产生及外排。</w:t>
                  </w:r>
                </w:p>
              </w:tc>
            </w:tr>
            <w:tr w14:paraId="7F596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8D2B86">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3FAF9A6D">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水源涵养型</w:t>
                  </w:r>
                </w:p>
              </w:tc>
              <w:tc>
                <w:tcPr>
                  <w:tcW w:w="3037" w:type="pct"/>
                  <w:tcBorders>
                    <w:top w:val="single" w:color="000000" w:sz="4" w:space="0"/>
                    <w:left w:val="single" w:color="000000" w:sz="4" w:space="0"/>
                    <w:bottom w:val="single" w:color="000000" w:sz="4" w:space="0"/>
                    <w:right w:val="single" w:color="000000" w:sz="4" w:space="0"/>
                  </w:tcBorders>
                  <w:noWrap w:val="0"/>
                  <w:vAlign w:val="center"/>
                </w:tcPr>
                <w:p w14:paraId="70BDEA5C">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1.在不影响区域主导生态功能、不降低区域环境质量的基础上，新建与扩建项目在满足国土空间规划及有关专项规划的条件下，可适度进行合理有序的开发建设活动。2.禁止新建、扩建导致水体污染的产业项目，开展生态清洁小流域的建设；坚持自然恢复为主，人工造林为辅的原则。3.严格控制载畜量，实行以草定畜，在农牧交错区提倡农牧结合，发展生态产业，培育替代产业，减轻区内畜牧业对水源和生态系统的压力。</w:t>
                  </w:r>
                </w:p>
              </w:tc>
              <w:tc>
                <w:tcPr>
                  <w:tcW w:w="1148" w:type="pct"/>
                  <w:tcBorders>
                    <w:top w:val="single" w:color="000000" w:sz="4" w:space="0"/>
                    <w:left w:val="single" w:color="000000" w:sz="4" w:space="0"/>
                    <w:bottom w:val="single" w:color="000000" w:sz="4" w:space="0"/>
                    <w:right w:val="single" w:color="000000" w:sz="4" w:space="0"/>
                  </w:tcBorders>
                  <w:noWrap w:val="0"/>
                  <w:vAlign w:val="center"/>
                </w:tcPr>
                <w:p w14:paraId="297D03A8">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1、本项目建设符合《承德县国土空间总体规划（2021-2035年）》要求。</w:t>
                  </w:r>
                </w:p>
                <w:p w14:paraId="7A30C1F5">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2、不涉及。</w:t>
                  </w:r>
                </w:p>
                <w:p w14:paraId="37C6BFA5">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3、不涉及</w:t>
                  </w:r>
                </w:p>
              </w:tc>
            </w:tr>
            <w:tr w14:paraId="75677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3A6199">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0F6815AC">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防风固沙型</w:t>
                  </w:r>
                </w:p>
              </w:tc>
              <w:tc>
                <w:tcPr>
                  <w:tcW w:w="3037" w:type="pct"/>
                  <w:tcBorders>
                    <w:top w:val="single" w:color="000000" w:sz="4" w:space="0"/>
                    <w:left w:val="single" w:color="000000" w:sz="4" w:space="0"/>
                    <w:bottom w:val="single" w:color="000000" w:sz="4" w:space="0"/>
                    <w:right w:val="single" w:color="000000" w:sz="4" w:space="0"/>
                  </w:tcBorders>
                  <w:noWrap w:val="0"/>
                  <w:vAlign w:val="center"/>
                </w:tcPr>
                <w:p w14:paraId="7445C342">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1.对主要沙尘源区、沙尘暴频发区实行封禁管理。2.严格控制放牧和草原生物资源的利用，加强植被恢复和保护。3.严格控制过度放牧、樵采、开荒，合理利用水资源，保障生态用水，提高区域生态系统防沙固沙的能力。4.开展荒漠植被和沙化土地封禁保护，加强退化林带修复，禁止滥开垦、滥放牧和滥樵采构建乔灌草相结合的防护林体系，对防风固沙林只能进行抚育和更新性质的采伐5。转变畜牧业生产方式，实行禁牧休牧，推行舍饲圈养，以草定畜，严格控制载畜量。6.加大退耕还林力度，恢复草原植被。7.加强对内陆河流的规划和管理，保护沙区湿地。</w:t>
                  </w:r>
                </w:p>
              </w:tc>
              <w:tc>
                <w:tcPr>
                  <w:tcW w:w="1148" w:type="pct"/>
                  <w:tcBorders>
                    <w:top w:val="single" w:color="000000" w:sz="4" w:space="0"/>
                    <w:left w:val="single" w:color="000000" w:sz="4" w:space="0"/>
                    <w:bottom w:val="single" w:color="000000" w:sz="4" w:space="0"/>
                    <w:right w:val="single" w:color="000000" w:sz="4" w:space="0"/>
                  </w:tcBorders>
                  <w:noWrap w:val="0"/>
                  <w:vAlign w:val="center"/>
                </w:tcPr>
                <w:p w14:paraId="36A1B124">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不涉及。</w:t>
                  </w:r>
                </w:p>
              </w:tc>
            </w:tr>
            <w:tr w14:paraId="0FED6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DE6AE2">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460DB03F">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禁止开发建设活动的要求</w:t>
                  </w:r>
                </w:p>
              </w:tc>
              <w:tc>
                <w:tcPr>
                  <w:tcW w:w="3037" w:type="pct"/>
                  <w:tcBorders>
                    <w:top w:val="single" w:color="000000" w:sz="4" w:space="0"/>
                    <w:left w:val="single" w:color="000000" w:sz="4" w:space="0"/>
                    <w:bottom w:val="single" w:color="000000" w:sz="4" w:space="0"/>
                    <w:right w:val="single" w:color="000000" w:sz="4" w:space="0"/>
                  </w:tcBorders>
                  <w:noWrap w:val="0"/>
                  <w:vAlign w:val="center"/>
                </w:tcPr>
                <w:p w14:paraId="1824E2EA">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1.一般生态空间内应在重要水源保护区上游干流、支流沿岸的规划建设，在河道干流、支流两岸因地制宜划定生态缓冲带和生态绿化廊道。生态缓冲带内应保持自然岸线和生态系统的完整性，严禁建设项目侵占责任生态空间和“贴边”发展。在重要的生态功能区和“四区”（水源保护区、自然保护区、风景名胜区、湿地公园）区域，严禁违规建设别墅类和高尔夫球场等项目，严禁破坏生态环境功能的开发建设活动。严格饮用水水源保护区、自然保护区、风景名胜区、森林公园、地质公园等环境敏感区域及周边地区开发建设管理。2.在上述环境敏感区域内，严禁建设污染环境、破坏资源和景观的生产设施。对未经批准擅自建设“玻璃栈道”、观光索道等破坏生态和景观的违法建设项目，可依法责令拆除并恢复原状。对擅自在法律法规规定禁止建设区域内建成的违法违规项目和设施，要依法采取行政处罚和移交司法部门强制执行等措施，依法责令拆除并恢复原状。未纳入生态保护红线的各类自然保护地等按照相关法律法规规定进行管控。</w:t>
                  </w:r>
                </w:p>
              </w:tc>
              <w:tc>
                <w:tcPr>
                  <w:tcW w:w="1148" w:type="pct"/>
                  <w:tcBorders>
                    <w:top w:val="single" w:color="000000" w:sz="4" w:space="0"/>
                    <w:left w:val="single" w:color="000000" w:sz="4" w:space="0"/>
                    <w:bottom w:val="single" w:color="000000" w:sz="4" w:space="0"/>
                    <w:right w:val="single" w:color="000000" w:sz="4" w:space="0"/>
                  </w:tcBorders>
                  <w:noWrap w:val="0"/>
                  <w:vAlign w:val="center"/>
                </w:tcPr>
                <w:p w14:paraId="4EF21788">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1、本项目跨越承德市承德先六沟镇以及饮用水水源地，不属于</w:t>
                  </w:r>
                  <w:r>
                    <w:rPr>
                      <w:rFonts w:hint="default" w:ascii="Times New Roman" w:hAnsi="Times New Roman" w:eastAsia="宋体" w:cs="Times New Roman"/>
                      <w:b w:val="0"/>
                      <w:bCs w:val="0"/>
                      <w:color w:val="000000"/>
                      <w:sz w:val="21"/>
                      <w:szCs w:val="21"/>
                      <w:lang w:val="en-US" w:eastAsia="zh-CN"/>
                    </w:rPr>
                    <w:t>别墅类和高尔夫球场等项目</w:t>
                  </w:r>
                  <w:r>
                    <w:rPr>
                      <w:rFonts w:hint="eastAsia" w:ascii="Times New Roman" w:hAnsi="Times New Roman" w:cs="Times New Roman"/>
                      <w:b w:val="0"/>
                      <w:bCs w:val="0"/>
                      <w:color w:val="000000"/>
                      <w:sz w:val="21"/>
                      <w:szCs w:val="21"/>
                      <w:lang w:val="en-US" w:eastAsia="zh-CN"/>
                    </w:rPr>
                    <w:t>。</w:t>
                  </w:r>
                </w:p>
                <w:p w14:paraId="60C141CB">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2、本项目不属于</w:t>
                  </w:r>
                  <w:r>
                    <w:rPr>
                      <w:rFonts w:hint="default" w:ascii="Times New Roman" w:hAnsi="Times New Roman" w:eastAsia="宋体" w:cs="Times New Roman"/>
                      <w:b w:val="0"/>
                      <w:bCs w:val="0"/>
                      <w:color w:val="000000"/>
                      <w:sz w:val="21"/>
                      <w:szCs w:val="21"/>
                      <w:lang w:val="en-US" w:eastAsia="zh-CN"/>
                    </w:rPr>
                    <w:t>污染环境、破坏资源和景观的生产设施</w:t>
                  </w:r>
                  <w:r>
                    <w:rPr>
                      <w:rFonts w:hint="eastAsia" w:ascii="Times New Roman" w:hAnsi="Times New Roman" w:cs="Times New Roman"/>
                      <w:b w:val="0"/>
                      <w:bCs w:val="0"/>
                      <w:color w:val="000000"/>
                      <w:sz w:val="21"/>
                      <w:szCs w:val="21"/>
                      <w:lang w:val="en-US" w:eastAsia="zh-CN"/>
                    </w:rPr>
                    <w:t>。</w:t>
                  </w:r>
                </w:p>
              </w:tc>
            </w:tr>
            <w:tr w14:paraId="268E1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8ECAFF">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2899634F">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限制开发建设活动的要求</w:t>
                  </w:r>
                </w:p>
              </w:tc>
              <w:tc>
                <w:tcPr>
                  <w:tcW w:w="3037" w:type="pct"/>
                  <w:tcBorders>
                    <w:top w:val="single" w:color="000000" w:sz="4" w:space="0"/>
                    <w:left w:val="single" w:color="000000" w:sz="4" w:space="0"/>
                    <w:bottom w:val="single" w:color="000000" w:sz="4" w:space="0"/>
                    <w:right w:val="single" w:color="000000" w:sz="4" w:space="0"/>
                  </w:tcBorders>
                  <w:noWrap w:val="0"/>
                  <w:vAlign w:val="center"/>
                </w:tcPr>
                <w:p w14:paraId="34CE29F0">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1.严格控制矿产资源开发范围。非经国务院授权的有关主管部门同意，不得在下列地区新批固体矿产资源开发项目，严格控制新批液体、气体矿产资源开发项目：在机场、国防工程设施圈定地区以内；重要工业区、大型水利工程设施、城镇市政工程设施附近一定距离以内；永久基本农田、城镇开发边界内、自然保护区、风景名胜区、饮用水水源保护区、地质遗迹保护区、文物保护单位等保护范围内，国家规定不得开采矿产资源的其他地区。矿产资源勘查实行最严格的生态环境保护制度，全面推行绿色勘查。矿产资源勘查项目应当严格落实国土空间规划和矿产资源总体规划，符合生态保护红线管控相关要求，充分考虑区域生态环境承载能力，科学评估勘查作业可能对生态环境、水源涵养的影响。勘察设计方案应当落实绿色勘察理念，严格执行国家绿色勘察有关标准和规范。勘查单位应当严格按照地质矿产勘查规范、绿色勘查规范和勘查设计方案进行施工作业。严格控制露天矿山开采，对已有露天矿山推广先进适用的开采技术：露天矿山企业应当实行平台式开采，提高生产质量、生产效率，保障矿山采后高标准复垦复绿。</w:t>
                  </w:r>
                </w:p>
              </w:tc>
              <w:tc>
                <w:tcPr>
                  <w:tcW w:w="1148" w:type="pct"/>
                  <w:tcBorders>
                    <w:top w:val="single" w:color="000000" w:sz="4" w:space="0"/>
                    <w:left w:val="single" w:color="000000" w:sz="4" w:space="0"/>
                    <w:bottom w:val="single" w:color="000000" w:sz="4" w:space="0"/>
                    <w:right w:val="single" w:color="000000" w:sz="4" w:space="0"/>
                  </w:tcBorders>
                  <w:noWrap w:val="0"/>
                  <w:vAlign w:val="center"/>
                </w:tcPr>
                <w:p w14:paraId="5CE68B42">
                  <w:pPr>
                    <w:keepNext w:val="0"/>
                    <w:keepLines w:val="0"/>
                    <w:pageBreakBefore w:val="0"/>
                    <w:widowControl w:val="0"/>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不涉及。</w:t>
                  </w:r>
                </w:p>
              </w:tc>
            </w:tr>
          </w:tbl>
          <w:p w14:paraId="4DC3CE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b/>
                <w:bCs/>
                <w:color w:val="000000" w:themeColor="text1"/>
                <w:kern w:val="0"/>
                <w:szCs w:val="21"/>
                <w:lang w:val="en-US" w:eastAsia="zh-CN"/>
                <w14:textFill>
                  <w14:solidFill>
                    <w14:schemeClr w14:val="tx1"/>
                  </w14:solidFill>
                </w14:textFill>
              </w:rPr>
            </w:pPr>
            <w:r>
              <w:drawing>
                <wp:anchor distT="0" distB="0" distL="114300" distR="114300" simplePos="0" relativeHeight="251665408" behindDoc="0" locked="0" layoutInCell="1" allowOverlap="1">
                  <wp:simplePos x="0" y="0"/>
                  <wp:positionH relativeFrom="column">
                    <wp:posOffset>1332230</wp:posOffset>
                  </wp:positionH>
                  <wp:positionV relativeFrom="paragraph">
                    <wp:posOffset>2969895</wp:posOffset>
                  </wp:positionV>
                  <wp:extent cx="591820" cy="607695"/>
                  <wp:effectExtent l="0" t="0" r="17780" b="190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91820" cy="60769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224155</wp:posOffset>
                  </wp:positionH>
                  <wp:positionV relativeFrom="paragraph">
                    <wp:posOffset>2376805</wp:posOffset>
                  </wp:positionV>
                  <wp:extent cx="1746250" cy="1204595"/>
                  <wp:effectExtent l="0" t="0" r="6350" b="1460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1746250" cy="1204595"/>
                          </a:xfrm>
                          <a:prstGeom prst="rect">
                            <a:avLst/>
                          </a:prstGeom>
                          <a:noFill/>
                          <a:ln>
                            <a:noFill/>
                          </a:ln>
                        </pic:spPr>
                      </pic:pic>
                    </a:graphicData>
                  </a:graphic>
                </wp:anchor>
              </w:drawing>
            </w:r>
            <w:r>
              <w:rPr>
                <w:sz w:val="21"/>
              </w:rPr>
              <mc:AlternateContent>
                <mc:Choice Requires="wps">
                  <w:drawing>
                    <wp:anchor distT="0" distB="0" distL="114300" distR="114300" simplePos="0" relativeHeight="251663360" behindDoc="0" locked="0" layoutInCell="1" allowOverlap="1">
                      <wp:simplePos x="0" y="0"/>
                      <wp:positionH relativeFrom="column">
                        <wp:posOffset>2657475</wp:posOffset>
                      </wp:positionH>
                      <wp:positionV relativeFrom="paragraph">
                        <wp:posOffset>2489835</wp:posOffset>
                      </wp:positionV>
                      <wp:extent cx="133350" cy="161925"/>
                      <wp:effectExtent l="12700" t="12700" r="25400" b="15875"/>
                      <wp:wrapNone/>
                      <wp:docPr id="10" name="五角星 10"/>
                      <wp:cNvGraphicFramePr/>
                      <a:graphic xmlns:a="http://schemas.openxmlformats.org/drawingml/2006/main">
                        <a:graphicData uri="http://schemas.microsoft.com/office/word/2010/wordprocessingShape">
                          <wps:wsp>
                            <wps:cNvSpPr/>
                            <wps:spPr>
                              <a:xfrm>
                                <a:off x="3780790" y="3726180"/>
                                <a:ext cx="133350" cy="16192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9.25pt;margin-top:196.05pt;height:12.75pt;width:10.5pt;z-index:251663360;v-text-anchor:middle;mso-width-relative:page;mso-height-relative:page;" fillcolor="#4F81BD [3204]" filled="t" stroked="t" coordsize="133350,161925" o:gfxdata="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5QtjtoAAAALAQAA&#10;DwAAAAAAAAABACAAAAAiAAAAZHJzL2Rvd25yZXYueG1sUEsBAhQAFAAAAAgAh07iQDbkvLGJAgAA&#10;EAUAAA4AAAAAAAAAAQAgAAAAKQEAAGRycy9lMm9Eb2MueG1sUEsFBgAAAAAGAAYAWQEAACQGAAAA&#10;AA==&#10;" path="m0,61849l50935,61850,66675,0,82414,61850,133349,61849,92142,100074,107882,161924,66675,123698,25467,161924,41207,100074xe">
                      <v:path o:connectlocs="66675,0;0,61849;25467,161924;107882,161924;133349,61849" o:connectangles="247,164,82,82,0"/>
                      <v:fill on="t" focussize="0,0"/>
                      <v:stroke weight="2pt" color="#376092 [2404]" joinstyle="round"/>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1970405</wp:posOffset>
                      </wp:positionH>
                      <wp:positionV relativeFrom="paragraph">
                        <wp:posOffset>2651760</wp:posOffset>
                      </wp:positionV>
                      <wp:extent cx="712470" cy="327660"/>
                      <wp:effectExtent l="5080" t="10795" r="6350" b="23495"/>
                      <wp:wrapNone/>
                      <wp:docPr id="11" name="直接箭头连接符 11"/>
                      <wp:cNvGraphicFramePr/>
                      <a:graphic xmlns:a="http://schemas.openxmlformats.org/drawingml/2006/main">
                        <a:graphicData uri="http://schemas.microsoft.com/office/word/2010/wordprocessingShape">
                          <wps:wsp>
                            <wps:cNvCnPr>
                              <a:stCxn id="9" idx="3"/>
                              <a:endCxn id="10" idx="2"/>
                            </wps:cNvCnPr>
                            <wps:spPr>
                              <a:xfrm flipV="1">
                                <a:off x="3274695" y="3859530"/>
                                <a:ext cx="712470" cy="3276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5.15pt;margin-top:208.8pt;height:25.8pt;width:56.1pt;z-index:251664384;mso-width-relative:page;mso-height-relative:page;" filled="f" stroked="t" coordsize="21600,21600" o:gfxdata="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P0+8jcAAAACwEAAA8AAAAAAAAAAQAgAAAAIgAAAGRycy9kb3ducmV2Lnht&#10;bFBLAQIUABQAAAAIAIdO4kBY4iTyLgIAACUEAAAOAAAAAAAAAAEAIAAAACsBAABkcnMvZTJvRG9j&#10;LnhtbFBLBQYAAAAABgAGAFkBAADLBQAAAAA=&#10;">
                      <v:fill on="f" focussize="0,0"/>
                      <v:stroke weight="2pt" color="#4F81BD [3204]" joinstyle="round" endarrow="open"/>
                      <v:imagedata o:title=""/>
                      <o:lock v:ext="edit" aspectratio="f"/>
                    </v:shape>
                  </w:pict>
                </mc:Fallback>
              </mc:AlternateContent>
            </w:r>
            <w:r>
              <w:rPr>
                <w:rFonts w:hint="default"/>
                <w:color w:val="000000"/>
                <w:lang w:val="en-US" w:eastAsia="zh-CN"/>
              </w:rPr>
              <w:drawing>
                <wp:inline distT="0" distB="0" distL="114300" distR="114300">
                  <wp:extent cx="5100320" cy="3610610"/>
                  <wp:effectExtent l="0" t="0" r="5080" b="8890"/>
                  <wp:docPr id="8" name="图片 1" descr="0419-承德市生态环境分区管控动态更新图集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0419-承德市生态环境分区管控动态更新图集_15"/>
                          <pic:cNvPicPr>
                            <a:picLocks noChangeAspect="1"/>
                          </pic:cNvPicPr>
                        </pic:nvPicPr>
                        <pic:blipFill>
                          <a:blip r:embed="rId13"/>
                          <a:stretch>
                            <a:fillRect/>
                          </a:stretch>
                        </pic:blipFill>
                        <pic:spPr>
                          <a:xfrm>
                            <a:off x="0" y="0"/>
                            <a:ext cx="5100320" cy="3610610"/>
                          </a:xfrm>
                          <a:prstGeom prst="rect">
                            <a:avLst/>
                          </a:prstGeom>
                          <a:noFill/>
                          <a:ln>
                            <a:noFill/>
                          </a:ln>
                        </pic:spPr>
                      </pic:pic>
                    </a:graphicData>
                  </a:graphic>
                </wp:inline>
              </w:drawing>
            </w:r>
          </w:p>
          <w:p w14:paraId="5B95EC5B">
            <w:pPr>
              <w:autoSpaceDE w:val="0"/>
              <w:autoSpaceDN w:val="0"/>
              <w:adjustRightInd w:val="0"/>
              <w:snapToGrid w:val="0"/>
              <w:spacing w:line="480" w:lineRule="exact"/>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图1-</w:t>
            </w:r>
            <w:r>
              <w:rPr>
                <w:rFonts w:hint="eastAsia"/>
                <w:b/>
                <w:bCs/>
                <w:color w:val="000000" w:themeColor="text1"/>
                <w:sz w:val="21"/>
                <w:szCs w:val="21"/>
                <w:lang w:val="en-US" w:eastAsia="zh-CN"/>
                <w14:textFill>
                  <w14:solidFill>
                    <w14:schemeClr w14:val="tx1"/>
                  </w14:solidFill>
                </w14:textFill>
              </w:rPr>
              <w:t>3</w:t>
            </w:r>
            <w:r>
              <w:rPr>
                <w:rFonts w:hint="eastAsia"/>
                <w:b/>
                <w:bCs/>
                <w:color w:val="000000" w:themeColor="text1"/>
                <w:sz w:val="21"/>
                <w:szCs w:val="21"/>
                <w14:textFill>
                  <w14:solidFill>
                    <w14:schemeClr w14:val="tx1"/>
                  </w14:solidFill>
                </w14:textFill>
              </w:rPr>
              <w:t xml:space="preserve"> </w:t>
            </w:r>
            <w:r>
              <w:rPr>
                <w:rFonts w:hint="eastAsia"/>
                <w:b/>
                <w:bCs/>
                <w:color w:val="000000" w:themeColor="text1"/>
                <w:sz w:val="21"/>
                <w:szCs w:val="21"/>
                <w:lang w:val="en-US" w:eastAsia="zh-CN"/>
                <w14:textFill>
                  <w14:solidFill>
                    <w14:schemeClr w14:val="tx1"/>
                  </w14:solidFill>
                </w14:textFill>
              </w:rPr>
              <w:t>项目涉及环境管控单元分布图</w:t>
            </w:r>
          </w:p>
          <w:p w14:paraId="0E8FF25C">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pPr>
            <w:r>
              <w:drawing>
                <wp:inline distT="0" distB="0" distL="114300" distR="114300">
                  <wp:extent cx="2653030" cy="2771775"/>
                  <wp:effectExtent l="0" t="0" r="13970"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2653030" cy="2771775"/>
                          </a:xfrm>
                          <a:prstGeom prst="rect">
                            <a:avLst/>
                          </a:prstGeom>
                          <a:noFill/>
                          <a:ln>
                            <a:noFill/>
                          </a:ln>
                        </pic:spPr>
                      </pic:pic>
                    </a:graphicData>
                  </a:graphic>
                </wp:inline>
              </w:drawing>
            </w:r>
            <w:r>
              <w:drawing>
                <wp:inline distT="0" distB="0" distL="114300" distR="114300">
                  <wp:extent cx="2625725" cy="2771775"/>
                  <wp:effectExtent l="0" t="0" r="317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5"/>
                          <a:srcRect b="7601"/>
                          <a:stretch>
                            <a:fillRect/>
                          </a:stretch>
                        </pic:blipFill>
                        <pic:spPr>
                          <a:xfrm>
                            <a:off x="0" y="0"/>
                            <a:ext cx="2625725" cy="2771775"/>
                          </a:xfrm>
                          <a:prstGeom prst="rect">
                            <a:avLst/>
                          </a:prstGeom>
                          <a:noFill/>
                          <a:ln>
                            <a:noFill/>
                          </a:ln>
                        </pic:spPr>
                      </pic:pic>
                    </a:graphicData>
                  </a:graphic>
                </wp:inline>
              </w:drawing>
            </w:r>
          </w:p>
          <w:p w14:paraId="11F5B0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b/>
                <w:bCs/>
                <w:color w:val="000000" w:themeColor="text1"/>
                <w:kern w:val="0"/>
                <w:szCs w:val="21"/>
                <w:lang w:val="en-US" w:eastAsia="zh-CN"/>
                <w14:textFill>
                  <w14:solidFill>
                    <w14:schemeClr w14:val="tx1"/>
                  </w14:solidFill>
                </w14:textFill>
              </w:rPr>
            </w:pPr>
            <w:r>
              <w:drawing>
                <wp:inline distT="0" distB="0" distL="114300" distR="114300">
                  <wp:extent cx="2513965" cy="2798445"/>
                  <wp:effectExtent l="0" t="0" r="635" b="19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2513965" cy="2798445"/>
                          </a:xfrm>
                          <a:prstGeom prst="rect">
                            <a:avLst/>
                          </a:prstGeom>
                          <a:noFill/>
                          <a:ln>
                            <a:noFill/>
                          </a:ln>
                        </pic:spPr>
                      </pic:pic>
                    </a:graphicData>
                  </a:graphic>
                </wp:inline>
              </w:drawing>
            </w:r>
            <w:r>
              <w:drawing>
                <wp:inline distT="0" distB="0" distL="114300" distR="114300">
                  <wp:extent cx="2580005" cy="2785745"/>
                  <wp:effectExtent l="0" t="0" r="10795" b="1460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7"/>
                          <a:stretch>
                            <a:fillRect/>
                          </a:stretch>
                        </pic:blipFill>
                        <pic:spPr>
                          <a:xfrm>
                            <a:off x="0" y="0"/>
                            <a:ext cx="2580005" cy="2785745"/>
                          </a:xfrm>
                          <a:prstGeom prst="rect">
                            <a:avLst/>
                          </a:prstGeom>
                          <a:noFill/>
                          <a:ln>
                            <a:noFill/>
                          </a:ln>
                        </pic:spPr>
                      </pic:pic>
                    </a:graphicData>
                  </a:graphic>
                </wp:inline>
              </w:drawing>
            </w:r>
          </w:p>
          <w:p w14:paraId="792067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b/>
                <w:bCs/>
                <w:color w:val="000000" w:themeColor="text1"/>
                <w:kern w:val="0"/>
                <w:szCs w:val="21"/>
                <w:lang w:val="en-US" w:eastAsia="zh-CN"/>
                <w14:textFill>
                  <w14:solidFill>
                    <w14:schemeClr w14:val="tx1"/>
                  </w14:solidFill>
                </w14:textFill>
              </w:rPr>
            </w:pPr>
            <w:r>
              <w:drawing>
                <wp:inline distT="0" distB="0" distL="114300" distR="114300">
                  <wp:extent cx="2566670" cy="2797175"/>
                  <wp:effectExtent l="0" t="0" r="5080" b="317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8"/>
                          <a:stretch>
                            <a:fillRect/>
                          </a:stretch>
                        </pic:blipFill>
                        <pic:spPr>
                          <a:xfrm>
                            <a:off x="0" y="0"/>
                            <a:ext cx="2566670" cy="2797175"/>
                          </a:xfrm>
                          <a:prstGeom prst="rect">
                            <a:avLst/>
                          </a:prstGeom>
                          <a:noFill/>
                          <a:ln>
                            <a:noFill/>
                          </a:ln>
                        </pic:spPr>
                      </pic:pic>
                    </a:graphicData>
                  </a:graphic>
                </wp:inline>
              </w:drawing>
            </w:r>
            <w:r>
              <w:drawing>
                <wp:inline distT="0" distB="0" distL="114300" distR="114300">
                  <wp:extent cx="2779395" cy="2797175"/>
                  <wp:effectExtent l="0" t="0" r="1905" b="317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9"/>
                          <a:stretch>
                            <a:fillRect/>
                          </a:stretch>
                        </pic:blipFill>
                        <pic:spPr>
                          <a:xfrm>
                            <a:off x="0" y="0"/>
                            <a:ext cx="2779395" cy="2797175"/>
                          </a:xfrm>
                          <a:prstGeom prst="rect">
                            <a:avLst/>
                          </a:prstGeom>
                          <a:noFill/>
                          <a:ln>
                            <a:noFill/>
                          </a:ln>
                        </pic:spPr>
                      </pic:pic>
                    </a:graphicData>
                  </a:graphic>
                </wp:inline>
              </w:drawing>
            </w:r>
          </w:p>
          <w:p w14:paraId="1F598976">
            <w:pPr>
              <w:keepNext w:val="0"/>
              <w:keepLines w:val="0"/>
              <w:pageBreakBefore w:val="0"/>
              <w:widowControl w:val="0"/>
              <w:kinsoku/>
              <w:wordWrap/>
              <w:overflowPunct/>
              <w:topLinePunct w:val="0"/>
              <w:autoSpaceDE w:val="0"/>
              <w:autoSpaceDN w:val="0"/>
              <w:bidi w:val="0"/>
              <w:adjustRightInd w:val="0"/>
              <w:snapToGrid w:val="0"/>
              <w:spacing w:line="480" w:lineRule="exact"/>
              <w:ind w:firstLine="422" w:firstLineChars="200"/>
              <w:jc w:val="left"/>
              <w:textAlignment w:val="auto"/>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3、</w:t>
            </w:r>
            <w:r>
              <w:rPr>
                <w:rFonts w:hint="eastAsia"/>
                <w:b/>
                <w:bCs/>
                <w:color w:val="000000" w:themeColor="text1"/>
                <w:kern w:val="0"/>
                <w:szCs w:val="21"/>
                <w14:textFill>
                  <w14:solidFill>
                    <w14:schemeClr w14:val="tx1"/>
                  </w14:solidFill>
                </w14:textFill>
              </w:rPr>
              <w:t>与冀环环评函﹝2019﹞308号符合性分析</w:t>
            </w:r>
          </w:p>
          <w:p w14:paraId="649DB4D2">
            <w:pPr>
              <w:autoSpaceDE w:val="0"/>
              <w:autoSpaceDN w:val="0"/>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产业政策符合性判定，本项目的建设符合国家、省管理要求，不在环境准入负面清单之列。对照《关于印发改善大气环境质量实施区域差别化环境准入的指导意见的通知》（冀环环评函﹝2019﹞308号），承德市属于重点生态功能区，依托现有资源适当发展生态旅游、商务会展等第三服务产业；积极发展农林牧业、食品加工、新能源等；重点建设制造、电子信息技术产业。重点提高矿山开采、金属制品加工等行业环境准入要求。禁止露天采矿、石灰和石制造、平板玻璃制造、氮肥制造等。</w:t>
            </w:r>
          </w:p>
          <w:p w14:paraId="4D0805DF">
            <w:pPr>
              <w:autoSpaceDE w:val="0"/>
              <w:autoSpaceDN w:val="0"/>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本项目为绿色发电企业上网的输变电工程项目，本次环评是</w:t>
            </w:r>
            <w:r>
              <w:rPr>
                <w:rFonts w:hint="eastAsia" w:ascii="Times New Roman" w:hAnsi="Times New Roman" w:cs="Times New Roman"/>
                <w:b w:val="0"/>
                <w:bCs w:val="0"/>
                <w:color w:val="000000" w:themeColor="text1"/>
                <w:szCs w:val="21"/>
                <w:lang w:val="en-US" w:eastAsia="zh-CN"/>
                <w14:textFill>
                  <w14:solidFill>
                    <w14:schemeClr w14:val="tx1"/>
                  </w14:solidFill>
                </w14:textFill>
              </w:rPr>
              <w:t>“京能国际承德县200MW光伏项目”</w:t>
            </w:r>
            <w:r>
              <w:rPr>
                <w:rFonts w:hint="eastAsia"/>
                <w:color w:val="000000" w:themeColor="text1"/>
                <w:szCs w:val="21"/>
                <w14:textFill>
                  <w14:solidFill>
                    <w14:schemeClr w14:val="tx1"/>
                  </w14:solidFill>
                </w14:textFill>
              </w:rPr>
              <w:t>配套的送出线路的辐射环评内容，不属于“改善大气环境质量实施差别化环境准入管理名录”中限制、禁止行业，符合</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关于印发改善大气环境质量实施区域差别化环境准入的指导意见的通知》（冀环环评函﹝2019﹞308号）要求。</w:t>
            </w:r>
          </w:p>
          <w:p w14:paraId="26BF8FA2">
            <w:pPr>
              <w:autoSpaceDE w:val="0"/>
              <w:autoSpaceDN w:val="0"/>
              <w:adjustRightInd w:val="0"/>
              <w:snapToGrid w:val="0"/>
              <w:spacing w:line="480" w:lineRule="exact"/>
              <w:jc w:val="left"/>
              <w:rPr>
                <w:b/>
                <w:bCs/>
                <w:color w:val="000000" w:themeColor="text1"/>
                <w:kern w:val="0"/>
                <w:szCs w:val="21"/>
                <w14:textFill>
                  <w14:solidFill>
                    <w14:schemeClr w14:val="tx1"/>
                  </w14:solidFill>
                </w14:textFill>
              </w:rPr>
            </w:pPr>
            <w:r>
              <w:rPr>
                <w:rFonts w:hint="eastAsia" w:ascii="宋体" w:hAnsi="宋体"/>
                <w:b/>
                <w:bCs/>
                <w:color w:val="000000" w:themeColor="text1"/>
                <w:kern w:val="0"/>
                <w:szCs w:val="21"/>
                <w:lang w:val="en-US" w:eastAsia="zh-CN"/>
                <w14:textFill>
                  <w14:solidFill>
                    <w14:schemeClr w14:val="tx1"/>
                  </w14:solidFill>
                </w14:textFill>
              </w:rPr>
              <w:t>三</w:t>
            </w:r>
            <w:r>
              <w:rPr>
                <w:rFonts w:ascii="宋体" w:hAnsi="宋体"/>
                <w:b/>
                <w:bCs/>
                <w:color w:val="000000" w:themeColor="text1"/>
                <w:kern w:val="0"/>
                <w:szCs w:val="21"/>
                <w14:textFill>
                  <w14:solidFill>
                    <w14:schemeClr w14:val="tx1"/>
                  </w14:solidFill>
                </w14:textFill>
              </w:rPr>
              <w:t>、</w:t>
            </w:r>
            <w:r>
              <w:rPr>
                <w:rFonts w:hint="eastAsia" w:ascii="宋体" w:hAnsi="宋体"/>
                <w:b/>
                <w:bCs/>
                <w:color w:val="000000" w:themeColor="text1"/>
                <w:kern w:val="0"/>
                <w:szCs w:val="21"/>
                <w:lang w:val="en-US" w:eastAsia="zh-CN"/>
                <w14:textFill>
                  <w14:solidFill>
                    <w14:schemeClr w14:val="tx1"/>
                  </w14:solidFill>
                </w14:textFill>
              </w:rPr>
              <w:t>生态环境保护规划</w:t>
            </w:r>
            <w:r>
              <w:rPr>
                <w:rFonts w:ascii="宋体" w:hAnsi="宋体"/>
                <w:b/>
                <w:bCs/>
                <w:color w:val="000000" w:themeColor="text1"/>
                <w:kern w:val="0"/>
                <w:szCs w:val="21"/>
                <w14:textFill>
                  <w14:solidFill>
                    <w14:schemeClr w14:val="tx1"/>
                  </w14:solidFill>
                </w14:textFill>
              </w:rPr>
              <w:t>符合性</w:t>
            </w:r>
            <w:r>
              <w:rPr>
                <w:rFonts w:hint="eastAsia" w:ascii="宋体" w:hAnsi="宋体"/>
                <w:b/>
                <w:bCs/>
                <w:color w:val="000000" w:themeColor="text1"/>
                <w:kern w:val="0"/>
                <w:szCs w:val="21"/>
                <w14:textFill>
                  <w14:solidFill>
                    <w14:schemeClr w14:val="tx1"/>
                  </w14:solidFill>
                </w14:textFill>
              </w:rPr>
              <w:t>分析</w:t>
            </w:r>
          </w:p>
          <w:p w14:paraId="0B86C803">
            <w:pPr>
              <w:keepNext w:val="0"/>
              <w:keepLines w:val="0"/>
              <w:pageBreakBefore w:val="0"/>
              <w:widowControl w:val="0"/>
              <w:kinsoku/>
              <w:wordWrap/>
              <w:overflowPunct/>
              <w:topLinePunct w:val="0"/>
              <w:autoSpaceDE w:val="0"/>
              <w:autoSpaceDN w:val="0"/>
              <w:bidi w:val="0"/>
              <w:adjustRightInd w:val="0"/>
              <w:snapToGrid w:val="0"/>
              <w:spacing w:line="480" w:lineRule="exact"/>
              <w:ind w:firstLine="422" w:firstLineChars="200"/>
              <w:jc w:val="both"/>
              <w:textAlignment w:val="auto"/>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1、河北省生态环境保护“十四五”规划</w:t>
            </w:r>
          </w:p>
          <w:p w14:paraId="59CE94F4">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对照《河北省生态环境保护“十四五”规划》（河北省人民政府</w:t>
            </w:r>
            <w:r>
              <w:rPr>
                <w:rFonts w:hint="default" w:ascii="Times New Roman" w:hAnsi="Times New Roman" w:cs="Times New Roman"/>
                <w:b w:val="0"/>
                <w:bCs w:val="0"/>
                <w:color w:val="000000" w:themeColor="text1"/>
                <w:szCs w:val="21"/>
                <w:lang w:val="en-US" w:eastAsia="zh-CN"/>
                <w14:textFill>
                  <w14:solidFill>
                    <w14:schemeClr w14:val="tx1"/>
                  </w14:solidFill>
                </w14:textFill>
              </w:rPr>
              <w:t>2022</w:t>
            </w:r>
            <w:r>
              <w:rPr>
                <w:rFonts w:hint="eastAsia" w:ascii="Times New Roman" w:hAnsi="Times New Roman" w:cs="Times New Roman"/>
                <w:b w:val="0"/>
                <w:bCs w:val="0"/>
                <w:color w:val="000000" w:themeColor="text1"/>
                <w:szCs w:val="21"/>
                <w:lang w:val="en-US" w:eastAsia="zh-CN"/>
                <w14:textFill>
                  <w14:solidFill>
                    <w14:schemeClr w14:val="tx1"/>
                  </w14:solidFill>
                </w14:textFill>
              </w:rPr>
              <w:t>年</w:t>
            </w:r>
            <w:r>
              <w:rPr>
                <w:rFonts w:hint="default" w:ascii="Times New Roman" w:hAnsi="Times New Roman" w:cs="Times New Roman"/>
                <w:b w:val="0"/>
                <w:bCs w:val="0"/>
                <w:color w:val="000000" w:themeColor="text1"/>
                <w:szCs w:val="21"/>
                <w:lang w:val="en-US" w:eastAsia="zh-CN"/>
                <w14:textFill>
                  <w14:solidFill>
                    <w14:schemeClr w14:val="tx1"/>
                  </w14:solidFill>
                </w14:textFill>
              </w:rPr>
              <w:t>1</w:t>
            </w:r>
            <w:r>
              <w:rPr>
                <w:rFonts w:hint="eastAsia" w:ascii="Times New Roman" w:hAnsi="Times New Roman" w:cs="Times New Roman"/>
                <w:b w:val="0"/>
                <w:bCs w:val="0"/>
                <w:color w:val="000000" w:themeColor="text1"/>
                <w:szCs w:val="21"/>
                <w:lang w:val="en-US" w:eastAsia="zh-CN"/>
                <w14:textFill>
                  <w14:solidFill>
                    <w14:schemeClr w14:val="tx1"/>
                  </w14:solidFill>
                </w14:textFill>
              </w:rPr>
              <w:t>月</w:t>
            </w:r>
            <w:r>
              <w:rPr>
                <w:rFonts w:hint="default" w:ascii="Times New Roman" w:hAnsi="Times New Roman" w:cs="Times New Roman"/>
                <w:b w:val="0"/>
                <w:bCs w:val="0"/>
                <w:color w:val="000000" w:themeColor="text1"/>
                <w:szCs w:val="21"/>
                <w:lang w:val="en-US" w:eastAsia="zh-CN"/>
                <w14:textFill>
                  <w14:solidFill>
                    <w14:schemeClr w14:val="tx1"/>
                  </w14:solidFill>
                </w14:textFill>
              </w:rPr>
              <w:t>12</w:t>
            </w:r>
            <w:r>
              <w:rPr>
                <w:rFonts w:hint="eastAsia" w:ascii="Times New Roman" w:hAnsi="Times New Roman" w:cs="Times New Roman"/>
                <w:b w:val="0"/>
                <w:bCs w:val="0"/>
                <w:color w:val="000000" w:themeColor="text1"/>
                <w:szCs w:val="21"/>
                <w:lang w:val="en-US" w:eastAsia="zh-CN"/>
                <w14:textFill>
                  <w14:solidFill>
                    <w14:schemeClr w14:val="tx1"/>
                  </w14:solidFill>
                </w14:textFill>
              </w:rPr>
              <w:t>日印发），规划中提出“推动能源清洁高效利用”，具体包括：调整优化能源供给结构。控制化石能源消费总量，推动非化石能源成为能源消费增量的主体。大力发展风能、太阳能等可再生能源发电，有序推动抽水蓄能电站规划建设，打造算北清洁能源基地，积极推动可再生能源制氢，完善产供储销配套设施，拓展氢能应用领域。新增可再生能源和原料用能不纳入能源消费总量控制，创造条件尽早实现能耗“双控”向碳排放总量和强度“双控”转变。坚持“增气减煤”同步，加强天然气基础设施建设，扩大管道气覆盖范围。因地制宜推进生物质热电联产，加快建设垃圾焚烧发电项目。到</w:t>
            </w:r>
            <w:r>
              <w:rPr>
                <w:rFonts w:hint="default" w:ascii="Times New Roman" w:hAnsi="Times New Roman" w:cs="Times New Roman"/>
                <w:b w:val="0"/>
                <w:bCs w:val="0"/>
                <w:color w:val="000000" w:themeColor="text1"/>
                <w:szCs w:val="21"/>
                <w:lang w:val="en-US" w:eastAsia="zh-CN"/>
                <w14:textFill>
                  <w14:solidFill>
                    <w14:schemeClr w14:val="tx1"/>
                  </w14:solidFill>
                </w14:textFill>
              </w:rPr>
              <w:t>2025</w:t>
            </w:r>
            <w:r>
              <w:rPr>
                <w:rFonts w:hint="eastAsia" w:ascii="Times New Roman" w:hAnsi="Times New Roman" w:cs="Times New Roman"/>
                <w:b w:val="0"/>
                <w:bCs w:val="0"/>
                <w:color w:val="000000" w:themeColor="text1"/>
                <w:szCs w:val="21"/>
                <w:lang w:val="en-US" w:eastAsia="zh-CN"/>
                <w14:textFill>
                  <w14:solidFill>
                    <w14:schemeClr w14:val="tx1"/>
                  </w14:solidFill>
                </w14:textFill>
              </w:rPr>
              <w:t>年，非化石能源消费占能源消费比重提高到</w:t>
            </w:r>
            <w:r>
              <w:rPr>
                <w:rFonts w:hint="default" w:ascii="Times New Roman" w:hAnsi="Times New Roman" w:cs="Times New Roman"/>
                <w:b w:val="0"/>
                <w:bCs w:val="0"/>
                <w:color w:val="000000" w:themeColor="text1"/>
                <w:szCs w:val="21"/>
                <w:lang w:val="en-US" w:eastAsia="zh-CN"/>
                <w14:textFill>
                  <w14:solidFill>
                    <w14:schemeClr w14:val="tx1"/>
                  </w14:solidFill>
                </w14:textFill>
              </w:rPr>
              <w:t>13%</w:t>
            </w:r>
            <w:r>
              <w:rPr>
                <w:rFonts w:hint="eastAsia" w:ascii="Times New Roman" w:hAnsi="Times New Roman" w:cs="Times New Roman"/>
                <w:b w:val="0"/>
                <w:bCs w:val="0"/>
                <w:color w:val="000000" w:themeColor="text1"/>
                <w:szCs w:val="21"/>
                <w:lang w:val="en-US" w:eastAsia="zh-CN"/>
                <w14:textFill>
                  <w14:solidFill>
                    <w14:schemeClr w14:val="tx1"/>
                  </w14:solidFill>
                </w14:textFill>
              </w:rPr>
              <w:t>以上，可再生能源装机占全部电力装机比重达到</w:t>
            </w:r>
            <w:r>
              <w:rPr>
                <w:rFonts w:hint="default" w:ascii="Times New Roman" w:hAnsi="Times New Roman" w:cs="Times New Roman"/>
                <w:b w:val="0"/>
                <w:bCs w:val="0"/>
                <w:color w:val="000000" w:themeColor="text1"/>
                <w:szCs w:val="21"/>
                <w:lang w:val="en-US" w:eastAsia="zh-CN"/>
                <w14:textFill>
                  <w14:solidFill>
                    <w14:schemeClr w14:val="tx1"/>
                  </w14:solidFill>
                </w14:textFill>
              </w:rPr>
              <w:t>60%</w:t>
            </w:r>
            <w:r>
              <w:rPr>
                <w:rFonts w:hint="eastAsia" w:ascii="Times New Roman" w:hAnsi="Times New Roman" w:cs="Times New Roman"/>
                <w:b w:val="0"/>
                <w:bCs w:val="0"/>
                <w:color w:val="000000" w:themeColor="text1"/>
                <w:szCs w:val="21"/>
                <w:lang w:val="en-US" w:eastAsia="zh-CN"/>
                <w14:textFill>
                  <w14:solidFill>
                    <w14:schemeClr w14:val="tx1"/>
                  </w14:solidFill>
                </w14:textFill>
              </w:rPr>
              <w:t>左右。</w:t>
            </w:r>
          </w:p>
          <w:p w14:paraId="424CFC6A">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本项目为“京能国际承德县200MW光伏项目”配套的送出线路工程，工程实施有利于提高清洁能源利用水平，有助于降低化石能源消费总量。因此，本项目符合河北省生态环境保护“十四五”规划相关要求。</w:t>
            </w:r>
          </w:p>
          <w:p w14:paraId="0FACAF9C">
            <w:pPr>
              <w:keepNext w:val="0"/>
              <w:keepLines w:val="0"/>
              <w:pageBreakBefore w:val="0"/>
              <w:widowControl w:val="0"/>
              <w:kinsoku/>
              <w:wordWrap/>
              <w:overflowPunct/>
              <w:topLinePunct w:val="0"/>
              <w:autoSpaceDE w:val="0"/>
              <w:autoSpaceDN w:val="0"/>
              <w:bidi w:val="0"/>
              <w:adjustRightInd w:val="0"/>
              <w:snapToGrid w:val="0"/>
              <w:spacing w:line="480" w:lineRule="exact"/>
              <w:ind w:firstLine="422" w:firstLineChars="200"/>
              <w:jc w:val="both"/>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2、承德市生态环境保护“十四五”规划</w:t>
            </w:r>
          </w:p>
          <w:p w14:paraId="3A2BAB95">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对照《承德市生态环境保护“十四五”规划》（承德市人民政府</w:t>
            </w:r>
            <w:r>
              <w:rPr>
                <w:rFonts w:hint="default" w:ascii="Times New Roman" w:hAnsi="Times New Roman" w:cs="Times New Roman"/>
                <w:b w:val="0"/>
                <w:bCs w:val="0"/>
                <w:color w:val="000000" w:themeColor="text1"/>
                <w:szCs w:val="21"/>
                <w:lang w:val="en-US" w:eastAsia="zh-CN"/>
                <w14:textFill>
                  <w14:solidFill>
                    <w14:schemeClr w14:val="tx1"/>
                  </w14:solidFill>
                </w14:textFill>
              </w:rPr>
              <w:t>2022</w:t>
            </w:r>
            <w:r>
              <w:rPr>
                <w:rFonts w:hint="eastAsia" w:ascii="Times New Roman" w:hAnsi="Times New Roman" w:cs="Times New Roman"/>
                <w:b w:val="0"/>
                <w:bCs w:val="0"/>
                <w:color w:val="000000" w:themeColor="text1"/>
                <w:szCs w:val="21"/>
                <w:lang w:val="en-US" w:eastAsia="zh-CN"/>
                <w14:textFill>
                  <w14:solidFill>
                    <w14:schemeClr w14:val="tx1"/>
                  </w14:solidFill>
                </w14:textFill>
              </w:rPr>
              <w:t>年</w:t>
            </w:r>
            <w:r>
              <w:rPr>
                <w:rFonts w:hint="default" w:ascii="Times New Roman" w:hAnsi="Times New Roman" w:cs="Times New Roman"/>
                <w:b w:val="0"/>
                <w:bCs w:val="0"/>
                <w:color w:val="000000" w:themeColor="text1"/>
                <w:szCs w:val="21"/>
                <w:lang w:val="en-US" w:eastAsia="zh-CN"/>
                <w14:textFill>
                  <w14:solidFill>
                    <w14:schemeClr w14:val="tx1"/>
                  </w14:solidFill>
                </w14:textFill>
              </w:rPr>
              <w:t>5</w:t>
            </w:r>
            <w:r>
              <w:rPr>
                <w:rFonts w:hint="eastAsia" w:ascii="Times New Roman" w:hAnsi="Times New Roman" w:cs="Times New Roman"/>
                <w:b w:val="0"/>
                <w:bCs w:val="0"/>
                <w:color w:val="000000" w:themeColor="text1"/>
                <w:szCs w:val="21"/>
                <w:lang w:val="en-US" w:eastAsia="zh-CN"/>
                <w14:textFill>
                  <w14:solidFill>
                    <w14:schemeClr w14:val="tx1"/>
                  </w14:solidFill>
                </w14:textFill>
              </w:rPr>
              <w:t>月</w:t>
            </w:r>
            <w:r>
              <w:rPr>
                <w:rFonts w:hint="default" w:ascii="Times New Roman" w:hAnsi="Times New Roman" w:cs="Times New Roman"/>
                <w:b w:val="0"/>
                <w:bCs w:val="0"/>
                <w:color w:val="000000" w:themeColor="text1"/>
                <w:szCs w:val="21"/>
                <w:lang w:val="en-US" w:eastAsia="zh-CN"/>
                <w14:textFill>
                  <w14:solidFill>
                    <w14:schemeClr w14:val="tx1"/>
                  </w14:solidFill>
                </w14:textFill>
              </w:rPr>
              <w:t>27</w:t>
            </w:r>
            <w:r>
              <w:rPr>
                <w:rFonts w:hint="eastAsia" w:ascii="Times New Roman" w:hAnsi="Times New Roman" w:cs="Times New Roman"/>
                <w:b w:val="0"/>
                <w:bCs w:val="0"/>
                <w:color w:val="000000" w:themeColor="text1"/>
                <w:szCs w:val="21"/>
                <w:lang w:val="en-US" w:eastAsia="zh-CN"/>
                <w14:textFill>
                  <w14:solidFill>
                    <w14:schemeClr w14:val="tx1"/>
                  </w14:solidFill>
                </w14:textFill>
              </w:rPr>
              <w:t>日发布），在规划重点任务中提出了“推动能源清洁高效利用”，具体包括：调整优化能源供给结构。控制化石能源消费总量，推动非化石能源成为能源消费增量的主体。大力发展风能、太阳能等可再生能源发电，有序推动抽水蓄能电站规划建设，加快承德百万千瓦风电基地二期、光伏发电应用基地和分布式光伏项目建设，推进丰宁、滦平等抽水蓄能电站建设，积极推动可再生能源制氢，完善产供储销配套设施，拓展氢能应用领域。坚持</w:t>
            </w:r>
            <w:r>
              <w:rPr>
                <w:rFonts w:hint="default" w:ascii="Times New Roman" w:hAnsi="Times New Roman" w:cs="Times New Roman"/>
                <w:b w:val="0"/>
                <w:bCs w:val="0"/>
                <w:color w:val="000000" w:themeColor="text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Cs w:val="21"/>
                <w:lang w:val="en-US" w:eastAsia="zh-CN"/>
                <w14:textFill>
                  <w14:solidFill>
                    <w14:schemeClr w14:val="tx1"/>
                  </w14:solidFill>
                </w14:textFill>
              </w:rPr>
              <w:t>增气减煤</w:t>
            </w:r>
            <w:r>
              <w:rPr>
                <w:rFonts w:hint="default" w:ascii="Times New Roman" w:hAnsi="Times New Roman" w:cs="Times New Roman"/>
                <w:b w:val="0"/>
                <w:bCs w:val="0"/>
                <w:color w:val="000000" w:themeColor="text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Cs w:val="21"/>
                <w:lang w:val="en-US" w:eastAsia="zh-CN"/>
                <w14:textFill>
                  <w14:solidFill>
                    <w14:schemeClr w14:val="tx1"/>
                  </w14:solidFill>
                </w14:textFill>
              </w:rPr>
              <w:t>同步，加强天然气基础设施建设，扩大管道气覆盖范围。因地制宜推进生物质热电联产，加快建设垃圾焚烧发电项目。到</w:t>
            </w:r>
            <w:r>
              <w:rPr>
                <w:rFonts w:hint="default" w:ascii="Times New Roman" w:hAnsi="Times New Roman" w:cs="Times New Roman"/>
                <w:b w:val="0"/>
                <w:bCs w:val="0"/>
                <w:color w:val="000000" w:themeColor="text1"/>
                <w:szCs w:val="21"/>
                <w:lang w:val="en-US" w:eastAsia="zh-CN"/>
                <w14:textFill>
                  <w14:solidFill>
                    <w14:schemeClr w14:val="tx1"/>
                  </w14:solidFill>
                </w14:textFill>
              </w:rPr>
              <w:t>2025</w:t>
            </w:r>
            <w:r>
              <w:rPr>
                <w:rFonts w:hint="eastAsia" w:ascii="Times New Roman" w:hAnsi="Times New Roman" w:cs="Times New Roman"/>
                <w:b w:val="0"/>
                <w:bCs w:val="0"/>
                <w:color w:val="000000" w:themeColor="text1"/>
                <w:szCs w:val="21"/>
                <w:lang w:val="en-US" w:eastAsia="zh-CN"/>
                <w14:textFill>
                  <w14:solidFill>
                    <w14:schemeClr w14:val="tx1"/>
                  </w14:solidFill>
                </w14:textFill>
              </w:rPr>
              <w:t>年，非化石能源消费占能源消费比重和可再生能源装机占全部电力装机比重明显提升。</w:t>
            </w:r>
          </w:p>
          <w:p w14:paraId="2CF37C39">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本项目为光伏发电项目配套的</w:t>
            </w:r>
            <w:r>
              <w:rPr>
                <w:rFonts w:hint="eastAsia" w:cs="Times New Roman"/>
                <w:b w:val="0"/>
                <w:bCs w:val="0"/>
                <w:color w:val="000000" w:themeColor="text1"/>
                <w:szCs w:val="21"/>
                <w:lang w:val="en-US" w:eastAsia="zh-CN"/>
                <w14:textFill>
                  <w14:solidFill>
                    <w14:schemeClr w14:val="tx1"/>
                  </w14:solidFill>
                </w14:textFill>
              </w:rPr>
              <w:t>输电线路</w:t>
            </w:r>
            <w:r>
              <w:rPr>
                <w:rFonts w:hint="eastAsia" w:ascii="Times New Roman" w:hAnsi="Times New Roman" w:cs="Times New Roman"/>
                <w:b w:val="0"/>
                <w:bCs w:val="0"/>
                <w:color w:val="000000" w:themeColor="text1"/>
                <w:szCs w:val="21"/>
                <w:lang w:val="en-US" w:eastAsia="zh-CN"/>
                <w14:textFill>
                  <w14:solidFill>
                    <w14:schemeClr w14:val="tx1"/>
                  </w14:solidFill>
                </w14:textFill>
              </w:rPr>
              <w:t>工程，属于承德市大力推进的清洁能源的组成部分，工程实施有利于降低化石能源消费总量，提高可再生能源装机比重。因此，本项目符合承德市生态环境保护“十四五”规划相关要求。</w:t>
            </w:r>
          </w:p>
          <w:p w14:paraId="5C4BE938">
            <w:pPr>
              <w:keepNext w:val="0"/>
              <w:keepLines w:val="0"/>
              <w:pageBreakBefore w:val="0"/>
              <w:widowControl w:val="0"/>
              <w:kinsoku/>
              <w:wordWrap/>
              <w:overflowPunct/>
              <w:topLinePunct w:val="0"/>
              <w:autoSpaceDE w:val="0"/>
              <w:autoSpaceDN w:val="0"/>
              <w:bidi w:val="0"/>
              <w:adjustRightInd w:val="0"/>
              <w:snapToGrid w:val="0"/>
              <w:spacing w:line="480" w:lineRule="exact"/>
              <w:ind w:firstLine="422" w:firstLineChars="200"/>
              <w:jc w:val="both"/>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3、承德市重点水源涵养生态功能保护区规划</w:t>
            </w:r>
          </w:p>
          <w:p w14:paraId="5BE2FD9D">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根据《承德市重点水源涵养生态功能保护区规划》，</w:t>
            </w:r>
            <w:r>
              <w:rPr>
                <w:rFonts w:hint="eastAsia" w:cs="Times New Roman"/>
                <w:b w:val="0"/>
                <w:bCs w:val="0"/>
                <w:color w:val="000000" w:themeColor="text1"/>
                <w:szCs w:val="21"/>
                <w:lang w:val="en-US" w:eastAsia="zh-CN"/>
                <w14:textFill>
                  <w14:solidFill>
                    <w14:schemeClr w14:val="tx1"/>
                  </w14:solidFill>
                </w14:textFill>
              </w:rPr>
              <w:t>本项目位于“承德县、双桥燕山山地北部灌草生态系统、水土保持（水土流失重点防治）功能保护区”内，如下图所示：</w:t>
            </w:r>
          </w:p>
          <w:p w14:paraId="6513E467">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5E048825">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2F7C32EA">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70ADCC90">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2323049C">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7A174554">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32334A8C">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4097D291">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1A6E4FE3">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46F46EE8">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4FEA90DE">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5B2EBEEA">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482770CF">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s="Times New Roman"/>
                <w:b w:val="0"/>
                <w:bCs w:val="0"/>
                <w:color w:val="000000" w:themeColor="text1"/>
                <w:szCs w:val="21"/>
                <w:lang w:val="en-US" w:eastAsia="zh-CN"/>
                <w14:textFill>
                  <w14:solidFill>
                    <w14:schemeClr w14:val="tx1"/>
                  </w14:solidFill>
                </w14:textFill>
              </w:rPr>
            </w:pPr>
          </w:p>
          <w:p w14:paraId="73B0334D">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default" w:cs="Times New Roman"/>
                <w:b w:val="0"/>
                <w:bCs w:val="0"/>
                <w:color w:val="000000" w:themeColor="text1"/>
                <w:szCs w:val="21"/>
                <w:lang w:val="en-US" w:eastAsia="zh-CN"/>
                <w14:textFill>
                  <w14:solidFill>
                    <w14:schemeClr w14:val="tx1"/>
                  </w14:solidFill>
                </w14:textFill>
              </w:rPr>
            </w:pPr>
          </w:p>
          <w:p w14:paraId="0DD012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000000" w:themeColor="text1"/>
                <w:szCs w:val="21"/>
                <w:lang w:val="en-US" w:eastAsia="zh-CN"/>
                <w14:textFill>
                  <w14:solidFill>
                    <w14:schemeClr w14:val="tx1"/>
                  </w14:solidFill>
                </w14:textFill>
              </w:rPr>
            </w:pPr>
            <w:r>
              <w:drawing>
                <wp:anchor distT="0" distB="0" distL="114300" distR="114300" simplePos="0" relativeHeight="251669504" behindDoc="0" locked="0" layoutInCell="1" allowOverlap="1">
                  <wp:simplePos x="0" y="0"/>
                  <wp:positionH relativeFrom="column">
                    <wp:posOffset>1063625</wp:posOffset>
                  </wp:positionH>
                  <wp:positionV relativeFrom="paragraph">
                    <wp:posOffset>3390265</wp:posOffset>
                  </wp:positionV>
                  <wp:extent cx="549275" cy="286385"/>
                  <wp:effectExtent l="0" t="0" r="3175" b="18415"/>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0"/>
                          <a:stretch>
                            <a:fillRect/>
                          </a:stretch>
                        </pic:blipFill>
                        <pic:spPr>
                          <a:xfrm>
                            <a:off x="0" y="0"/>
                            <a:ext cx="549275" cy="286385"/>
                          </a:xfrm>
                          <a:prstGeom prst="rect">
                            <a:avLst/>
                          </a:prstGeom>
                          <a:noFill/>
                          <a:ln>
                            <a:noFill/>
                          </a:ln>
                        </pic:spPr>
                      </pic:pic>
                    </a:graphicData>
                  </a:graphic>
                </wp:anchor>
              </w:drawing>
            </w:r>
            <w:r>
              <w:rPr>
                <w:sz w:val="21"/>
              </w:rPr>
              <mc:AlternateContent>
                <mc:Choice Requires="wps">
                  <w:drawing>
                    <wp:anchor distT="0" distB="0" distL="114300" distR="114300" simplePos="0" relativeHeight="251668480" behindDoc="0" locked="0" layoutInCell="1" allowOverlap="1">
                      <wp:simplePos x="0" y="0"/>
                      <wp:positionH relativeFrom="column">
                        <wp:posOffset>3510280</wp:posOffset>
                      </wp:positionH>
                      <wp:positionV relativeFrom="paragraph">
                        <wp:posOffset>2555875</wp:posOffset>
                      </wp:positionV>
                      <wp:extent cx="161925" cy="142875"/>
                      <wp:effectExtent l="12700" t="12700" r="15875" b="15875"/>
                      <wp:wrapNone/>
                      <wp:docPr id="35" name="五角星 35"/>
                      <wp:cNvGraphicFramePr/>
                      <a:graphic xmlns:a="http://schemas.openxmlformats.org/drawingml/2006/main">
                        <a:graphicData uri="http://schemas.microsoft.com/office/word/2010/wordprocessingShape">
                          <wps:wsp>
                            <wps:cNvSpPr/>
                            <wps:spPr>
                              <a:xfrm>
                                <a:off x="4728845" y="3535045"/>
                                <a:ext cx="161925" cy="142875"/>
                              </a:xfrm>
                              <a:prstGeom prst="star5">
                                <a:avLst>
                                  <a:gd name="adj" fmla="val 37135"/>
                                  <a:gd name="hf" fmla="val 105146"/>
                                  <a:gd name="vf" fmla="val 110557"/>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6.4pt;margin-top:201.25pt;height:11.25pt;width:12.75pt;z-index:251668480;v-text-anchor:middle;mso-width-relative:page;mso-height-relative:page;" fillcolor="#4F81BD [3204]" filled="t" stroked="t" coordsize="161925,142875" o:gfxdata="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X+4sY2gAAAAsBAAAPAAAAAAAA&#10;AAEAIAAAACIAAABkcnMvZG93bnJldi54bWxQSwECFAAUAAAACACHTuJA5Mgc47sCAACCBQAADgAA&#10;AAAAAAABACAAAAApAQAAZHJzL2Uyb0RvYy54bWxQSwUGAAAAAAYABgBZAQAAVgYAAAAA&#10;" path="m0,54573l43799,31523,80962,0,118125,31523,161924,54573,141093,97105,130999,142874,80962,137636,30925,142874,20831,97105xe">
                      <v:path o:connectlocs="80962,0;0,54573;30925,142874;130999,142874;161924,54573" o:connectangles="247,164,82,82,0"/>
                      <v:fill on="t" focussize="0,0"/>
                      <v:stroke weight="2pt" color="#376092 [2404]" joinstyle="round"/>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2748280</wp:posOffset>
                      </wp:positionH>
                      <wp:positionV relativeFrom="paragraph">
                        <wp:posOffset>2546350</wp:posOffset>
                      </wp:positionV>
                      <wp:extent cx="733425" cy="47625"/>
                      <wp:effectExtent l="635" t="15875" r="8890" b="50800"/>
                      <wp:wrapNone/>
                      <wp:docPr id="34" name="直接箭头连接符 34"/>
                      <wp:cNvGraphicFramePr/>
                      <a:graphic xmlns:a="http://schemas.openxmlformats.org/drawingml/2006/main">
                        <a:graphicData uri="http://schemas.microsoft.com/office/word/2010/wordprocessingShape">
                          <wps:wsp>
                            <wps:cNvCnPr/>
                            <wps:spPr>
                              <a:xfrm>
                                <a:off x="3966845" y="3649345"/>
                                <a:ext cx="733425" cy="476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4pt;margin-top:200.5pt;height:3.75pt;width:57.75pt;z-index:251667456;mso-width-relative:page;mso-height-relative:page;" filled="f" stroked="t" coordsize="21600,21600" o:gfxdata="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1L1dwAAAALAQAADwAAAAAAAAAB&#10;ACAAAAAiAAAAZHJzL2Rvd25yZXYueG1sUEsBAhQAFAAAAAgAh07iQLQjs9AMAgAA2QMAAA4AAAAA&#10;AAAAAQAgAAAAKwEAAGRycy9lMm9Eb2MueG1sUEsFBgAAAAAGAAYAWQEAAKkFAAAAAA==&#10;">
                      <v:fill on="f" focussize="0,0"/>
                      <v:stroke weight="2pt" color="#4F81BD [3204]" joinstyle="round" endarrow="open"/>
                      <v:imagedata o:title=""/>
                      <o:lock v:ext="edit" aspectratio="f"/>
                    </v:shape>
                  </w:pict>
                </mc:Fallback>
              </mc:AlternateContent>
            </w:r>
            <w:r>
              <w:drawing>
                <wp:anchor distT="0" distB="0" distL="114300" distR="114300" simplePos="0" relativeHeight="251666432" behindDoc="0" locked="0" layoutInCell="1" allowOverlap="1">
                  <wp:simplePos x="0" y="0"/>
                  <wp:positionH relativeFrom="column">
                    <wp:posOffset>979170</wp:posOffset>
                  </wp:positionH>
                  <wp:positionV relativeFrom="paragraph">
                    <wp:posOffset>2528570</wp:posOffset>
                  </wp:positionV>
                  <wp:extent cx="1809750" cy="1176655"/>
                  <wp:effectExtent l="0" t="0" r="0" b="4445"/>
                  <wp:wrapNone/>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1"/>
                          <a:stretch>
                            <a:fillRect/>
                          </a:stretch>
                        </pic:blipFill>
                        <pic:spPr>
                          <a:xfrm>
                            <a:off x="0" y="0"/>
                            <a:ext cx="1809750" cy="1176655"/>
                          </a:xfrm>
                          <a:prstGeom prst="rect">
                            <a:avLst/>
                          </a:prstGeom>
                          <a:noFill/>
                          <a:ln>
                            <a:noFill/>
                          </a:ln>
                        </pic:spPr>
                      </pic:pic>
                    </a:graphicData>
                  </a:graphic>
                </wp:anchor>
              </w:drawing>
            </w:r>
            <w:r>
              <w:rPr>
                <w:rFonts w:hint="eastAsia" w:ascii="Times New Roman" w:hAnsi="Times New Roman" w:cs="Times New Roman"/>
                <w:b w:val="0"/>
                <w:bCs w:val="0"/>
                <w:color w:val="000000" w:themeColor="text1"/>
                <w:szCs w:val="21"/>
                <w:lang w:val="en-US" w:eastAsia="zh-CN"/>
                <w14:textFill>
                  <w14:solidFill>
                    <w14:schemeClr w14:val="tx1"/>
                  </w14:solidFill>
                </w14:textFill>
              </w:rPr>
              <w:drawing>
                <wp:inline distT="0" distB="0" distL="114300" distR="114300">
                  <wp:extent cx="3800475" cy="5172075"/>
                  <wp:effectExtent l="0" t="0" r="9525" b="9525"/>
                  <wp:docPr id="25" name="图片 25" descr="水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水源"/>
                          <pic:cNvPicPr>
                            <a:picLocks noChangeAspect="1"/>
                          </pic:cNvPicPr>
                        </pic:nvPicPr>
                        <pic:blipFill>
                          <a:blip r:embed="rId22"/>
                          <a:stretch>
                            <a:fillRect/>
                          </a:stretch>
                        </pic:blipFill>
                        <pic:spPr>
                          <a:xfrm>
                            <a:off x="0" y="0"/>
                            <a:ext cx="3800475" cy="5172075"/>
                          </a:xfrm>
                          <a:prstGeom prst="rect">
                            <a:avLst/>
                          </a:prstGeom>
                        </pic:spPr>
                      </pic:pic>
                    </a:graphicData>
                  </a:graphic>
                </wp:inline>
              </w:drawing>
            </w:r>
          </w:p>
          <w:p w14:paraId="6A1BB6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000000" w:themeColor="text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图1-</w:t>
            </w:r>
            <w:r>
              <w:rPr>
                <w:rFonts w:hint="eastAsia"/>
                <w:b/>
                <w:bCs/>
                <w:color w:val="000000" w:themeColor="text1"/>
                <w:sz w:val="21"/>
                <w:szCs w:val="21"/>
                <w:lang w:val="en-US" w:eastAsia="zh-CN"/>
                <w14:textFill>
                  <w14:solidFill>
                    <w14:schemeClr w14:val="tx1"/>
                  </w14:solidFill>
                </w14:textFill>
              </w:rPr>
              <w:t>4</w:t>
            </w:r>
            <w:r>
              <w:rPr>
                <w:rFonts w:hint="eastAsia"/>
                <w:b/>
                <w:bCs/>
                <w:color w:val="000000" w:themeColor="text1"/>
                <w:sz w:val="21"/>
                <w:szCs w:val="21"/>
                <w14:textFill>
                  <w14:solidFill>
                    <w14:schemeClr w14:val="tx1"/>
                  </w14:solidFill>
                </w14:textFill>
              </w:rPr>
              <w:t xml:space="preserve"> </w:t>
            </w:r>
            <w:r>
              <w:rPr>
                <w:rFonts w:hint="eastAsia"/>
                <w:b/>
                <w:bCs/>
                <w:color w:val="000000" w:themeColor="text1"/>
                <w:sz w:val="21"/>
                <w:szCs w:val="21"/>
                <w:lang w:val="en-US" w:eastAsia="zh-CN"/>
                <w14:textFill>
                  <w14:solidFill>
                    <w14:schemeClr w14:val="tx1"/>
                  </w14:solidFill>
                </w14:textFill>
              </w:rPr>
              <w:t>本项目与承德市重点水源涵养生态功能保护区的关系图</w:t>
            </w:r>
          </w:p>
          <w:p w14:paraId="2BE05910">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ascii="Times New Roman" w:hAnsi="Times New Roman" w:cs="Times New Roman"/>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本工程实施水土流失防治，不仅将新增的水土流失进行防治，还结合水土流失重点防治区的划分和治理规划的要求，对项目区原有的水土流失进行治理。工程建设过程中的水土流失防治按照水土流失防治分区，针对不同区域、不同工程部位，因地制宜布置水土流失防治措施。采取工程措施、植物措施、临时措施和预防保护措施相结合的综合防治措施，在时间和空间上形成一个完整的水土保持防治体系。同时项目在线路路径优化的基础上避开城镇建成区、风景名胜区，少占矿区、林地、耕地，可以满足上述环境功能区划要求。因此本项目的建设不会对项目区域生态功能区产生明显的环境影响。</w:t>
            </w:r>
          </w:p>
          <w:p w14:paraId="61463599">
            <w:pPr>
              <w:autoSpaceDE w:val="0"/>
              <w:autoSpaceDN w:val="0"/>
              <w:adjustRightInd w:val="0"/>
              <w:snapToGrid w:val="0"/>
              <w:spacing w:line="480" w:lineRule="exact"/>
              <w:jc w:val="left"/>
              <w:rPr>
                <w:b/>
                <w:bCs/>
                <w:color w:val="000000" w:themeColor="text1"/>
                <w:kern w:val="0"/>
                <w:szCs w:val="21"/>
                <w14:textFill>
                  <w14:solidFill>
                    <w14:schemeClr w14:val="tx1"/>
                  </w14:solidFill>
                </w14:textFill>
              </w:rPr>
            </w:pPr>
            <w:r>
              <w:rPr>
                <w:rFonts w:hint="eastAsia" w:ascii="宋体" w:hAnsi="宋体"/>
                <w:b/>
                <w:bCs/>
                <w:color w:val="000000" w:themeColor="text1"/>
                <w:kern w:val="0"/>
                <w:szCs w:val="21"/>
                <w:lang w:val="en-US" w:eastAsia="zh-CN"/>
                <w14:textFill>
                  <w14:solidFill>
                    <w14:schemeClr w14:val="tx1"/>
                  </w14:solidFill>
                </w14:textFill>
              </w:rPr>
              <w:t>四</w:t>
            </w:r>
            <w:r>
              <w:rPr>
                <w:rFonts w:ascii="宋体" w:hAnsi="宋体"/>
                <w:b/>
                <w:bCs/>
                <w:color w:val="000000" w:themeColor="text1"/>
                <w:kern w:val="0"/>
                <w:szCs w:val="21"/>
                <w14:textFill>
                  <w14:solidFill>
                    <w14:schemeClr w14:val="tx1"/>
                  </w14:solidFill>
                </w14:textFill>
              </w:rPr>
              <w:t>、</w:t>
            </w:r>
            <w:r>
              <w:rPr>
                <w:rFonts w:hint="eastAsia" w:ascii="宋体" w:hAnsi="宋体"/>
                <w:b/>
                <w:bCs/>
                <w:color w:val="000000" w:themeColor="text1"/>
                <w:kern w:val="0"/>
                <w:szCs w:val="21"/>
                <w:lang w:val="en-US" w:eastAsia="zh-CN"/>
                <w14:textFill>
                  <w14:solidFill>
                    <w14:schemeClr w14:val="tx1"/>
                  </w14:solidFill>
                </w14:textFill>
              </w:rPr>
              <w:t>国土空间规划</w:t>
            </w:r>
            <w:r>
              <w:rPr>
                <w:rFonts w:ascii="宋体" w:hAnsi="宋体"/>
                <w:b/>
                <w:bCs/>
                <w:color w:val="000000" w:themeColor="text1"/>
                <w:kern w:val="0"/>
                <w:szCs w:val="21"/>
                <w14:textFill>
                  <w14:solidFill>
                    <w14:schemeClr w14:val="tx1"/>
                  </w14:solidFill>
                </w14:textFill>
              </w:rPr>
              <w:t>符合性</w:t>
            </w:r>
            <w:r>
              <w:rPr>
                <w:rFonts w:hint="eastAsia" w:ascii="宋体" w:hAnsi="宋体"/>
                <w:b/>
                <w:bCs/>
                <w:color w:val="000000" w:themeColor="text1"/>
                <w:kern w:val="0"/>
                <w:szCs w:val="21"/>
                <w14:textFill>
                  <w14:solidFill>
                    <w14:schemeClr w14:val="tx1"/>
                  </w14:solidFill>
                </w14:textFill>
              </w:rPr>
              <w:t>分析</w:t>
            </w:r>
          </w:p>
          <w:p w14:paraId="0643B84A">
            <w:pPr>
              <w:keepNext w:val="0"/>
              <w:keepLines w:val="0"/>
              <w:pageBreakBefore w:val="0"/>
              <w:widowControl w:val="0"/>
              <w:kinsoku/>
              <w:wordWrap/>
              <w:overflowPunct/>
              <w:topLinePunct w:val="0"/>
              <w:autoSpaceDE w:val="0"/>
              <w:autoSpaceDN w:val="0"/>
              <w:bidi w:val="0"/>
              <w:adjustRightInd w:val="0"/>
              <w:snapToGrid w:val="0"/>
              <w:spacing w:line="480" w:lineRule="exact"/>
              <w:ind w:firstLine="422" w:firstLineChars="200"/>
              <w:jc w:val="both"/>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1、</w:t>
            </w:r>
            <w:r>
              <w:rPr>
                <w:rFonts w:hint="eastAsia" w:ascii="Times New Roman" w:hAnsi="Times New Roman" w:cs="Times New Roman"/>
                <w:b/>
                <w:bCs/>
                <w:color w:val="000000" w:themeColor="text1"/>
                <w:szCs w:val="21"/>
                <w:lang w:eastAsia="zh-CN"/>
                <w14:textFill>
                  <w14:solidFill>
                    <w14:schemeClr w14:val="tx1"/>
                  </w14:solidFill>
                </w14:textFill>
              </w:rPr>
              <w:t>《</w:t>
            </w:r>
            <w:r>
              <w:rPr>
                <w:rFonts w:hint="eastAsia" w:ascii="Times New Roman" w:hAnsi="Times New Roman" w:cs="Times New Roman"/>
                <w:b/>
                <w:bCs/>
                <w:color w:val="000000" w:themeColor="text1"/>
                <w:szCs w:val="21"/>
                <w:lang w:val="en-US" w:eastAsia="zh-CN"/>
                <w14:textFill>
                  <w14:solidFill>
                    <w14:schemeClr w14:val="tx1"/>
                  </w14:solidFill>
                </w14:textFill>
              </w:rPr>
              <w:t>承德县国土空间总体规划（2021-2035年）</w:t>
            </w:r>
            <w:r>
              <w:rPr>
                <w:rFonts w:hint="eastAsia" w:ascii="Times New Roman" w:hAnsi="Times New Roman" w:cs="Times New Roman"/>
                <w:b/>
                <w:bCs/>
                <w:color w:val="000000" w:themeColor="text1"/>
                <w:szCs w:val="21"/>
                <w:lang w:eastAsia="zh-CN"/>
                <w14:textFill>
                  <w14:solidFill>
                    <w14:schemeClr w14:val="tx1"/>
                  </w14:solidFill>
                </w14:textFill>
              </w:rPr>
              <w:t>》</w:t>
            </w:r>
            <w:r>
              <w:rPr>
                <w:rFonts w:hint="eastAsia" w:ascii="Times New Roman" w:hAnsi="Times New Roman" w:cs="Times New Roman"/>
                <w:b/>
                <w:bCs/>
                <w:color w:val="000000" w:themeColor="text1"/>
                <w:szCs w:val="21"/>
                <w:lang w:val="en-US" w:eastAsia="zh-CN"/>
                <w14:textFill>
                  <w14:solidFill>
                    <w14:schemeClr w14:val="tx1"/>
                  </w14:solidFill>
                </w14:textFill>
              </w:rPr>
              <w:t>符合性分析</w:t>
            </w:r>
          </w:p>
          <w:p w14:paraId="34C0766D">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根据《承德县国土空间总体规划（</w:t>
            </w:r>
            <w:r>
              <w:rPr>
                <w:rFonts w:hint="default" w:ascii="Times New Roman" w:hAnsi="Times New Roman" w:cs="Times New Roman"/>
                <w:b w:val="0"/>
                <w:bCs w:val="0"/>
                <w:color w:val="000000" w:themeColor="text1"/>
                <w:szCs w:val="21"/>
                <w:lang w:val="en-US" w:eastAsia="zh-CN"/>
                <w14:textFill>
                  <w14:solidFill>
                    <w14:schemeClr w14:val="tx1"/>
                  </w14:solidFill>
                </w14:textFill>
              </w:rPr>
              <w:t>2020-2035</w:t>
            </w:r>
            <w:r>
              <w:rPr>
                <w:rFonts w:hint="eastAsia" w:ascii="Times New Roman" w:hAnsi="Times New Roman" w:cs="Times New Roman"/>
                <w:b w:val="0"/>
                <w:bCs w:val="0"/>
                <w:color w:val="000000" w:themeColor="text1"/>
                <w:szCs w:val="21"/>
                <w:lang w:val="en-US" w:eastAsia="zh-CN"/>
                <w14:textFill>
                  <w14:solidFill>
                    <w14:schemeClr w14:val="tx1"/>
                  </w14:solidFill>
                </w14:textFill>
              </w:rPr>
              <w:t>年）》：调整能源结构，推进能源综合利用。提高清洁能源比重。推广使用天然气、沼气、清洁煤、生物质能等清洁能源，完善电网结构。加快淘汰分散燃煤锅炉，以热电联产、集中供热和清洁能源替代。到</w:t>
            </w:r>
            <w:r>
              <w:rPr>
                <w:rFonts w:hint="default" w:ascii="Times New Roman" w:hAnsi="Times New Roman" w:cs="Times New Roman"/>
                <w:b w:val="0"/>
                <w:bCs w:val="0"/>
                <w:color w:val="000000" w:themeColor="text1"/>
                <w:szCs w:val="21"/>
                <w:lang w:val="en-US" w:eastAsia="zh-CN"/>
                <w14:textFill>
                  <w14:solidFill>
                    <w14:schemeClr w14:val="tx1"/>
                  </w14:solidFill>
                </w14:textFill>
              </w:rPr>
              <w:t>2035</w:t>
            </w:r>
            <w:r>
              <w:rPr>
                <w:rFonts w:hint="eastAsia" w:ascii="Times New Roman" w:hAnsi="Times New Roman" w:cs="Times New Roman"/>
                <w:b w:val="0"/>
                <w:bCs w:val="0"/>
                <w:color w:val="000000" w:themeColor="text1"/>
                <w:szCs w:val="21"/>
                <w:lang w:val="en-US" w:eastAsia="zh-CN"/>
                <w14:textFill>
                  <w14:solidFill>
                    <w14:schemeClr w14:val="tx1"/>
                  </w14:solidFill>
                </w14:textFill>
              </w:rPr>
              <w:t>年，县城燃气普及率达到</w:t>
            </w:r>
            <w:r>
              <w:rPr>
                <w:rFonts w:hint="default" w:ascii="Times New Roman" w:hAnsi="Times New Roman" w:cs="Times New Roman"/>
                <w:b w:val="0"/>
                <w:bCs w:val="0"/>
                <w:color w:val="000000" w:themeColor="text1"/>
                <w:szCs w:val="21"/>
                <w:lang w:val="en-US" w:eastAsia="zh-CN"/>
                <w14:textFill>
                  <w14:solidFill>
                    <w14:schemeClr w14:val="tx1"/>
                  </w14:solidFill>
                </w14:textFill>
              </w:rPr>
              <w:t>99%</w:t>
            </w:r>
            <w:r>
              <w:rPr>
                <w:rFonts w:hint="eastAsia" w:ascii="Times New Roman" w:hAnsi="Times New Roman" w:cs="Times New Roman"/>
                <w:b w:val="0"/>
                <w:bCs w:val="0"/>
                <w:color w:val="000000" w:themeColor="text1"/>
                <w:szCs w:val="21"/>
                <w:lang w:val="en-US" w:eastAsia="zh-CN"/>
                <w14:textFill>
                  <w14:solidFill>
                    <w14:schemeClr w14:val="tx1"/>
                  </w14:solidFill>
                </w14:textFill>
              </w:rPr>
              <w:t>以上，集中供热和清洁能源供暖率达到</w:t>
            </w:r>
            <w:r>
              <w:rPr>
                <w:rFonts w:hint="default" w:ascii="Times New Roman" w:hAnsi="Times New Roman" w:cs="Times New Roman"/>
                <w:b w:val="0"/>
                <w:bCs w:val="0"/>
                <w:color w:val="000000" w:themeColor="text1"/>
                <w:szCs w:val="21"/>
                <w:lang w:val="en-US" w:eastAsia="zh-CN"/>
                <w14:textFill>
                  <w14:solidFill>
                    <w14:schemeClr w14:val="tx1"/>
                  </w14:solidFill>
                </w14:textFill>
              </w:rPr>
              <w:t>100%</w:t>
            </w:r>
            <w:r>
              <w:rPr>
                <w:rFonts w:hint="eastAsia" w:ascii="Times New Roman" w:hAnsi="Times New Roman" w:cs="Times New Roman"/>
                <w:b w:val="0"/>
                <w:bCs w:val="0"/>
                <w:color w:val="000000" w:themeColor="text1"/>
                <w:szCs w:val="21"/>
                <w:lang w:val="en-US" w:eastAsia="zh-CN"/>
                <w14:textFill>
                  <w14:solidFill>
                    <w14:schemeClr w14:val="tx1"/>
                  </w14:solidFill>
                </w14:textFill>
              </w:rPr>
              <w:t>。完善县域大型供电设施建设，满足县域供电需求。形成以</w:t>
            </w:r>
            <w:r>
              <w:rPr>
                <w:rFonts w:hint="default" w:ascii="Times New Roman" w:hAnsi="Times New Roman" w:cs="Times New Roman"/>
                <w:b w:val="0"/>
                <w:bCs w:val="0"/>
                <w:color w:val="000000" w:themeColor="text1"/>
                <w:szCs w:val="21"/>
                <w:lang w:val="en-US" w:eastAsia="zh-CN"/>
                <w14:textFill>
                  <w14:solidFill>
                    <w14:schemeClr w14:val="tx1"/>
                  </w14:solidFill>
                </w14:textFill>
              </w:rPr>
              <w:t>220kV</w:t>
            </w:r>
            <w:r>
              <w:rPr>
                <w:rFonts w:hint="eastAsia" w:ascii="Times New Roman" w:hAnsi="Times New Roman" w:cs="Times New Roman"/>
                <w:b w:val="0"/>
                <w:bCs w:val="0"/>
                <w:color w:val="000000" w:themeColor="text1"/>
                <w:szCs w:val="21"/>
                <w:lang w:val="en-US" w:eastAsia="zh-CN"/>
                <w14:textFill>
                  <w14:solidFill>
                    <w14:schemeClr w14:val="tx1"/>
                  </w14:solidFill>
                </w14:textFill>
              </w:rPr>
              <w:t>环网为主网架，以</w:t>
            </w:r>
            <w:r>
              <w:rPr>
                <w:rFonts w:hint="default" w:ascii="Times New Roman" w:hAnsi="Times New Roman" w:cs="Times New Roman"/>
                <w:b w:val="0"/>
                <w:bCs w:val="0"/>
                <w:color w:val="000000" w:themeColor="text1"/>
                <w:szCs w:val="21"/>
                <w:lang w:val="en-US" w:eastAsia="zh-CN"/>
                <w14:textFill>
                  <w14:solidFill>
                    <w14:schemeClr w14:val="tx1"/>
                  </w14:solidFill>
                </w14:textFill>
              </w:rPr>
              <w:t>220kV</w:t>
            </w:r>
            <w:r>
              <w:rPr>
                <w:rFonts w:hint="eastAsia" w:ascii="Times New Roman" w:hAnsi="Times New Roman" w:cs="Times New Roman"/>
                <w:b w:val="0"/>
                <w:bCs w:val="0"/>
                <w:color w:val="000000" w:themeColor="text1"/>
                <w:szCs w:val="21"/>
                <w:lang w:val="en-US" w:eastAsia="zh-CN"/>
                <w14:textFill>
                  <w14:solidFill>
                    <w14:schemeClr w14:val="tx1"/>
                  </w14:solidFill>
                </w14:textFill>
              </w:rPr>
              <w:t>变电站为电源点，以</w:t>
            </w:r>
            <w:r>
              <w:rPr>
                <w:rFonts w:hint="default" w:ascii="Times New Roman" w:hAnsi="Times New Roman" w:cs="Times New Roman"/>
                <w:b w:val="0"/>
                <w:bCs w:val="0"/>
                <w:color w:val="000000" w:themeColor="text1"/>
                <w:szCs w:val="21"/>
                <w:lang w:val="en-US" w:eastAsia="zh-CN"/>
                <w14:textFill>
                  <w14:solidFill>
                    <w14:schemeClr w14:val="tx1"/>
                  </w14:solidFill>
                </w14:textFill>
              </w:rPr>
              <w:t>110kV</w:t>
            </w:r>
            <w:r>
              <w:rPr>
                <w:rFonts w:hint="eastAsia" w:ascii="Times New Roman" w:hAnsi="Times New Roman" w:cs="Times New Roman"/>
                <w:b w:val="0"/>
                <w:bCs w:val="0"/>
                <w:color w:val="000000" w:themeColor="text1"/>
                <w:szCs w:val="21"/>
                <w:lang w:val="en-US" w:eastAsia="zh-CN"/>
                <w14:textFill>
                  <w14:solidFill>
                    <w14:schemeClr w14:val="tx1"/>
                  </w14:solidFill>
                </w14:textFill>
              </w:rPr>
              <w:t>（</w:t>
            </w:r>
            <w:r>
              <w:rPr>
                <w:rFonts w:hint="default" w:ascii="Times New Roman" w:hAnsi="Times New Roman" w:cs="Times New Roman"/>
                <w:b w:val="0"/>
                <w:bCs w:val="0"/>
                <w:color w:val="000000" w:themeColor="text1"/>
                <w:szCs w:val="21"/>
                <w:lang w:val="en-US" w:eastAsia="zh-CN"/>
                <w14:textFill>
                  <w14:solidFill>
                    <w14:schemeClr w14:val="tx1"/>
                  </w14:solidFill>
                </w14:textFill>
              </w:rPr>
              <w:t>35kV</w:t>
            </w:r>
            <w:r>
              <w:rPr>
                <w:rFonts w:hint="eastAsia" w:ascii="Times New Roman" w:hAnsi="Times New Roman" w:cs="Times New Roman"/>
                <w:b w:val="0"/>
                <w:bCs w:val="0"/>
                <w:color w:val="000000" w:themeColor="text1"/>
                <w:szCs w:val="21"/>
                <w:lang w:val="en-US" w:eastAsia="zh-CN"/>
                <w14:textFill>
                  <w14:solidFill>
                    <w14:schemeClr w14:val="tx1"/>
                  </w14:solidFill>
                </w14:textFill>
              </w:rPr>
              <w:t>）变电站为负荷站电网结线合理的供电网络。</w:t>
            </w:r>
          </w:p>
          <w:p w14:paraId="78760750">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ascii="Times New Roman" w:hAnsi="Times New Roman" w:cs="Times New Roman"/>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本项目送出线路接入丰晟220kV升压站，本项目的实施有利于提高清洁能源比例、优化电网结构，有利于促进国土空间规划中基础设施规划的落实。因此，本项目符合</w:t>
            </w:r>
            <w:r>
              <w:rPr>
                <w:rFonts w:hint="eastAsia" w:ascii="Times New Roman" w:hAnsi="Times New Roman" w:cs="Times New Roman"/>
                <w:b w:val="0"/>
                <w:bCs w:val="0"/>
                <w:color w:val="000000" w:themeColor="text1"/>
                <w:szCs w:val="21"/>
                <w:lang w:eastAsia="zh-CN"/>
                <w14:textFill>
                  <w14:solidFill>
                    <w14:schemeClr w14:val="tx1"/>
                  </w14:solidFill>
                </w14:textFill>
              </w:rPr>
              <w:t>《</w:t>
            </w:r>
            <w:r>
              <w:rPr>
                <w:rFonts w:hint="eastAsia" w:ascii="Times New Roman" w:hAnsi="Times New Roman" w:cs="Times New Roman"/>
                <w:b w:val="0"/>
                <w:bCs w:val="0"/>
                <w:color w:val="000000" w:themeColor="text1"/>
                <w:szCs w:val="21"/>
                <w:lang w:val="en-US" w:eastAsia="zh-CN"/>
                <w14:textFill>
                  <w14:solidFill>
                    <w14:schemeClr w14:val="tx1"/>
                  </w14:solidFill>
                </w14:textFill>
              </w:rPr>
              <w:t>承德县国土空间总体规划（2021-2035年）</w:t>
            </w:r>
            <w:r>
              <w:rPr>
                <w:rFonts w:hint="eastAsia" w:ascii="Times New Roman" w:hAnsi="Times New Roman" w:cs="Times New Roman"/>
                <w:b w:val="0"/>
                <w:bCs w:val="0"/>
                <w:color w:val="000000" w:themeColor="text1"/>
                <w:szCs w:val="21"/>
                <w:lang w:eastAsia="zh-CN"/>
                <w14:textFill>
                  <w14:solidFill>
                    <w14:schemeClr w14:val="tx1"/>
                  </w14:solidFill>
                </w14:textFill>
              </w:rPr>
              <w:t>》。</w:t>
            </w:r>
          </w:p>
          <w:p w14:paraId="3383455D">
            <w:pPr>
              <w:keepNext w:val="0"/>
              <w:keepLines w:val="0"/>
              <w:pageBreakBefore w:val="0"/>
              <w:widowControl w:val="0"/>
              <w:kinsoku/>
              <w:wordWrap/>
              <w:overflowPunct/>
              <w:topLinePunct w:val="0"/>
              <w:autoSpaceDE w:val="0"/>
              <w:autoSpaceDN w:val="0"/>
              <w:bidi w:val="0"/>
              <w:adjustRightInd w:val="0"/>
              <w:snapToGrid w:val="0"/>
              <w:spacing w:line="480" w:lineRule="exact"/>
              <w:ind w:firstLine="422" w:firstLineChars="200"/>
              <w:jc w:val="both"/>
              <w:textAlignment w:val="auto"/>
              <w:rPr>
                <w:rFonts w:hint="eastAsia" w:ascii="Times New Roman" w:hAnsi="Times New Roman"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2、《关于在国土空间规划中统筹划定落实三条控制线的指导意见》符合性分析</w:t>
            </w:r>
          </w:p>
          <w:p w14:paraId="68D16C7B">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依据《关于在国土空间规划中统筹划定落实三条控制线的指导意见》的总体要求，到2035年，通过加强国土空间规划实施管理，严守三条控制线，引导形成科学适度有序的国土空间布局体系</w:t>
            </w:r>
            <w:r>
              <w:rPr>
                <w:rFonts w:hint="eastAsia" w:ascii="Times New Roman" w:hAnsi="Times New Roman" w:cs="Times New Roman"/>
                <w:b w:val="0"/>
                <w:bCs w:val="0"/>
                <w:color w:val="000000" w:themeColor="text1"/>
                <w:szCs w:val="21"/>
                <w:lang w:val="en-US" w:eastAsia="zh-CN"/>
                <w14:textFill>
                  <w14:solidFill>
                    <w14:schemeClr w14:val="tx1"/>
                  </w14:solidFill>
                </w14:textFill>
              </w:rPr>
              <w:t>。</w:t>
            </w:r>
          </w:p>
          <w:p w14:paraId="6DF10B6A">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eastAsia"/>
                <w:color w:val="000000" w:themeColor="text1"/>
                <w:kern w:val="0"/>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根据</w:t>
            </w:r>
            <w:r>
              <w:rPr>
                <w:rFonts w:hint="eastAsia"/>
                <w:color w:val="000000" w:themeColor="text1"/>
                <w:kern w:val="0"/>
                <w:szCs w:val="21"/>
                <w:lang w:val="en-US" w:eastAsia="zh-CN"/>
                <w14:textFill>
                  <w14:solidFill>
                    <w14:schemeClr w14:val="tx1"/>
                  </w14:solidFill>
                </w14:textFill>
              </w:rPr>
              <w:t>承德县自然资源和规划局出具的《关于京能国际承德县200MW光伏项目220千伏送出线路路径用地的回函》，项目拟选址范围不涉及生态保护红线、不涉及耕地和基本农田。因此，本项目符合《关于在国土空间规划中统筹划定落实三条控制线的指导意见》管控要求。</w:t>
            </w:r>
          </w:p>
          <w:p w14:paraId="200E13BB">
            <w:pPr>
              <w:numPr>
                <w:ilvl w:val="0"/>
                <w:numId w:val="0"/>
              </w:numPr>
              <w:autoSpaceDE w:val="0"/>
              <w:autoSpaceDN w:val="0"/>
              <w:adjustRightInd w:val="0"/>
              <w:snapToGrid w:val="0"/>
              <w:spacing w:line="480" w:lineRule="exact"/>
              <w:jc w:val="left"/>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五、</w:t>
            </w:r>
            <w:r>
              <w:rPr>
                <w:b/>
                <w:bCs/>
                <w:color w:val="000000" w:themeColor="text1"/>
                <w:kern w:val="0"/>
                <w:szCs w:val="21"/>
                <w14:textFill>
                  <w14:solidFill>
                    <w14:schemeClr w14:val="tx1"/>
                  </w14:solidFill>
                </w14:textFill>
              </w:rPr>
              <w:t>行业规划符合性</w:t>
            </w:r>
          </w:p>
          <w:p w14:paraId="293A1F51">
            <w:pPr>
              <w:autoSpaceDE w:val="0"/>
              <w:autoSpaceDN w:val="0"/>
              <w:adjustRightInd w:val="0"/>
              <w:snapToGrid w:val="0"/>
              <w:spacing w:line="480" w:lineRule="exact"/>
              <w:jc w:val="left"/>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1、承德市电网布局相关规划符合性</w:t>
            </w:r>
          </w:p>
          <w:p w14:paraId="7884E691">
            <w:pPr>
              <w:wordWrap w:val="0"/>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承德市能源“十四五”规划和2035年远景目标纲要》提出，“构建综合能源体系，提升电力设施保障能力和智慧化水平，完善油气管网和新能源配套基础设施，强化能源安全保障能力。提升电力设施保障能力和智慧化水平。全力实施清洁能源送出工程，加快建设承德首座1000千伏特高压升压站，同步配套建设500千伏升压站项目，形成“三站一送大基地”清洁能源送出网架，着力提升清洁能源消纳送出能力。加快推进智能电网和微电网示范项目建设。”</w:t>
            </w:r>
          </w:p>
          <w:p w14:paraId="00EE710E">
            <w:pPr>
              <w:wordWrap w:val="0"/>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对照电网发展规划，“十四五”期间，规划在承德地区新建承德北和牌楼2座500kV新能源汇集站，以满足承德北部地区新能源汇集送出的需求，并规划新建宽城（承德东）至唐山东（滦县）双回500kV线路（第四通道），以提高承德电网的外送能力。“至2025年，承德电网主体结构与2022年保持基本不变，依托承德、金山岭、御道口、宽城4座500kV升压站，在220kV层面建成承德</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高寺台</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隆城</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周营子</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金山岭</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屯南</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营子</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柴河</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热河</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袁庄</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西营子</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袁庄</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承德升压站的双环网结构，以及承德</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榆树沟</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瀑河</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都山</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承德东</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森园</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建平</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承德不完全双环结构。”</w:t>
            </w:r>
          </w:p>
          <w:p w14:paraId="0EE43DC8">
            <w:pPr>
              <w:wordWrap w:val="0"/>
              <w:autoSpaceDE w:val="0"/>
              <w:autoSpaceDN w:val="0"/>
              <w:adjustRightInd w:val="0"/>
              <w:snapToGrid w:val="0"/>
              <w:spacing w:line="480" w:lineRule="exact"/>
              <w:ind w:firstLine="420" w:firstLineChars="200"/>
              <w:jc w:val="left"/>
              <w:rPr>
                <w:color w:val="000000" w:themeColor="text1"/>
                <w:szCs w:val="21"/>
                <w14:textFill>
                  <w14:solidFill>
                    <w14:schemeClr w14:val="tx1"/>
                  </w14:solidFill>
                </w14:textFill>
              </w:rPr>
            </w:pPr>
            <w:r>
              <w:rPr>
                <w:color w:val="000000" w:themeColor="text1"/>
                <w14:textFill>
                  <w14:solidFill>
                    <w14:schemeClr w14:val="tx1"/>
                  </w14:solidFill>
                </w14:textFill>
              </w:rPr>
              <w:t>本项目为绿色发电企业上网的输变电工程项目，</w:t>
            </w:r>
            <w:r>
              <w:rPr>
                <w:rFonts w:hint="eastAsia"/>
                <w:color w:val="000000" w:themeColor="text1"/>
                <w:szCs w:val="21"/>
                <w14:textFill>
                  <w14:solidFill>
                    <w14:schemeClr w14:val="tx1"/>
                  </w14:solidFill>
                </w14:textFill>
              </w:rPr>
              <w:t>本次环评是</w:t>
            </w:r>
            <w:r>
              <w:rPr>
                <w:rFonts w:hint="eastAsia" w:ascii="Times New Roman" w:hAnsi="Times New Roman" w:cs="Times New Roman"/>
                <w:b w:val="0"/>
                <w:bCs w:val="0"/>
                <w:color w:val="000000" w:themeColor="text1"/>
                <w:szCs w:val="21"/>
                <w:lang w:val="en-US" w:eastAsia="zh-CN"/>
                <w14:textFill>
                  <w14:solidFill>
                    <w14:schemeClr w14:val="tx1"/>
                  </w14:solidFill>
                </w14:textFill>
              </w:rPr>
              <w:t>“京能国际承德县200MW光伏项目”</w:t>
            </w:r>
            <w:r>
              <w:rPr>
                <w:rFonts w:hint="eastAsia"/>
                <w:color w:val="000000" w:themeColor="text1"/>
                <w:szCs w:val="21"/>
                <w14:textFill>
                  <w14:solidFill>
                    <w14:schemeClr w14:val="tx1"/>
                  </w14:solidFill>
                </w14:textFill>
              </w:rPr>
              <w:t>配套的送出线路的辐射环评内容，有利于促进综合能源体系的构建，可保证清洁能源的顺利并网。</w:t>
            </w:r>
          </w:p>
          <w:p w14:paraId="73885804">
            <w:pPr>
              <w:wordWrap w:val="0"/>
              <w:autoSpaceDE w:val="0"/>
              <w:autoSpaceDN w:val="0"/>
              <w:adjustRightInd w:val="0"/>
              <w:snapToGrid w:val="0"/>
              <w:jc w:val="center"/>
              <w:rPr>
                <w:color w:val="000000" w:themeColor="text1"/>
                <w:kern w:val="0"/>
                <w:szCs w:val="21"/>
                <w14:textFill>
                  <w14:solidFill>
                    <w14:schemeClr w14:val="tx1"/>
                  </w14:solidFill>
                </w14:textFill>
              </w:rPr>
            </w:pPr>
            <w:r>
              <w:drawing>
                <wp:inline distT="0" distB="0" distL="114300" distR="114300">
                  <wp:extent cx="5267325" cy="2676525"/>
                  <wp:effectExtent l="0" t="0" r="9525" b="952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3"/>
                          <a:stretch>
                            <a:fillRect/>
                          </a:stretch>
                        </pic:blipFill>
                        <pic:spPr>
                          <a:xfrm>
                            <a:off x="0" y="0"/>
                            <a:ext cx="5267325" cy="2676525"/>
                          </a:xfrm>
                          <a:prstGeom prst="rect">
                            <a:avLst/>
                          </a:prstGeom>
                          <a:noFill/>
                          <a:ln>
                            <a:noFill/>
                          </a:ln>
                        </pic:spPr>
                      </pic:pic>
                    </a:graphicData>
                  </a:graphic>
                </wp:inline>
              </w:drawing>
            </w:r>
          </w:p>
          <w:p w14:paraId="6E5DC3E9">
            <w:pPr>
              <w:wordWrap w:val="0"/>
              <w:autoSpaceDE w:val="0"/>
              <w:autoSpaceDN w:val="0"/>
              <w:adjustRightInd w:val="0"/>
              <w:snapToGrid w:val="0"/>
              <w:spacing w:line="480" w:lineRule="exact"/>
              <w:jc w:val="center"/>
              <w:rPr>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图1-</w:t>
            </w:r>
            <w:r>
              <w:rPr>
                <w:rFonts w:hint="eastAsia"/>
                <w:b/>
                <w:bCs/>
                <w:color w:val="000000" w:themeColor="text1"/>
                <w:kern w:val="0"/>
                <w:szCs w:val="21"/>
                <w:lang w:val="en-US" w:eastAsia="zh-CN"/>
                <w14:textFill>
                  <w14:solidFill>
                    <w14:schemeClr w14:val="tx1"/>
                  </w14:solidFill>
                </w14:textFill>
              </w:rPr>
              <w:t>5</w:t>
            </w:r>
            <w:r>
              <w:rPr>
                <w:b/>
                <w:bCs/>
                <w:color w:val="000000" w:themeColor="text1"/>
                <w:kern w:val="0"/>
                <w:szCs w:val="21"/>
                <w14:textFill>
                  <w14:solidFill>
                    <w14:schemeClr w14:val="tx1"/>
                  </w14:solidFill>
                </w14:textFill>
              </w:rPr>
              <w:t xml:space="preserve"> </w:t>
            </w:r>
            <w:r>
              <w:rPr>
                <w:rFonts w:hint="eastAsia"/>
                <w:b/>
                <w:bCs/>
                <w:color w:val="000000" w:themeColor="text1"/>
                <w14:textFill>
                  <w14:solidFill>
                    <w14:schemeClr w14:val="tx1"/>
                  </w14:solidFill>
                </w14:textFill>
              </w:rPr>
              <w:t>本项目接入系统方案示意图</w:t>
            </w:r>
          </w:p>
          <w:p w14:paraId="5104CA00">
            <w:pPr>
              <w:wordWrap w:val="0"/>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本项目电力输送至</w:t>
            </w:r>
            <w:r>
              <w:rPr>
                <w:rFonts w:hint="eastAsia"/>
                <w:color w:val="000000" w:themeColor="text1"/>
                <w:kern w:val="0"/>
                <w:szCs w:val="21"/>
                <w:lang w:val="en-US" w:eastAsia="zh-CN"/>
                <w14:textFill>
                  <w14:solidFill>
                    <w14:schemeClr w14:val="tx1"/>
                  </w14:solidFill>
                </w14:textFill>
              </w:rPr>
              <w:t>丰晟220</w:t>
            </w:r>
            <w:r>
              <w:rPr>
                <w:rFonts w:hint="eastAsia"/>
                <w:color w:val="000000" w:themeColor="text1"/>
                <w:kern w:val="0"/>
                <w:szCs w:val="21"/>
                <w14:textFill>
                  <w14:solidFill>
                    <w14:schemeClr w14:val="tx1"/>
                  </w14:solidFill>
                </w14:textFill>
              </w:rPr>
              <w:t>kV</w:t>
            </w:r>
            <w:r>
              <w:rPr>
                <w:rFonts w:hint="eastAsia"/>
                <w:color w:val="000000" w:themeColor="text1"/>
                <w:kern w:val="0"/>
                <w:szCs w:val="21"/>
                <w:lang w:val="en-US" w:eastAsia="zh-CN"/>
                <w14:textFill>
                  <w14:solidFill>
                    <w14:schemeClr w14:val="tx1"/>
                  </w14:solidFill>
                </w14:textFill>
              </w:rPr>
              <w:t>升压</w:t>
            </w:r>
            <w:r>
              <w:rPr>
                <w:rFonts w:hint="eastAsia"/>
                <w:color w:val="000000" w:themeColor="text1"/>
                <w:kern w:val="0"/>
                <w:szCs w:val="21"/>
                <w14:textFill>
                  <w14:solidFill>
                    <w14:schemeClr w14:val="tx1"/>
                  </w14:solidFill>
                </w14:textFill>
              </w:rPr>
              <w:t>站，不改变区域输电系统结构，项目接入系统方案符合当地</w:t>
            </w:r>
            <w:r>
              <w:rPr>
                <w:rFonts w:hint="eastAsia"/>
                <w:color w:val="000000" w:themeColor="text1"/>
                <w:kern w:val="0"/>
                <w:szCs w:val="21"/>
                <w:lang w:val="en-US" w:eastAsia="zh-CN"/>
                <w14:textFill>
                  <w14:solidFill>
                    <w14:schemeClr w14:val="tx1"/>
                  </w14:solidFill>
                </w14:textFill>
              </w:rPr>
              <w:t>光伏</w:t>
            </w:r>
            <w:r>
              <w:rPr>
                <w:rFonts w:hint="eastAsia"/>
                <w:color w:val="000000" w:themeColor="text1"/>
                <w:kern w:val="0"/>
                <w:szCs w:val="21"/>
                <w14:textFill>
                  <w14:solidFill>
                    <w14:schemeClr w14:val="tx1"/>
                  </w14:solidFill>
                </w14:textFill>
              </w:rPr>
              <w:t>发电项目总体布局。项目建设有利于完善该区域线网架设，提高地区风光互补发电供应的可靠性。项目不改变承德电网主体结构，符合承德市电网布局相关规划要求。</w:t>
            </w:r>
          </w:p>
          <w:p w14:paraId="08801F31">
            <w:pPr>
              <w:autoSpaceDE w:val="0"/>
              <w:autoSpaceDN w:val="0"/>
              <w:adjustRightInd w:val="0"/>
              <w:snapToGrid w:val="0"/>
              <w:spacing w:line="480" w:lineRule="exact"/>
              <w:jc w:val="left"/>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2</w:t>
            </w:r>
            <w:r>
              <w:rPr>
                <w:b/>
                <w:bCs/>
                <w:color w:val="000000" w:themeColor="text1"/>
                <w:kern w:val="0"/>
                <w:szCs w:val="21"/>
                <w14:textFill>
                  <w14:solidFill>
                    <w14:schemeClr w14:val="tx1"/>
                  </w14:solidFill>
                </w14:textFill>
              </w:rPr>
              <w:t>.《输变电建设项目环境保护技术要求》（HJ1113-2020）符合性分析</w:t>
            </w:r>
          </w:p>
          <w:p w14:paraId="66762CFB">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根据本表前述分析，项目的建设不涉及“法律、法规、国务院决定等明确设立且与市场准入相关的禁止性规定”，为《产业结构调整指导目录（20</w:t>
            </w:r>
            <w:r>
              <w:rPr>
                <w:rFonts w:hint="eastAsia"/>
                <w:color w:val="000000" w:themeColor="text1"/>
                <w:kern w:val="0"/>
                <w:szCs w:val="21"/>
                <w14:textFill>
                  <w14:solidFill>
                    <w14:schemeClr w14:val="tx1"/>
                  </w14:solidFill>
                </w14:textFill>
              </w:rPr>
              <w:t>24</w:t>
            </w:r>
            <w:r>
              <w:rPr>
                <w:color w:val="000000" w:themeColor="text1"/>
                <w:kern w:val="0"/>
                <w:szCs w:val="21"/>
                <w14:textFill>
                  <w14:solidFill>
                    <w14:schemeClr w14:val="tx1"/>
                  </w14:solidFill>
                </w14:textFill>
              </w:rPr>
              <w:t>年本）》 “第一类鼓励类”中的“电网改造及建设”项目，建设与运营过程无国家产业政策明令淘汰和限制的产品、技术、工艺、设备及行为，符合省、市、县（区）生态功能区划、“三线一单”及生态红线管控清单要求，符合市县（区）二级“十四五”规划，不属于“不符合主体功能区建设要求的各类开发活动”。同时，项目的建设已取得承德市数据和政务服务局的核准（承数政核字</w:t>
            </w:r>
            <w:r>
              <w:rPr>
                <w:rFonts w:hint="eastAsia"/>
                <w:color w:val="000000" w:themeColor="text1"/>
                <w:kern w:val="0"/>
                <w:szCs w:val="21"/>
                <w:lang w:eastAsia="zh-CN"/>
                <w14:textFill>
                  <w14:solidFill>
                    <w14:schemeClr w14:val="tx1"/>
                  </w14:solidFill>
                </w14:textFill>
              </w:rPr>
              <w:t>〔2024〕25号</w:t>
            </w:r>
            <w:r>
              <w:rPr>
                <w:color w:val="000000" w:themeColor="text1"/>
                <w:kern w:val="0"/>
                <w:szCs w:val="21"/>
                <w14:textFill>
                  <w14:solidFill>
                    <w14:schemeClr w14:val="tx1"/>
                  </w14:solidFill>
                </w14:textFill>
              </w:rPr>
              <w:t>），获得了许可准入。不属于《市场准入负面清单（20</w:t>
            </w:r>
            <w:r>
              <w:rPr>
                <w:rFonts w:hint="eastAsia"/>
                <w:color w:val="000000" w:themeColor="text1"/>
                <w:kern w:val="0"/>
                <w:szCs w:val="21"/>
                <w:lang w:val="en-US" w:eastAsia="zh-CN"/>
                <w14:textFill>
                  <w14:solidFill>
                    <w14:schemeClr w14:val="tx1"/>
                  </w14:solidFill>
                </w14:textFill>
              </w:rPr>
              <w:t>25</w:t>
            </w:r>
            <w:r>
              <w:rPr>
                <w:color w:val="000000" w:themeColor="text1"/>
                <w:kern w:val="0"/>
                <w:szCs w:val="21"/>
                <w14:textFill>
                  <w14:solidFill>
                    <w14:schemeClr w14:val="tx1"/>
                  </w14:solidFill>
                </w14:textFill>
              </w:rPr>
              <w:t>年版）》禁止准入内容。</w:t>
            </w:r>
          </w:p>
          <w:p w14:paraId="6B9529BE">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根据本表前述分析，项目中输电线路建设受诸多因素影响，从投资强度、建设难度及环境保护角度考虑，完全绕行红线区。项目的建设与运营过程对环境各要素将产生影响，但采取相应环保措施后，各环境影响可以接受，不冲击当地环境质量底线，并且项目投运后，污染物的生产与排放得到有效控制，符合相关标准要求，各种环境风险较小并可控，环境负面压力较小。同时，项目的投运将提升当地资源的利用效率，会得到社会各阶层的认同，社会压力与社会风险较小。项目的建设具有环境可行性。具体详见本报告表“四、主要环境影响和保护措施”。</w:t>
            </w:r>
          </w:p>
          <w:p w14:paraId="7E6DF457">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w:t>
            </w:r>
            <w:r>
              <w:rPr>
                <w:rFonts w:hint="eastAsia"/>
                <w:color w:val="000000" w:themeColor="text1"/>
                <w:kern w:val="0"/>
                <w:szCs w:val="21"/>
                <w:lang w:val="en-US" w:eastAsia="zh-CN"/>
                <w14:textFill>
                  <w14:solidFill>
                    <w14:schemeClr w14:val="tx1"/>
                  </w14:solidFill>
                </w14:textFill>
              </w:rPr>
              <w:t>线路</w:t>
            </w:r>
            <w:r>
              <w:rPr>
                <w:color w:val="000000" w:themeColor="text1"/>
                <w:kern w:val="0"/>
                <w:szCs w:val="21"/>
                <w14:textFill>
                  <w14:solidFill>
                    <w14:schemeClr w14:val="tx1"/>
                  </w14:solidFill>
                </w14:textFill>
              </w:rPr>
              <w:t>处于</w:t>
            </w:r>
            <w:r>
              <w:rPr>
                <w:rFonts w:hint="eastAsia"/>
                <w:color w:val="000000" w:themeColor="text1"/>
                <w:kern w:val="0"/>
                <w:szCs w:val="21"/>
                <w14:textFill>
                  <w14:solidFill>
                    <w14:schemeClr w14:val="tx1"/>
                  </w14:solidFill>
                </w14:textFill>
              </w:rPr>
              <w:t>承德市</w:t>
            </w:r>
            <w:r>
              <w:rPr>
                <w:rFonts w:hint="eastAsia"/>
                <w:color w:val="000000" w:themeColor="text1"/>
                <w:kern w:val="0"/>
                <w:szCs w:val="21"/>
                <w:lang w:val="en-US" w:eastAsia="zh-CN"/>
                <w14:textFill>
                  <w14:solidFill>
                    <w14:schemeClr w14:val="tx1"/>
                  </w14:solidFill>
                </w14:textFill>
              </w:rPr>
              <w:t>承德县甲山镇、六沟镇、石灰窑镇</w:t>
            </w:r>
            <w:r>
              <w:rPr>
                <w:color w:val="000000" w:themeColor="text1"/>
                <w:kern w:val="0"/>
                <w:szCs w:val="21"/>
                <w14:textFill>
                  <w14:solidFill>
                    <w14:schemeClr w14:val="tx1"/>
                  </w14:solidFill>
                </w14:textFill>
              </w:rPr>
              <w:t>。项目的实施，征询了</w:t>
            </w:r>
            <w:r>
              <w:rPr>
                <w:rFonts w:hint="eastAsia"/>
                <w:color w:val="000000" w:themeColor="text1"/>
                <w:kern w:val="0"/>
                <w:szCs w:val="21"/>
                <w:lang w:val="en-US" w:eastAsia="zh-CN"/>
                <w14:textFill>
                  <w14:solidFill>
                    <w14:schemeClr w14:val="tx1"/>
                  </w14:solidFill>
                </w14:textFill>
              </w:rPr>
              <w:t>承德县</w:t>
            </w:r>
            <w:r>
              <w:rPr>
                <w:color w:val="000000" w:themeColor="text1"/>
                <w:kern w:val="0"/>
                <w:szCs w:val="21"/>
                <w14:textFill>
                  <w14:solidFill>
                    <w14:schemeClr w14:val="tx1"/>
                  </w14:solidFill>
                </w14:textFill>
              </w:rPr>
              <w:t>各级部门意见，给出了选址、选线原则同意意见。协议情况统计如下表1-</w:t>
            </w: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所示。</w:t>
            </w:r>
          </w:p>
          <w:p w14:paraId="4AB1DA43">
            <w:pPr>
              <w:autoSpaceDE w:val="0"/>
              <w:autoSpaceDN w:val="0"/>
              <w:adjustRightInd w:val="0"/>
              <w:snapToGrid w:val="0"/>
              <w:spacing w:line="480" w:lineRule="exact"/>
              <w:jc w:val="center"/>
              <w:rPr>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7</w:t>
            </w:r>
            <w:r>
              <w:rPr>
                <w:b/>
                <w:bCs/>
                <w:color w:val="000000" w:themeColor="text1"/>
                <w:szCs w:val="21"/>
                <w14:textFill>
                  <w14:solidFill>
                    <w14:schemeClr w14:val="tx1"/>
                  </w14:solidFill>
                </w14:textFill>
              </w:rPr>
              <w:t xml:space="preserve"> 相关部门对项目选址、选线协议情况统计表</w:t>
            </w:r>
          </w:p>
          <w:tbl>
            <w:tblPr>
              <w:tblStyle w:val="24"/>
              <w:tblW w:w="85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620"/>
              <w:gridCol w:w="825"/>
              <w:gridCol w:w="4170"/>
              <w:gridCol w:w="1373"/>
            </w:tblGrid>
            <w:tr w14:paraId="5C26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0A55122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b/>
                      <w:bCs/>
                      <w:color w:val="000000" w:themeColor="text1"/>
                      <w:kern w:val="0"/>
                      <w:szCs w:val="21"/>
                      <w:vertAlign w:val="baseline"/>
                      <w:lang w:val="en-US" w:eastAsia="zh-CN"/>
                      <w14:textFill>
                        <w14:solidFill>
                          <w14:schemeClr w14:val="tx1"/>
                        </w14:solidFill>
                      </w14:textFill>
                    </w:rPr>
                  </w:pPr>
                  <w:r>
                    <w:rPr>
                      <w:rFonts w:hint="eastAsia"/>
                      <w:b/>
                      <w:bCs/>
                      <w:color w:val="000000" w:themeColor="text1"/>
                      <w:kern w:val="0"/>
                      <w:szCs w:val="21"/>
                      <w:vertAlign w:val="baseline"/>
                      <w:lang w:val="en-US" w:eastAsia="zh-CN"/>
                      <w14:textFill>
                        <w14:solidFill>
                          <w14:schemeClr w14:val="tx1"/>
                        </w14:solidFill>
                      </w14:textFill>
                    </w:rPr>
                    <w:t>序号</w:t>
                  </w:r>
                </w:p>
              </w:tc>
              <w:tc>
                <w:tcPr>
                  <w:tcW w:w="1620" w:type="dxa"/>
                  <w:vAlign w:val="center"/>
                </w:tcPr>
                <w:p w14:paraId="07C8617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b/>
                      <w:bCs/>
                      <w:color w:val="000000" w:themeColor="text1"/>
                      <w:kern w:val="0"/>
                      <w:szCs w:val="21"/>
                      <w:vertAlign w:val="baseline"/>
                      <w:lang w:val="en-US" w:eastAsia="zh-CN"/>
                      <w14:textFill>
                        <w14:solidFill>
                          <w14:schemeClr w14:val="tx1"/>
                        </w14:solidFill>
                      </w14:textFill>
                    </w:rPr>
                  </w:pPr>
                  <w:r>
                    <w:rPr>
                      <w:rFonts w:hint="eastAsia"/>
                      <w:b/>
                      <w:bCs/>
                      <w:color w:val="000000" w:themeColor="text1"/>
                      <w:kern w:val="0"/>
                      <w:szCs w:val="21"/>
                      <w:vertAlign w:val="baseline"/>
                      <w:lang w:val="en-US" w:eastAsia="zh-CN"/>
                      <w14:textFill>
                        <w14:solidFill>
                          <w14:schemeClr w14:val="tx1"/>
                        </w14:solidFill>
                      </w14:textFill>
                    </w:rPr>
                    <w:t>协议单位</w:t>
                  </w:r>
                </w:p>
              </w:tc>
              <w:tc>
                <w:tcPr>
                  <w:tcW w:w="825" w:type="dxa"/>
                  <w:vAlign w:val="center"/>
                </w:tcPr>
                <w:p w14:paraId="4440AFF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b/>
                      <w:bCs/>
                      <w:color w:val="000000" w:themeColor="text1"/>
                      <w:kern w:val="0"/>
                      <w:szCs w:val="21"/>
                      <w:vertAlign w:val="baseline"/>
                      <w:lang w:val="en-US" w:eastAsia="zh-CN"/>
                      <w14:textFill>
                        <w14:solidFill>
                          <w14:schemeClr w14:val="tx1"/>
                        </w14:solidFill>
                      </w14:textFill>
                    </w:rPr>
                  </w:pPr>
                  <w:r>
                    <w:rPr>
                      <w:rFonts w:hint="eastAsia"/>
                      <w:b/>
                      <w:bCs/>
                      <w:color w:val="000000" w:themeColor="text1"/>
                      <w:kern w:val="0"/>
                      <w:szCs w:val="21"/>
                      <w:vertAlign w:val="baseline"/>
                      <w:lang w:val="en-US" w:eastAsia="zh-CN"/>
                      <w14:textFill>
                        <w14:solidFill>
                          <w14:schemeClr w14:val="tx1"/>
                        </w14:solidFill>
                      </w14:textFill>
                    </w:rPr>
                    <w:t>文号</w:t>
                  </w:r>
                </w:p>
              </w:tc>
              <w:tc>
                <w:tcPr>
                  <w:tcW w:w="4170" w:type="dxa"/>
                  <w:vAlign w:val="center"/>
                </w:tcPr>
                <w:p w14:paraId="5599028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b/>
                      <w:bCs/>
                      <w:color w:val="000000" w:themeColor="text1"/>
                      <w:kern w:val="0"/>
                      <w:szCs w:val="21"/>
                      <w:vertAlign w:val="baseline"/>
                      <w:lang w:val="en-US" w:eastAsia="zh-CN"/>
                      <w14:textFill>
                        <w14:solidFill>
                          <w14:schemeClr w14:val="tx1"/>
                        </w14:solidFill>
                      </w14:textFill>
                    </w:rPr>
                  </w:pPr>
                  <w:r>
                    <w:rPr>
                      <w:rFonts w:hint="eastAsia"/>
                      <w:b/>
                      <w:bCs/>
                      <w:color w:val="000000" w:themeColor="text1"/>
                      <w:kern w:val="0"/>
                      <w:szCs w:val="21"/>
                      <w:vertAlign w:val="baseline"/>
                      <w:lang w:val="en-US" w:eastAsia="zh-CN"/>
                      <w14:textFill>
                        <w14:solidFill>
                          <w14:schemeClr w14:val="tx1"/>
                        </w14:solidFill>
                      </w14:textFill>
                    </w:rPr>
                    <w:t>协议内容</w:t>
                  </w:r>
                </w:p>
              </w:tc>
              <w:tc>
                <w:tcPr>
                  <w:tcW w:w="1373" w:type="dxa"/>
                  <w:vAlign w:val="center"/>
                </w:tcPr>
                <w:p w14:paraId="669AA5C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b/>
                      <w:bCs/>
                      <w:color w:val="000000" w:themeColor="text1"/>
                      <w:kern w:val="0"/>
                      <w:szCs w:val="21"/>
                      <w:vertAlign w:val="baseline"/>
                      <w:lang w:val="en-US" w:eastAsia="zh-CN"/>
                      <w14:textFill>
                        <w14:solidFill>
                          <w14:schemeClr w14:val="tx1"/>
                        </w14:solidFill>
                      </w14:textFill>
                    </w:rPr>
                  </w:pPr>
                  <w:r>
                    <w:rPr>
                      <w:rFonts w:hint="eastAsia"/>
                      <w:b/>
                      <w:bCs/>
                      <w:color w:val="000000" w:themeColor="text1"/>
                      <w:kern w:val="0"/>
                      <w:szCs w:val="21"/>
                      <w:vertAlign w:val="baseline"/>
                      <w:lang w:val="en-US" w:eastAsia="zh-CN"/>
                      <w14:textFill>
                        <w14:solidFill>
                          <w14:schemeClr w14:val="tx1"/>
                        </w14:solidFill>
                      </w14:textFill>
                    </w:rPr>
                    <w:t>备注</w:t>
                  </w:r>
                </w:p>
              </w:tc>
            </w:tr>
            <w:tr w14:paraId="2496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4944D66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1</w:t>
                  </w:r>
                </w:p>
              </w:tc>
              <w:tc>
                <w:tcPr>
                  <w:tcW w:w="1620" w:type="dxa"/>
                  <w:vAlign w:val="center"/>
                </w:tcPr>
                <w:p w14:paraId="3C3884D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林业和草原局</w:t>
                  </w:r>
                </w:p>
              </w:tc>
              <w:tc>
                <w:tcPr>
                  <w:tcW w:w="825" w:type="dxa"/>
                  <w:vAlign w:val="center"/>
                </w:tcPr>
                <w:p w14:paraId="3AE549F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6BF113A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rFonts w:hint="eastAsia"/>
                      <w:color w:val="000000" w:themeColor="text1"/>
                      <w:kern w:val="0"/>
                      <w:szCs w:val="21"/>
                      <w:vertAlign w:val="baseline"/>
                      <w14:textFill>
                        <w14:solidFill>
                          <w14:schemeClr w14:val="tx1"/>
                        </w14:solidFill>
                      </w14:textFill>
                    </w:rPr>
                    <w:t>该项目涉及的林地、草地须按程序及时办理相关审批手续后方可使用，如需采伐林木，提前办理林木采伐手续。</w:t>
                  </w:r>
                </w:p>
              </w:tc>
              <w:tc>
                <w:tcPr>
                  <w:tcW w:w="1373" w:type="dxa"/>
                  <w:vAlign w:val="center"/>
                </w:tcPr>
                <w:p w14:paraId="508021F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default" w:eastAsia="宋体"/>
                      <w:color w:val="000000" w:themeColor="text1"/>
                      <w:kern w:val="0"/>
                      <w:szCs w:val="21"/>
                      <w:vertAlign w:val="baseline"/>
                      <w:lang w:val="en-US" w:eastAsia="zh-CN"/>
                      <w14:textFill>
                        <w14:solidFill>
                          <w14:schemeClr w14:val="tx1"/>
                        </w14:solidFill>
                      </w14:textFill>
                    </w:rPr>
                    <w:t>已取得回函</w:t>
                  </w:r>
                </w:p>
              </w:tc>
            </w:tr>
            <w:tr w14:paraId="01DD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15AA7F3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2</w:t>
                  </w:r>
                </w:p>
              </w:tc>
              <w:tc>
                <w:tcPr>
                  <w:tcW w:w="1620" w:type="dxa"/>
                  <w:vAlign w:val="center"/>
                </w:tcPr>
                <w:p w14:paraId="1E84F43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河北省林业和草原局</w:t>
                  </w:r>
                </w:p>
              </w:tc>
              <w:tc>
                <w:tcPr>
                  <w:tcW w:w="825" w:type="dxa"/>
                  <w:vAlign w:val="center"/>
                </w:tcPr>
                <w:p w14:paraId="7CBE87F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冀林草批[2024]0101186号</w:t>
                  </w:r>
                </w:p>
              </w:tc>
              <w:tc>
                <w:tcPr>
                  <w:tcW w:w="4170" w:type="dxa"/>
                  <w:vAlign w:val="center"/>
                </w:tcPr>
                <w:p w14:paraId="5527A28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olor w:val="000000" w:themeColor="text1"/>
                      <w:kern w:val="0"/>
                      <w:szCs w:val="21"/>
                      <w:vertAlign w:val="baseline"/>
                      <w14:textFill>
                        <w14:solidFill>
                          <w14:schemeClr w14:val="tx1"/>
                        </w14:solidFill>
                      </w14:textFill>
                    </w:rPr>
                  </w:pPr>
                  <w:r>
                    <w:rPr>
                      <w:rFonts w:hint="eastAsia"/>
                      <w:color w:val="000000" w:themeColor="text1"/>
                      <w:kern w:val="0"/>
                      <w:szCs w:val="21"/>
                      <w:vertAlign w:val="baseline"/>
                      <w14:textFill>
                        <w14:solidFill>
                          <w14:schemeClr w14:val="tx1"/>
                        </w14:solidFill>
                      </w14:textFill>
                    </w:rPr>
                    <w:t>同意京能国际承德县200MW光伏项目220KV送出工程项目使用承德县甲山镇北沟门村、西梁村，六沟镇北平台村、大梨树沟村、东山咀村、墩台村、河东村、牛旺沟村、闫家沟村，石灰窑镇大范杖子村、富裕村、黄家沟村、小郭杖子村、振兴村集体林地，使用南甲山林场国有林地，共计使用林地0.9788公顷。</w:t>
                  </w:r>
                </w:p>
              </w:tc>
              <w:tc>
                <w:tcPr>
                  <w:tcW w:w="1373" w:type="dxa"/>
                  <w:vAlign w:val="center"/>
                </w:tcPr>
                <w:p w14:paraId="267696E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已取得回函，已取得选址意见书</w:t>
                  </w:r>
                </w:p>
              </w:tc>
            </w:tr>
            <w:tr w14:paraId="03EC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39F0CF0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3</w:t>
                  </w:r>
                </w:p>
              </w:tc>
              <w:tc>
                <w:tcPr>
                  <w:tcW w:w="1620" w:type="dxa"/>
                  <w:vAlign w:val="center"/>
                </w:tcPr>
                <w:p w14:paraId="1CFA957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自然资源和规划局</w:t>
                  </w:r>
                </w:p>
              </w:tc>
              <w:tc>
                <w:tcPr>
                  <w:tcW w:w="825" w:type="dxa"/>
                  <w:vAlign w:val="center"/>
                </w:tcPr>
                <w:p w14:paraId="7277DC8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61E80AB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rFonts w:hint="eastAsia"/>
                      <w:color w:val="000000" w:themeColor="text1"/>
                      <w:kern w:val="0"/>
                      <w:szCs w:val="21"/>
                      <w:vertAlign w:val="baseline"/>
                      <w14:textFill>
                        <w14:solidFill>
                          <w14:schemeClr w14:val="tx1"/>
                        </w14:solidFill>
                      </w14:textFill>
                    </w:rPr>
                    <w:t>综合我局相关股室系统查询意见，该项目用地范围不占用永久基本农田、不涉及生态保护红线、无探矿权和采矿权设置，但经林草部门核实涉及林保规划中的林地，同时涉及国家级公益林、天保林、一般草地，必须办理上述林、草地审批手续后再办理用地等手续，用地获批后开展该项目的后续工作。</w:t>
                  </w:r>
                </w:p>
              </w:tc>
              <w:tc>
                <w:tcPr>
                  <w:tcW w:w="1373" w:type="dxa"/>
                  <w:shd w:val="clear" w:color="auto" w:fill="auto"/>
                  <w:vAlign w:val="center"/>
                </w:tcPr>
                <w:p w14:paraId="621AE844">
                  <w:pPr>
                    <w:widowControl/>
                    <w:jc w:val="center"/>
                    <w:outlineLvl w:val="1"/>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t>已取得回函</w:t>
                  </w:r>
                </w:p>
              </w:tc>
            </w:tr>
            <w:tr w14:paraId="5B56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3AF222E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4</w:t>
                  </w:r>
                </w:p>
              </w:tc>
              <w:tc>
                <w:tcPr>
                  <w:tcW w:w="1620" w:type="dxa"/>
                  <w:vAlign w:val="center"/>
                </w:tcPr>
                <w:p w14:paraId="74F9915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行政审批局（社会稳定风险）</w:t>
                  </w:r>
                </w:p>
              </w:tc>
              <w:tc>
                <w:tcPr>
                  <w:tcW w:w="825" w:type="dxa"/>
                  <w:vAlign w:val="center"/>
                </w:tcPr>
                <w:p w14:paraId="5255F6D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承县审批〔2023〕34号</w:t>
                  </w:r>
                </w:p>
              </w:tc>
              <w:tc>
                <w:tcPr>
                  <w:tcW w:w="4170" w:type="dxa"/>
                  <w:vAlign w:val="center"/>
                </w:tcPr>
                <w:p w14:paraId="17B1CC2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原则同意</w:t>
                  </w:r>
                </w:p>
              </w:tc>
              <w:tc>
                <w:tcPr>
                  <w:tcW w:w="1373" w:type="dxa"/>
                  <w:shd w:val="clear" w:color="auto" w:fill="auto"/>
                  <w:vAlign w:val="center"/>
                </w:tcPr>
                <w:p w14:paraId="1281A3F2">
                  <w:pPr>
                    <w:widowControl/>
                    <w:jc w:val="center"/>
                    <w:outlineLvl w:val="1"/>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已取得回函</w:t>
                  </w:r>
                </w:p>
              </w:tc>
            </w:tr>
            <w:tr w14:paraId="763B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32BA82E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5</w:t>
                  </w:r>
                </w:p>
              </w:tc>
              <w:tc>
                <w:tcPr>
                  <w:tcW w:w="1620" w:type="dxa"/>
                  <w:vAlign w:val="center"/>
                </w:tcPr>
                <w:p w14:paraId="02C752A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文物保护事务所</w:t>
                  </w:r>
                </w:p>
              </w:tc>
              <w:tc>
                <w:tcPr>
                  <w:tcW w:w="825" w:type="dxa"/>
                  <w:vAlign w:val="center"/>
                </w:tcPr>
                <w:p w14:paraId="026738D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437E59D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原则上同意</w:t>
                  </w:r>
                </w:p>
              </w:tc>
              <w:tc>
                <w:tcPr>
                  <w:tcW w:w="1373" w:type="dxa"/>
                  <w:vAlign w:val="center"/>
                </w:tcPr>
                <w:p w14:paraId="03B25EC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color w:val="000000" w:themeColor="text1"/>
                      <w:kern w:val="0"/>
                      <w:szCs w:val="21"/>
                      <w14:textFill>
                        <w14:solidFill>
                          <w14:schemeClr w14:val="tx1"/>
                        </w14:solidFill>
                      </w14:textFill>
                    </w:rPr>
                    <w:t>已取得回函</w:t>
                  </w:r>
                </w:p>
              </w:tc>
            </w:tr>
            <w:tr w14:paraId="00F8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3AC750E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6</w:t>
                  </w:r>
                </w:p>
              </w:tc>
              <w:tc>
                <w:tcPr>
                  <w:tcW w:w="1620" w:type="dxa"/>
                  <w:vAlign w:val="center"/>
                </w:tcPr>
                <w:p w14:paraId="4EF3501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公安局</w:t>
                  </w:r>
                </w:p>
              </w:tc>
              <w:tc>
                <w:tcPr>
                  <w:tcW w:w="825" w:type="dxa"/>
                  <w:vAlign w:val="center"/>
                </w:tcPr>
                <w:p w14:paraId="6266646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6BCFB02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rFonts w:hint="eastAsia"/>
                      <w:color w:val="000000" w:themeColor="text1"/>
                      <w:kern w:val="0"/>
                      <w:szCs w:val="21"/>
                      <w:vertAlign w:val="baseline"/>
                      <w14:textFill>
                        <w14:solidFill>
                          <w14:schemeClr w14:val="tx1"/>
                        </w14:solidFill>
                      </w14:textFill>
                    </w:rPr>
                    <w:t>该施工线路距离石灰窑镇石灰窑炸药库在安全距离公里以外，均符合安全距离</w:t>
                  </w:r>
                </w:p>
              </w:tc>
              <w:tc>
                <w:tcPr>
                  <w:tcW w:w="1373" w:type="dxa"/>
                  <w:vAlign w:val="center"/>
                </w:tcPr>
                <w:p w14:paraId="4FE760B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color w:val="000000" w:themeColor="text1"/>
                      <w:kern w:val="0"/>
                      <w:szCs w:val="21"/>
                      <w14:textFill>
                        <w14:solidFill>
                          <w14:schemeClr w14:val="tx1"/>
                        </w14:solidFill>
                      </w14:textFill>
                    </w:rPr>
                    <w:t>已取得回函</w:t>
                  </w:r>
                </w:p>
              </w:tc>
            </w:tr>
            <w:tr w14:paraId="7262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6A59060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7</w:t>
                  </w:r>
                </w:p>
              </w:tc>
              <w:tc>
                <w:tcPr>
                  <w:tcW w:w="1620" w:type="dxa"/>
                  <w:vAlign w:val="center"/>
                </w:tcPr>
                <w:p w14:paraId="39810A9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承德市生态环境局承德县分局</w:t>
                  </w:r>
                </w:p>
              </w:tc>
              <w:tc>
                <w:tcPr>
                  <w:tcW w:w="825" w:type="dxa"/>
                  <w:vAlign w:val="center"/>
                </w:tcPr>
                <w:p w14:paraId="4AB4F77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1412D6C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一级保护区高架穿越电线，无建筑物;二级保护区涉及6个塔基，编号分别为N17、N18、N19、N20、N21、N22.其他路径不涉及穿越水源地保护区范围。根据水源地保护区相关法律内容，原则同意该项目实施</w:t>
                  </w:r>
                </w:p>
              </w:tc>
              <w:tc>
                <w:tcPr>
                  <w:tcW w:w="1373" w:type="dxa"/>
                  <w:vAlign w:val="center"/>
                </w:tcPr>
                <w:p w14:paraId="744FA52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color w:val="000000" w:themeColor="text1"/>
                      <w:kern w:val="0"/>
                      <w:szCs w:val="21"/>
                      <w14:textFill>
                        <w14:solidFill>
                          <w14:schemeClr w14:val="tx1"/>
                        </w14:solidFill>
                      </w14:textFill>
                    </w:rPr>
                    <w:t>已取得回函</w:t>
                  </w:r>
                </w:p>
              </w:tc>
            </w:tr>
            <w:tr w14:paraId="0576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2A73938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8</w:t>
                  </w:r>
                </w:p>
              </w:tc>
              <w:tc>
                <w:tcPr>
                  <w:tcW w:w="1620" w:type="dxa"/>
                  <w:vAlign w:val="center"/>
                </w:tcPr>
                <w:p w14:paraId="3FD109D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甲山镇人民政府</w:t>
                  </w:r>
                </w:p>
              </w:tc>
              <w:tc>
                <w:tcPr>
                  <w:tcW w:w="825" w:type="dxa"/>
                  <w:vAlign w:val="center"/>
                </w:tcPr>
                <w:p w14:paraId="4992AAE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34930EB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原则上同意</w:t>
                  </w:r>
                </w:p>
              </w:tc>
              <w:tc>
                <w:tcPr>
                  <w:tcW w:w="1373" w:type="dxa"/>
                  <w:vAlign w:val="center"/>
                </w:tcPr>
                <w:p w14:paraId="07BDDCD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color w:val="000000" w:themeColor="text1"/>
                      <w:kern w:val="0"/>
                      <w:szCs w:val="21"/>
                      <w14:textFill>
                        <w14:solidFill>
                          <w14:schemeClr w14:val="tx1"/>
                        </w14:solidFill>
                      </w14:textFill>
                    </w:rPr>
                    <w:t>已取得回函</w:t>
                  </w:r>
                </w:p>
              </w:tc>
            </w:tr>
            <w:tr w14:paraId="214E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77E8E98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9</w:t>
                  </w:r>
                </w:p>
              </w:tc>
              <w:tc>
                <w:tcPr>
                  <w:tcW w:w="1620" w:type="dxa"/>
                  <w:vAlign w:val="center"/>
                </w:tcPr>
                <w:p w14:paraId="0267016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交通运输局</w:t>
                  </w:r>
                </w:p>
              </w:tc>
              <w:tc>
                <w:tcPr>
                  <w:tcW w:w="825" w:type="dxa"/>
                  <w:vAlign w:val="center"/>
                </w:tcPr>
                <w:p w14:paraId="1ED182D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425527F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原则同意</w:t>
                  </w:r>
                </w:p>
              </w:tc>
              <w:tc>
                <w:tcPr>
                  <w:tcW w:w="1373" w:type="dxa"/>
                  <w:vAlign w:val="center"/>
                </w:tcPr>
                <w:p w14:paraId="4079EAE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color w:val="000000" w:themeColor="text1"/>
                      <w:kern w:val="0"/>
                      <w:szCs w:val="21"/>
                      <w14:textFill>
                        <w14:solidFill>
                          <w14:schemeClr w14:val="tx1"/>
                        </w14:solidFill>
                      </w14:textFill>
                    </w:rPr>
                    <w:t>已取得回函</w:t>
                  </w:r>
                </w:p>
              </w:tc>
            </w:tr>
            <w:tr w14:paraId="5B75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11DA697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10</w:t>
                  </w:r>
                </w:p>
              </w:tc>
              <w:tc>
                <w:tcPr>
                  <w:tcW w:w="1620" w:type="dxa"/>
                  <w:vAlign w:val="center"/>
                </w:tcPr>
                <w:p w14:paraId="45F04A5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六沟镇人民政府</w:t>
                  </w:r>
                </w:p>
              </w:tc>
              <w:tc>
                <w:tcPr>
                  <w:tcW w:w="825" w:type="dxa"/>
                  <w:vAlign w:val="center"/>
                </w:tcPr>
                <w:p w14:paraId="7B0BCD4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0284E5F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原则上同意</w:t>
                  </w:r>
                </w:p>
              </w:tc>
              <w:tc>
                <w:tcPr>
                  <w:tcW w:w="1373" w:type="dxa"/>
                  <w:vAlign w:val="center"/>
                </w:tcPr>
                <w:p w14:paraId="0B7B0F4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color w:val="000000" w:themeColor="text1"/>
                      <w:kern w:val="0"/>
                      <w:szCs w:val="21"/>
                      <w14:textFill>
                        <w14:solidFill>
                          <w14:schemeClr w14:val="tx1"/>
                        </w14:solidFill>
                      </w14:textFill>
                    </w:rPr>
                    <w:t>已取得回函</w:t>
                  </w:r>
                </w:p>
              </w:tc>
            </w:tr>
            <w:tr w14:paraId="278B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507BE29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11</w:t>
                  </w:r>
                </w:p>
              </w:tc>
              <w:tc>
                <w:tcPr>
                  <w:tcW w:w="1620" w:type="dxa"/>
                  <w:vAlign w:val="center"/>
                </w:tcPr>
                <w:p w14:paraId="18D375A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石灰窑镇人民政府</w:t>
                  </w:r>
                </w:p>
              </w:tc>
              <w:tc>
                <w:tcPr>
                  <w:tcW w:w="825" w:type="dxa"/>
                  <w:vAlign w:val="center"/>
                </w:tcPr>
                <w:p w14:paraId="36EA4EC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4477ED9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原则上同意</w:t>
                  </w:r>
                </w:p>
              </w:tc>
              <w:tc>
                <w:tcPr>
                  <w:tcW w:w="1373" w:type="dxa"/>
                  <w:vAlign w:val="center"/>
                </w:tcPr>
                <w:p w14:paraId="428FC9A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color w:val="000000" w:themeColor="text1"/>
                      <w:kern w:val="0"/>
                      <w:szCs w:val="21"/>
                      <w14:textFill>
                        <w14:solidFill>
                          <w14:schemeClr w14:val="tx1"/>
                        </w14:solidFill>
                      </w14:textFill>
                    </w:rPr>
                    <w:t>已取得回函</w:t>
                  </w:r>
                </w:p>
              </w:tc>
            </w:tr>
            <w:tr w14:paraId="7A46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0C8181A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12</w:t>
                  </w:r>
                </w:p>
              </w:tc>
              <w:tc>
                <w:tcPr>
                  <w:tcW w:w="1620" w:type="dxa"/>
                  <w:vAlign w:val="center"/>
                </w:tcPr>
                <w:p w14:paraId="48C46C8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水务局</w:t>
                  </w:r>
                </w:p>
              </w:tc>
              <w:tc>
                <w:tcPr>
                  <w:tcW w:w="825" w:type="dxa"/>
                  <w:vAlign w:val="center"/>
                </w:tcPr>
                <w:p w14:paraId="2113A14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4AA4643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原则上同意</w:t>
                  </w:r>
                </w:p>
              </w:tc>
              <w:tc>
                <w:tcPr>
                  <w:tcW w:w="1373" w:type="dxa"/>
                  <w:vAlign w:val="center"/>
                </w:tcPr>
                <w:p w14:paraId="49B5D78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color w:val="000000" w:themeColor="text1"/>
                      <w:kern w:val="0"/>
                      <w:szCs w:val="21"/>
                      <w14:textFill>
                        <w14:solidFill>
                          <w14:schemeClr w14:val="tx1"/>
                        </w14:solidFill>
                      </w14:textFill>
                    </w:rPr>
                    <w:t>已取得回函</w:t>
                  </w:r>
                </w:p>
              </w:tc>
            </w:tr>
            <w:tr w14:paraId="7488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0C350DB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13</w:t>
                  </w:r>
                </w:p>
              </w:tc>
              <w:tc>
                <w:tcPr>
                  <w:tcW w:w="1620" w:type="dxa"/>
                  <w:vAlign w:val="center"/>
                </w:tcPr>
                <w:p w14:paraId="477942F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文物保护事务所</w:t>
                  </w:r>
                </w:p>
              </w:tc>
              <w:tc>
                <w:tcPr>
                  <w:tcW w:w="825" w:type="dxa"/>
                  <w:vAlign w:val="center"/>
                </w:tcPr>
                <w:p w14:paraId="71B869A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32EC507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原则上同意</w:t>
                  </w:r>
                </w:p>
              </w:tc>
              <w:tc>
                <w:tcPr>
                  <w:tcW w:w="1373" w:type="dxa"/>
                  <w:vAlign w:val="center"/>
                </w:tcPr>
                <w:p w14:paraId="538DC60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color w:val="000000" w:themeColor="text1"/>
                      <w:kern w:val="0"/>
                      <w:szCs w:val="21"/>
                      <w14:textFill>
                        <w14:solidFill>
                          <w14:schemeClr w14:val="tx1"/>
                        </w14:solidFill>
                      </w14:textFill>
                    </w:rPr>
                    <w:t>已取得回函</w:t>
                  </w:r>
                </w:p>
              </w:tc>
            </w:tr>
            <w:tr w14:paraId="349B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0C336C7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14</w:t>
                  </w:r>
                </w:p>
              </w:tc>
              <w:tc>
                <w:tcPr>
                  <w:tcW w:w="1620" w:type="dxa"/>
                  <w:vAlign w:val="center"/>
                </w:tcPr>
                <w:p w14:paraId="75B840D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应急管理局</w:t>
                  </w:r>
                </w:p>
              </w:tc>
              <w:tc>
                <w:tcPr>
                  <w:tcW w:w="825" w:type="dxa"/>
                  <w:vAlign w:val="center"/>
                </w:tcPr>
                <w:p w14:paraId="20766EE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17E34A00">
                  <w:pPr>
                    <w:keepNext w:val="0"/>
                    <w:keepLines w:val="0"/>
                    <w:pageBreakBefore w:val="0"/>
                    <w:widowControl w:val="0"/>
                    <w:kinsoku/>
                    <w:wordWrap w:val="0"/>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rFonts w:hint="eastAsia"/>
                      <w:color w:val="000000" w:themeColor="text1"/>
                      <w:kern w:val="0"/>
                      <w:szCs w:val="21"/>
                      <w:vertAlign w:val="baseline"/>
                      <w14:textFill>
                        <w14:solidFill>
                          <w14:schemeClr w14:val="tx1"/>
                        </w14:solidFill>
                      </w14:textFill>
                    </w:rPr>
                    <w:t>明确我辖区内地震台站位置位于承德县下板城镇辛家庄村，</w:t>
                  </w:r>
                  <w:r>
                    <w:rPr>
                      <w:rFonts w:hint="default" w:ascii="Times New Roman" w:hAnsi="Times New Roman" w:cs="Times New Roman"/>
                      <w:color w:val="000000" w:themeColor="text1"/>
                      <w:kern w:val="0"/>
                      <w:szCs w:val="21"/>
                      <w:vertAlign w:val="baseline"/>
                      <w14:textFill>
                        <w14:solidFill>
                          <w14:schemeClr w14:val="tx1"/>
                        </w14:solidFill>
                      </w14:textFill>
                    </w:rPr>
                    <w:t>N40°41’087”E118°09’524”，</w:t>
                  </w:r>
                  <w:r>
                    <w:rPr>
                      <w:rFonts w:hint="eastAsia"/>
                      <w:color w:val="000000" w:themeColor="text1"/>
                      <w:kern w:val="0"/>
                      <w:szCs w:val="21"/>
                      <w:vertAlign w:val="baseline"/>
                      <w14:textFill>
                        <w14:solidFill>
                          <w14:schemeClr w14:val="tx1"/>
                        </w14:solidFill>
                      </w14:textFill>
                    </w:rPr>
                    <w:t>根据有关规定，地震台站周围200米范围内禁止架设输变电工程设施。</w:t>
                  </w:r>
                </w:p>
              </w:tc>
              <w:tc>
                <w:tcPr>
                  <w:tcW w:w="1373" w:type="dxa"/>
                  <w:vAlign w:val="center"/>
                </w:tcPr>
                <w:p w14:paraId="56E6A9B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color w:val="000000" w:themeColor="text1"/>
                      <w:kern w:val="0"/>
                      <w:szCs w:val="21"/>
                      <w14:textFill>
                        <w14:solidFill>
                          <w14:schemeClr w14:val="tx1"/>
                        </w14:solidFill>
                      </w14:textFill>
                    </w:rPr>
                    <w:t>已取得回函</w:t>
                  </w:r>
                </w:p>
              </w:tc>
            </w:tr>
            <w:tr w14:paraId="245E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9" w:type="dxa"/>
                  <w:vAlign w:val="center"/>
                </w:tcPr>
                <w:p w14:paraId="0A7AC5D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15</w:t>
                  </w:r>
                </w:p>
              </w:tc>
              <w:tc>
                <w:tcPr>
                  <w:tcW w:w="1620" w:type="dxa"/>
                  <w:vAlign w:val="center"/>
                </w:tcPr>
                <w:p w14:paraId="5DB4558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人民武装部</w:t>
                  </w:r>
                </w:p>
              </w:tc>
              <w:tc>
                <w:tcPr>
                  <w:tcW w:w="825" w:type="dxa"/>
                  <w:vAlign w:val="center"/>
                </w:tcPr>
                <w:p w14:paraId="371D748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000000" w:themeColor="text1"/>
                      <w:kern w:val="0"/>
                      <w:szCs w:val="21"/>
                      <w:vertAlign w:val="baseline"/>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w:t>
                  </w:r>
                </w:p>
              </w:tc>
              <w:tc>
                <w:tcPr>
                  <w:tcW w:w="4170" w:type="dxa"/>
                  <w:vAlign w:val="center"/>
                </w:tcPr>
                <w:p w14:paraId="48E52EF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rFonts w:hint="eastAsia"/>
                      <w:color w:val="000000" w:themeColor="text1"/>
                      <w:kern w:val="0"/>
                      <w:szCs w:val="21"/>
                      <w:vertAlign w:val="baseline"/>
                      <w14:textFill>
                        <w14:solidFill>
                          <w14:schemeClr w14:val="tx1"/>
                        </w14:solidFill>
                      </w14:textFill>
                    </w:rPr>
                    <w:t>经相关部队负责人核查，你公司项目施工范围内有相关军事设施，施工时遇到军事地标塔基需避让300米范围。</w:t>
                  </w:r>
                </w:p>
              </w:tc>
              <w:tc>
                <w:tcPr>
                  <w:tcW w:w="1373" w:type="dxa"/>
                  <w:vAlign w:val="center"/>
                </w:tcPr>
                <w:p w14:paraId="03557C2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color w:val="000000" w:themeColor="text1"/>
                      <w:kern w:val="0"/>
                      <w:szCs w:val="21"/>
                      <w:vertAlign w:val="baseline"/>
                      <w14:textFill>
                        <w14:solidFill>
                          <w14:schemeClr w14:val="tx1"/>
                        </w14:solidFill>
                      </w14:textFill>
                    </w:rPr>
                  </w:pPr>
                  <w:r>
                    <w:rPr>
                      <w:color w:val="000000" w:themeColor="text1"/>
                      <w:kern w:val="0"/>
                      <w:szCs w:val="21"/>
                      <w14:textFill>
                        <w14:solidFill>
                          <w14:schemeClr w14:val="tx1"/>
                        </w14:solidFill>
                      </w14:textFill>
                    </w:rPr>
                    <w:t>已取得回函</w:t>
                  </w:r>
                </w:p>
              </w:tc>
            </w:tr>
          </w:tbl>
          <w:p w14:paraId="656251E8">
            <w:pPr>
              <w:autoSpaceDE w:val="0"/>
              <w:autoSpaceDN w:val="0"/>
              <w:adjustRightInd w:val="0"/>
              <w:snapToGrid w:val="0"/>
              <w:spacing w:line="480" w:lineRule="exact"/>
              <w:jc w:val="center"/>
              <w:rPr>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8</w:t>
            </w:r>
            <w:r>
              <w:rPr>
                <w:b/>
                <w:bCs/>
                <w:color w:val="000000" w:themeColor="text1"/>
                <w:szCs w:val="21"/>
                <w14:textFill>
                  <w14:solidFill>
                    <w14:schemeClr w14:val="tx1"/>
                  </w14:solidFill>
                </w14:textFill>
              </w:rPr>
              <w:t xml:space="preserve"> </w:t>
            </w:r>
            <w:r>
              <w:rPr>
                <w:rFonts w:hint="default"/>
                <w:b/>
                <w:bCs/>
                <w:color w:val="000000" w:themeColor="text1"/>
                <w:szCs w:val="21"/>
                <w14:textFill>
                  <w14:solidFill>
                    <w14:schemeClr w14:val="tx1"/>
                  </w14:solidFill>
                </w14:textFill>
              </w:rPr>
              <w:t>与《输变电建设项目环境保护技术要求》符合性分析表</w:t>
            </w:r>
          </w:p>
          <w:tbl>
            <w:tblPr>
              <w:tblStyle w:val="23"/>
              <w:tblW w:w="4947"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373"/>
              <w:gridCol w:w="922"/>
              <w:gridCol w:w="2979"/>
              <w:gridCol w:w="3714"/>
              <w:gridCol w:w="547"/>
            </w:tblGrid>
            <w:tr w14:paraId="3656D9A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503" w:type="pct"/>
                  <w:gridSpan w:val="3"/>
                  <w:noWrap w:val="0"/>
                  <w:vAlign w:val="center"/>
                </w:tcPr>
                <w:p w14:paraId="36E8EE14">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具体要求</w:t>
                  </w:r>
                </w:p>
              </w:tc>
              <w:tc>
                <w:tcPr>
                  <w:tcW w:w="2175" w:type="pct"/>
                  <w:noWrap w:val="0"/>
                  <w:vAlign w:val="center"/>
                </w:tcPr>
                <w:p w14:paraId="2510042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项目实际情况</w:t>
                  </w:r>
                </w:p>
              </w:tc>
              <w:tc>
                <w:tcPr>
                  <w:tcW w:w="320" w:type="pct"/>
                  <w:noWrap w:val="0"/>
                  <w:vAlign w:val="center"/>
                </w:tcPr>
                <w:p w14:paraId="1AB288F5">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是否</w:t>
                  </w:r>
                </w:p>
                <w:p w14:paraId="20651E5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符合</w:t>
                  </w:r>
                </w:p>
              </w:tc>
            </w:tr>
            <w:tr w14:paraId="2F01448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restart"/>
                  <w:noWrap w:val="0"/>
                  <w:vAlign w:val="center"/>
                </w:tcPr>
                <w:p w14:paraId="522EAC59">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选址选线</w:t>
                  </w:r>
                </w:p>
              </w:tc>
              <w:tc>
                <w:tcPr>
                  <w:tcW w:w="2285" w:type="pct"/>
                  <w:gridSpan w:val="2"/>
                  <w:noWrap w:val="0"/>
                  <w:vAlign w:val="center"/>
                </w:tcPr>
                <w:p w14:paraId="755E4505">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建设项目选线应符合规划环境影响评价文件的要求。</w:t>
                  </w:r>
                </w:p>
              </w:tc>
              <w:tc>
                <w:tcPr>
                  <w:tcW w:w="2175" w:type="pct"/>
                  <w:noWrap w:val="0"/>
                  <w:vAlign w:val="center"/>
                </w:tcPr>
                <w:p w14:paraId="2745108C">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项目电压等级为220kV，未列入市、省电网发展规划，但项目所在地的自然资源和规划局出具了同意本项目的选址选线意见。</w:t>
                  </w:r>
                </w:p>
              </w:tc>
              <w:tc>
                <w:tcPr>
                  <w:tcW w:w="320" w:type="pct"/>
                  <w:noWrap w:val="0"/>
                  <w:vAlign w:val="center"/>
                </w:tcPr>
                <w:p w14:paraId="21587BE0">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34D8F8B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530B3D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2285" w:type="pct"/>
                  <w:gridSpan w:val="2"/>
                  <w:noWrap w:val="0"/>
                  <w:vAlign w:val="center"/>
                </w:tcPr>
                <w:p w14:paraId="0482097E">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输变电建设项目选线应符合生态保护红线管控要求，避让自然保护区、饮用水水源保护区等环境敏感区。</w:t>
                  </w:r>
                </w:p>
              </w:tc>
              <w:tc>
                <w:tcPr>
                  <w:tcW w:w="2175" w:type="pct"/>
                  <w:noWrap w:val="0"/>
                  <w:vAlign w:val="center"/>
                </w:tcPr>
                <w:p w14:paraId="19BC32F1">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项目输电线路选线是国网冀北电力有限公司同意的接入系统方案，</w:t>
                  </w:r>
                  <w:r>
                    <w:rPr>
                      <w:rFonts w:hint="eastAsia" w:ascii="Times New Roman" w:hAnsi="Times New Roman" w:eastAsia="宋体" w:cs="Times New Roman"/>
                      <w:sz w:val="21"/>
                      <w:szCs w:val="21"/>
                      <w:lang w:val="en-US" w:eastAsia="zh-CN"/>
                    </w:rPr>
                    <w:t>线路跨越生态保护红线，跨越承德市承德县六沟镇一级饮用水水源地，穿越承德市承德县六沟镇二级饮用水水源地，符合要求。</w:t>
                  </w:r>
                </w:p>
              </w:tc>
              <w:tc>
                <w:tcPr>
                  <w:tcW w:w="320" w:type="pct"/>
                  <w:noWrap w:val="0"/>
                  <w:vAlign w:val="center"/>
                </w:tcPr>
                <w:p w14:paraId="051D89A4">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5B701D8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4CF7BC2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2285" w:type="pct"/>
                  <w:gridSpan w:val="2"/>
                  <w:noWrap w:val="0"/>
                  <w:vAlign w:val="center"/>
                </w:tcPr>
                <w:p w14:paraId="0DEAD191">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变电项目在选址时应按终期规模综合考虑进出线走廊规划，避免进出线进入自然保护区、饮用水水源保护区等环境敏感区。</w:t>
                  </w:r>
                </w:p>
              </w:tc>
              <w:tc>
                <w:tcPr>
                  <w:tcW w:w="2175" w:type="pct"/>
                  <w:noWrap w:val="0"/>
                  <w:vAlign w:val="center"/>
                </w:tcPr>
                <w:p w14:paraId="2859B285">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r>
                    <w:rPr>
                      <w:rFonts w:hint="default" w:ascii="Times New Roman" w:hAnsi="Times New Roman" w:eastAsia="宋体" w:cs="Times New Roman"/>
                      <w:sz w:val="21"/>
                      <w:szCs w:val="21"/>
                      <w:lang w:val="en-US" w:eastAsia="zh-CN"/>
                    </w:rPr>
                    <w:t>跨越承德市承德县六沟镇一级饮用水水源地，穿越承德市承德县六沟镇二级饮用水水源地，符合要求</w:t>
                  </w:r>
                  <w:r>
                    <w:rPr>
                      <w:rFonts w:hint="default" w:ascii="Times New Roman" w:hAnsi="Times New Roman" w:eastAsia="宋体" w:cs="Times New Roman"/>
                      <w:sz w:val="21"/>
                      <w:szCs w:val="21"/>
                    </w:rPr>
                    <w:t>。</w:t>
                  </w:r>
                </w:p>
              </w:tc>
              <w:tc>
                <w:tcPr>
                  <w:tcW w:w="320" w:type="pct"/>
                  <w:noWrap w:val="0"/>
                  <w:vAlign w:val="center"/>
                </w:tcPr>
                <w:p w14:paraId="04DE1E4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3509145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2CDF0A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2285" w:type="pct"/>
                  <w:gridSpan w:val="2"/>
                  <w:noWrap w:val="0"/>
                  <w:vAlign w:val="center"/>
                </w:tcPr>
                <w:p w14:paraId="7E53FC52">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户外变电建设项目及规划架空进出线选址选线时，应关注以居住、医疗卫生、文化教育、科研、行政办公等为主要功能的区域，采取综合措施，减少电磁和声环境影响。</w:t>
                  </w:r>
                </w:p>
              </w:tc>
              <w:tc>
                <w:tcPr>
                  <w:tcW w:w="2175" w:type="pct"/>
                  <w:noWrap w:val="0"/>
                  <w:vAlign w:val="center"/>
                </w:tcPr>
                <w:p w14:paraId="4FCA846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选址范围内不涉及医疗卫生、文化教育、科研、行政办公等功能的区域；线路选线已尽量避让居住住宅集中区，经过居民住宅相对集中地区时，采取了提高导线对地高度措施，以降低地面工频电场、工频磁场及噪声影响。</w:t>
                  </w:r>
                </w:p>
              </w:tc>
              <w:tc>
                <w:tcPr>
                  <w:tcW w:w="320" w:type="pct"/>
                  <w:noWrap w:val="0"/>
                  <w:vAlign w:val="center"/>
                </w:tcPr>
                <w:p w14:paraId="3A580F4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39E74D1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2A24786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2285" w:type="pct"/>
                  <w:gridSpan w:val="2"/>
                  <w:noWrap w:val="0"/>
                  <w:vAlign w:val="center"/>
                </w:tcPr>
                <w:p w14:paraId="1AA497F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同一走廊内的多回输电线路，宜采取同塔多回架设、并行架设等形式，减少新开辟走廊，优化线路走廊间距，降低环境影响。</w:t>
                  </w:r>
                </w:p>
              </w:tc>
              <w:tc>
                <w:tcPr>
                  <w:tcW w:w="2175" w:type="pct"/>
                  <w:noWrap w:val="0"/>
                  <w:vAlign w:val="center"/>
                </w:tcPr>
                <w:p w14:paraId="36E01BC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项目为光伏项目送出线路，单回输电线路，对环境影响较小。</w:t>
                  </w:r>
                </w:p>
              </w:tc>
              <w:tc>
                <w:tcPr>
                  <w:tcW w:w="320" w:type="pct"/>
                  <w:noWrap w:val="0"/>
                  <w:vAlign w:val="center"/>
                </w:tcPr>
                <w:p w14:paraId="6B901C47">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2439580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5AD8168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2285" w:type="pct"/>
                  <w:gridSpan w:val="2"/>
                  <w:noWrap w:val="0"/>
                  <w:vAlign w:val="center"/>
                </w:tcPr>
                <w:p w14:paraId="5FF06780">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原则上避免在0类声环境功能区建设变电建设项目。</w:t>
                  </w:r>
                </w:p>
              </w:tc>
              <w:tc>
                <w:tcPr>
                  <w:tcW w:w="2175" w:type="pct"/>
                  <w:noWrap w:val="0"/>
                  <w:vAlign w:val="center"/>
                </w:tcPr>
                <w:p w14:paraId="2FCBABB9">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项目前期选址及线路建设选线在评价范围内均不涉及0类声环境区域。</w:t>
                  </w:r>
                </w:p>
              </w:tc>
              <w:tc>
                <w:tcPr>
                  <w:tcW w:w="320" w:type="pct"/>
                  <w:noWrap w:val="0"/>
                  <w:vAlign w:val="center"/>
                </w:tcPr>
                <w:p w14:paraId="7828F5A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0847A49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3F94281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2285" w:type="pct"/>
                  <w:gridSpan w:val="2"/>
                  <w:noWrap w:val="0"/>
                  <w:vAlign w:val="center"/>
                </w:tcPr>
                <w:p w14:paraId="3F6C1EA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输电线路宜减少土地占用，避让集中林区，以减少林木砍伐及弃土弃渣，保护生态环境。</w:t>
                  </w:r>
                </w:p>
              </w:tc>
              <w:tc>
                <w:tcPr>
                  <w:tcW w:w="2175" w:type="pct"/>
                  <w:noWrap w:val="0"/>
                  <w:vAlign w:val="center"/>
                </w:tcPr>
                <w:p w14:paraId="46671630">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线路选用水平档距大的塔型减少塔的使用数量，各塔型选用更小的设计，以减少单塔用地面积。各塔基选用开挖少的塔基基础设计。线路路径跨过集中林区时采用高跨方式跨越林地，尽量降低了对沿线生态环境的影响。</w:t>
                  </w:r>
                </w:p>
              </w:tc>
              <w:tc>
                <w:tcPr>
                  <w:tcW w:w="320" w:type="pct"/>
                  <w:noWrap w:val="0"/>
                  <w:vAlign w:val="center"/>
                </w:tcPr>
                <w:p w14:paraId="3FC96AD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76EEF8D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restart"/>
                  <w:noWrap w:val="0"/>
                  <w:vAlign w:val="center"/>
                </w:tcPr>
                <w:p w14:paraId="13630EC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w:t>
                  </w:r>
                </w:p>
              </w:tc>
              <w:tc>
                <w:tcPr>
                  <w:tcW w:w="540" w:type="pct"/>
                  <w:vMerge w:val="restart"/>
                  <w:noWrap w:val="0"/>
                  <w:vAlign w:val="center"/>
                </w:tcPr>
                <w:p w14:paraId="01E88CA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总体要求</w:t>
                  </w:r>
                </w:p>
              </w:tc>
              <w:tc>
                <w:tcPr>
                  <w:tcW w:w="1745" w:type="pct"/>
                  <w:noWrap w:val="0"/>
                  <w:vAlign w:val="center"/>
                </w:tcPr>
                <w:p w14:paraId="1B92C922">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初步设计、施工图设计文件中应包含相关的环境保护内容，编制环境保护篇章、开展环境保护专项设计，落实防治环境污染和生态破坏的措施、设施及相应资金。</w:t>
                  </w:r>
                </w:p>
              </w:tc>
              <w:tc>
                <w:tcPr>
                  <w:tcW w:w="2175" w:type="pct"/>
                  <w:noWrap w:val="0"/>
                  <w:vAlign w:val="center"/>
                </w:tcPr>
                <w:p w14:paraId="26F0B80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ascii="Times New Roman" w:hAnsi="Times New Roman" w:eastAsia="宋体" w:cs="Times New Roman"/>
                      <w:szCs w:val="21"/>
                    </w:rPr>
                    <w:t>本项目线路采用了单回架设，</w:t>
                  </w:r>
                  <w:r>
                    <w:rPr>
                      <w:rFonts w:hint="eastAsia" w:cs="Times New Roman"/>
                      <w:szCs w:val="21"/>
                      <w:lang w:eastAsia="zh-CN"/>
                    </w:rPr>
                    <w:t>高度</w:t>
                  </w:r>
                  <w:r>
                    <w:rPr>
                      <w:rFonts w:ascii="Times New Roman" w:hAnsi="Times New Roman" w:eastAsia="宋体" w:cs="Times New Roman"/>
                      <w:szCs w:val="21"/>
                    </w:rPr>
                    <w:t>满足相应的交叉跨越净空距离要求，采用直线塔、耐张塔等高呼高塔型，同相序布置，有效地减少了电磁环境影响。</w:t>
                  </w:r>
                </w:p>
              </w:tc>
              <w:tc>
                <w:tcPr>
                  <w:tcW w:w="320" w:type="pct"/>
                  <w:noWrap w:val="0"/>
                  <w:vAlign w:val="center"/>
                </w:tcPr>
                <w:p w14:paraId="4E3E85B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36358DC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5404AE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continue"/>
                  <w:noWrap w:val="0"/>
                  <w:vAlign w:val="center"/>
                </w:tcPr>
                <w:p w14:paraId="2907D1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1745" w:type="pct"/>
                  <w:noWrap w:val="0"/>
                  <w:vAlign w:val="center"/>
                </w:tcPr>
                <w:p w14:paraId="76D588FE">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改建、扩建输变电建设项目应采取措施，治理与本项目有关的原有环境污染和生态破坏。</w:t>
                  </w:r>
                </w:p>
              </w:tc>
              <w:tc>
                <w:tcPr>
                  <w:tcW w:w="2175" w:type="pct"/>
                  <w:noWrap w:val="0"/>
                  <w:vAlign w:val="center"/>
                </w:tcPr>
                <w:p w14:paraId="2602938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本项目为新建项目。</w:t>
                  </w:r>
                </w:p>
              </w:tc>
              <w:tc>
                <w:tcPr>
                  <w:tcW w:w="320" w:type="pct"/>
                  <w:noWrap w:val="0"/>
                  <w:vAlign w:val="center"/>
                </w:tcPr>
                <w:p w14:paraId="59F9C6A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4213809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6B1EDE4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continue"/>
                  <w:noWrap w:val="0"/>
                  <w:vAlign w:val="center"/>
                </w:tcPr>
                <w:p w14:paraId="58F2A1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1745" w:type="pct"/>
                  <w:noWrap w:val="0"/>
                  <w:vAlign w:val="center"/>
                </w:tcPr>
                <w:p w14:paraId="1A4A4A9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输电线路进入自然保护区实验区、饮用水水源二级保护区等环境敏感区时，应采取塔基定位避让、减少进入长度、控制导线高度等环境保护措施，减少对环境保护对象的不利影响。</w:t>
                  </w:r>
                </w:p>
              </w:tc>
              <w:tc>
                <w:tcPr>
                  <w:tcW w:w="2175" w:type="pct"/>
                  <w:noWrap w:val="0"/>
                  <w:vAlign w:val="center"/>
                </w:tcPr>
                <w:p w14:paraId="00310079">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项目已按终期规模避让了自然保护区，线路跨越</w:t>
                  </w:r>
                  <w:r>
                    <w:rPr>
                      <w:rFonts w:hint="eastAsia" w:ascii="Times New Roman" w:hAnsi="Times New Roman" w:eastAsia="宋体" w:cs="Times New Roman"/>
                      <w:sz w:val="21"/>
                      <w:szCs w:val="21"/>
                      <w:lang w:val="en-US" w:eastAsia="zh-CN"/>
                    </w:rPr>
                    <w:t>承德县六沟镇</w:t>
                  </w:r>
                  <w:r>
                    <w:rPr>
                      <w:rFonts w:hint="default" w:ascii="Times New Roman" w:hAnsi="Times New Roman" w:eastAsia="宋体" w:cs="Times New Roman"/>
                      <w:sz w:val="21"/>
                      <w:szCs w:val="21"/>
                    </w:rPr>
                    <w:t>饮用水水源地</w:t>
                  </w:r>
                  <w:r>
                    <w:rPr>
                      <w:rFonts w:hint="eastAsia" w:ascii="Times New Roman" w:hAnsi="Times New Roman" w:eastAsia="宋体" w:cs="Times New Roman"/>
                      <w:sz w:val="21"/>
                      <w:szCs w:val="21"/>
                      <w:lang w:val="en-US" w:eastAsia="zh-CN"/>
                    </w:rPr>
                    <w:t>一级</w:t>
                  </w:r>
                  <w:r>
                    <w:rPr>
                      <w:rFonts w:hint="default" w:ascii="Times New Roman" w:hAnsi="Times New Roman" w:eastAsia="宋体" w:cs="Times New Roman"/>
                      <w:sz w:val="21"/>
                      <w:szCs w:val="21"/>
                    </w:rPr>
                    <w:t>保护区，</w:t>
                  </w:r>
                  <w:r>
                    <w:rPr>
                      <w:rFonts w:hint="eastAsia" w:ascii="Times New Roman" w:hAnsi="Times New Roman" w:eastAsia="宋体" w:cs="Times New Roman"/>
                      <w:sz w:val="21"/>
                      <w:szCs w:val="21"/>
                      <w:lang w:val="en-US" w:eastAsia="zh-CN"/>
                    </w:rPr>
                    <w:t>穿越承德县六沟镇</w:t>
                  </w:r>
                  <w:r>
                    <w:rPr>
                      <w:rFonts w:hint="default" w:ascii="Times New Roman" w:hAnsi="Times New Roman" w:eastAsia="宋体" w:cs="Times New Roman"/>
                      <w:sz w:val="21"/>
                      <w:szCs w:val="21"/>
                    </w:rPr>
                    <w:t>饮用水水源地</w:t>
                  </w:r>
                  <w:r>
                    <w:rPr>
                      <w:rFonts w:hint="eastAsia" w:ascii="Times New Roman" w:hAnsi="Times New Roman" w:eastAsia="宋体" w:cs="Times New Roman"/>
                      <w:sz w:val="21"/>
                      <w:szCs w:val="21"/>
                      <w:lang w:val="en-US" w:eastAsia="zh-CN"/>
                    </w:rPr>
                    <w:t>二级</w:t>
                  </w:r>
                  <w:r>
                    <w:rPr>
                      <w:rFonts w:hint="default" w:ascii="Times New Roman" w:hAnsi="Times New Roman" w:eastAsia="宋体" w:cs="Times New Roman"/>
                      <w:sz w:val="21"/>
                      <w:szCs w:val="21"/>
                    </w:rPr>
                    <w:t>保护区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采取了塔基定位避让、减少进入长度、控制导线高度等环境保护措施，减少对环境保护对象的不利影响。</w:t>
                  </w:r>
                </w:p>
              </w:tc>
              <w:tc>
                <w:tcPr>
                  <w:tcW w:w="320" w:type="pct"/>
                  <w:noWrap w:val="0"/>
                  <w:vAlign w:val="center"/>
                </w:tcPr>
                <w:p w14:paraId="15771AE0">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22B957E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3000460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restart"/>
                  <w:noWrap w:val="0"/>
                  <w:vAlign w:val="center"/>
                </w:tcPr>
                <w:p w14:paraId="71514D64">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电磁</w:t>
                  </w:r>
                </w:p>
                <w:p w14:paraId="41C031F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w:t>
                  </w:r>
                </w:p>
              </w:tc>
              <w:tc>
                <w:tcPr>
                  <w:tcW w:w="1745" w:type="pct"/>
                  <w:noWrap w:val="0"/>
                  <w:vAlign w:val="center"/>
                </w:tcPr>
                <w:p w14:paraId="3F781EB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输电线路设计应因地制宜选择线路型式、架设高度、杆塔塔型、导线参数、相序布置等，减少电磁环境影响。</w:t>
                  </w:r>
                </w:p>
              </w:tc>
              <w:tc>
                <w:tcPr>
                  <w:tcW w:w="2175" w:type="pct"/>
                  <w:noWrap w:val="0"/>
                  <w:vAlign w:val="center"/>
                </w:tcPr>
                <w:p w14:paraId="5F558C24">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线路工程在设计阶段即选取适宜的杆塔，采用增高导线对地高度，采用大直径导线等，在设计中进行了线路比选，以减少电磁环境影响。</w:t>
                  </w:r>
                </w:p>
              </w:tc>
              <w:tc>
                <w:tcPr>
                  <w:tcW w:w="320" w:type="pct"/>
                  <w:noWrap w:val="0"/>
                  <w:vAlign w:val="center"/>
                </w:tcPr>
                <w:p w14:paraId="5D03AC3D">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44E80DD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126529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continue"/>
                  <w:noWrap w:val="0"/>
                  <w:vAlign w:val="center"/>
                </w:tcPr>
                <w:p w14:paraId="3A0E03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1745" w:type="pct"/>
                  <w:noWrap w:val="0"/>
                  <w:vAlign w:val="center"/>
                </w:tcPr>
                <w:p w14:paraId="69499A52">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架空输电线路经过电磁环境敏感目标时，应采取避让或增加导线对地高度等措施，减少电磁环境影响。</w:t>
                  </w:r>
                </w:p>
              </w:tc>
              <w:tc>
                <w:tcPr>
                  <w:tcW w:w="2175" w:type="pct"/>
                  <w:noWrap w:val="0"/>
                  <w:vAlign w:val="center"/>
                </w:tcPr>
                <w:p w14:paraId="03F2608C">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线路经过电磁环境和声环境保护目标时，采取避让或增加导线对地高度等措施，减少电磁环境影响。</w:t>
                  </w:r>
                </w:p>
              </w:tc>
              <w:tc>
                <w:tcPr>
                  <w:tcW w:w="320" w:type="pct"/>
                  <w:noWrap w:val="0"/>
                  <w:vAlign w:val="center"/>
                </w:tcPr>
                <w:p w14:paraId="69C283E1">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792A49F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066E6C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continue"/>
                  <w:noWrap w:val="0"/>
                  <w:vAlign w:val="center"/>
                </w:tcPr>
                <w:p w14:paraId="27EF1DF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1745" w:type="pct"/>
                  <w:noWrap w:val="0"/>
                  <w:vAlign w:val="center"/>
                </w:tcPr>
                <w:p w14:paraId="3143351E">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变电建设项目的布置设计应考虑进出线对周围电磁环境的影响。</w:t>
                  </w:r>
                </w:p>
              </w:tc>
              <w:tc>
                <w:tcPr>
                  <w:tcW w:w="2175" w:type="pct"/>
                  <w:noWrap w:val="0"/>
                  <w:vAlign w:val="center"/>
                </w:tcPr>
                <w:p w14:paraId="7D679750">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输出线路根据周围情况，合理进行布局，进出线方向已考虑避让居民住宅集中区。</w:t>
                  </w:r>
                </w:p>
              </w:tc>
              <w:tc>
                <w:tcPr>
                  <w:tcW w:w="320" w:type="pct"/>
                  <w:noWrap w:val="0"/>
                  <w:vAlign w:val="center"/>
                </w:tcPr>
                <w:p w14:paraId="3334D787">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3DB3E90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775930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continue"/>
                  <w:noWrap w:val="0"/>
                  <w:vAlign w:val="center"/>
                </w:tcPr>
                <w:p w14:paraId="00E4025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1745" w:type="pct"/>
                  <w:noWrap w:val="0"/>
                  <w:vAlign w:val="center"/>
                </w:tcPr>
                <w:p w14:paraId="2771CF3E">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330kV及以上电压等级的输电线路出现交叉跨越或并行时，应考虑其对电磁环境敏感目标的综合影响。</w:t>
                  </w:r>
                </w:p>
              </w:tc>
              <w:tc>
                <w:tcPr>
                  <w:tcW w:w="2175" w:type="pct"/>
                  <w:noWrap w:val="0"/>
                  <w:vAlign w:val="center"/>
                </w:tcPr>
                <w:p w14:paraId="0A0EC06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项目线路路由无330kV及以上电压等级输电线路交叉或并行。</w:t>
                  </w:r>
                </w:p>
              </w:tc>
              <w:tc>
                <w:tcPr>
                  <w:tcW w:w="320" w:type="pct"/>
                  <w:noWrap w:val="0"/>
                  <w:vAlign w:val="center"/>
                </w:tcPr>
                <w:p w14:paraId="5408D17C">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0F34B93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765CF3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noWrap w:val="0"/>
                  <w:vAlign w:val="center"/>
                </w:tcPr>
                <w:p w14:paraId="3A39FF6D">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声环境保护</w:t>
                  </w:r>
                </w:p>
              </w:tc>
              <w:tc>
                <w:tcPr>
                  <w:tcW w:w="1745" w:type="pct"/>
                  <w:noWrap w:val="0"/>
                  <w:vAlign w:val="center"/>
                </w:tcPr>
                <w:p w14:paraId="58026D1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变电建设项目噪声控制设计应首先从噪声源强上进行控制，选择低噪声设备；对于声源上无法根治的噪声，应采用隔声、吸声、消声、防振、减振等降噪措施，确保厂界排放噪声和周围声环境敏感目标分别满足GB12348和GB3096要求。</w:t>
                  </w:r>
                </w:p>
              </w:tc>
              <w:tc>
                <w:tcPr>
                  <w:tcW w:w="2175" w:type="pct"/>
                  <w:noWrap w:val="0"/>
                  <w:vAlign w:val="center"/>
                </w:tcPr>
                <w:p w14:paraId="0CF73A15">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ascii="Times New Roman" w:hAnsi="Times New Roman" w:eastAsia="宋体" w:cs="Times New Roman"/>
                      <w:szCs w:val="21"/>
                    </w:rPr>
                    <w:t>项目为输电线路，通过类比本项目线路周边环境噪声完全可以满足GB12348和GB3096要求</w:t>
                  </w:r>
                </w:p>
              </w:tc>
              <w:tc>
                <w:tcPr>
                  <w:tcW w:w="320" w:type="pct"/>
                  <w:noWrap w:val="0"/>
                  <w:vAlign w:val="center"/>
                </w:tcPr>
                <w:p w14:paraId="43B1FAD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62FDF23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097949C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restart"/>
                  <w:noWrap w:val="0"/>
                  <w:vAlign w:val="center"/>
                </w:tcPr>
                <w:p w14:paraId="2FFE703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生态环境保护</w:t>
                  </w:r>
                </w:p>
              </w:tc>
              <w:tc>
                <w:tcPr>
                  <w:tcW w:w="1745" w:type="pct"/>
                  <w:noWrap w:val="0"/>
                  <w:vAlign w:val="center"/>
                </w:tcPr>
                <w:p w14:paraId="6D1ECF79">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输变电建设项目在设计过程中应按照避让、减缓、恢复的次序提出生态影响防护与恢复的措施。</w:t>
                  </w:r>
                </w:p>
              </w:tc>
              <w:tc>
                <w:tcPr>
                  <w:tcW w:w="2175" w:type="pct"/>
                  <w:noWrap w:val="0"/>
                  <w:vAlign w:val="center"/>
                </w:tcPr>
                <w:p w14:paraId="1715E2D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建设项目已按照避让、减缓、恢复的次序采取生态影响防护与恢复的措施。</w:t>
                  </w:r>
                </w:p>
              </w:tc>
              <w:tc>
                <w:tcPr>
                  <w:tcW w:w="320" w:type="pct"/>
                  <w:noWrap w:val="0"/>
                  <w:vAlign w:val="center"/>
                </w:tcPr>
                <w:p w14:paraId="016BFADD">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204DA44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119E95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continue"/>
                  <w:noWrap w:val="0"/>
                  <w:vAlign w:val="center"/>
                </w:tcPr>
                <w:p w14:paraId="21894D6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1745" w:type="pct"/>
                  <w:noWrap w:val="0"/>
                  <w:vAlign w:val="center"/>
                </w:tcPr>
                <w:p w14:paraId="4458FA7C">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输变电建设项目临时占地，应因地制宜进行土地功能恢复设计。</w:t>
                  </w:r>
                </w:p>
              </w:tc>
              <w:tc>
                <w:tcPr>
                  <w:tcW w:w="2175" w:type="pct"/>
                  <w:noWrap w:val="0"/>
                  <w:vAlign w:val="center"/>
                </w:tcPr>
                <w:p w14:paraId="766345DE">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建设项目在施工结束后对临时占地进行恢复，恢复至原生态、土地功能。</w:t>
                  </w:r>
                </w:p>
              </w:tc>
              <w:tc>
                <w:tcPr>
                  <w:tcW w:w="320" w:type="pct"/>
                  <w:noWrap w:val="0"/>
                  <w:vAlign w:val="center"/>
                </w:tcPr>
                <w:p w14:paraId="0352D284">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4EAFC4C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150A22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continue"/>
                  <w:noWrap w:val="0"/>
                  <w:vAlign w:val="center"/>
                </w:tcPr>
                <w:p w14:paraId="55C731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1745" w:type="pct"/>
                  <w:noWrap w:val="0"/>
                  <w:vAlign w:val="center"/>
                </w:tcPr>
                <w:p w14:paraId="26D7C5E3">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进入自然保护区的输电线路，应根据生态现状调查结果，制定相应的保护方案。塔基定位应避让珍稀濒危物种、保护植物和保护动物的栖息地，根据保护对象的特性设计相应的生态环境保护措施、设施等。</w:t>
                  </w:r>
                </w:p>
              </w:tc>
              <w:tc>
                <w:tcPr>
                  <w:tcW w:w="2175" w:type="pct"/>
                  <w:noWrap w:val="0"/>
                  <w:vAlign w:val="center"/>
                </w:tcPr>
                <w:p w14:paraId="31FA6DC1">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建设项目塔基定位避让了珍稀濒危物种、保护植物和保护动物的栖息地。</w:t>
                  </w:r>
                </w:p>
              </w:tc>
              <w:tc>
                <w:tcPr>
                  <w:tcW w:w="320" w:type="pct"/>
                  <w:noWrap w:val="0"/>
                  <w:vAlign w:val="center"/>
                </w:tcPr>
                <w:p w14:paraId="3121C65D">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6C42C25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restart"/>
                  <w:noWrap w:val="0"/>
                  <w:vAlign w:val="center"/>
                </w:tcPr>
                <w:p w14:paraId="667BC82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w:t>
                  </w:r>
                </w:p>
              </w:tc>
              <w:tc>
                <w:tcPr>
                  <w:tcW w:w="540" w:type="pct"/>
                  <w:vMerge w:val="restart"/>
                  <w:noWrap w:val="0"/>
                  <w:vAlign w:val="center"/>
                </w:tcPr>
                <w:p w14:paraId="12B90190">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生态环境保护</w:t>
                  </w:r>
                </w:p>
              </w:tc>
              <w:tc>
                <w:tcPr>
                  <w:tcW w:w="1745" w:type="pct"/>
                  <w:noWrap w:val="0"/>
                  <w:vAlign w:val="center"/>
                </w:tcPr>
                <w:p w14:paraId="1D05AC81">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输变电建设项目施工期临时用地应永临结合，优先利用荒地、劣地。</w:t>
                  </w:r>
                </w:p>
              </w:tc>
              <w:tc>
                <w:tcPr>
                  <w:tcW w:w="2175" w:type="pct"/>
                  <w:vMerge w:val="restart"/>
                  <w:noWrap w:val="0"/>
                  <w:vAlign w:val="center"/>
                </w:tcPr>
                <w:p w14:paraId="0BAFFB6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本项目采用架空线路，塔基占地已取得</w:t>
                  </w:r>
                  <w:r>
                    <w:rPr>
                      <w:rFonts w:hint="eastAsia" w:ascii="Times New Roman" w:hAnsi="Times New Roman" w:eastAsia="宋体" w:cs="Times New Roman"/>
                      <w:sz w:val="21"/>
                      <w:szCs w:val="21"/>
                      <w:lang w:val="en-US" w:eastAsia="zh-CN"/>
                    </w:rPr>
                    <w:t>承德县</w:t>
                  </w:r>
                  <w:r>
                    <w:rPr>
                      <w:rFonts w:hint="default" w:ascii="Times New Roman" w:hAnsi="Times New Roman" w:eastAsia="宋体" w:cs="Times New Roman"/>
                      <w:sz w:val="21"/>
                      <w:szCs w:val="21"/>
                    </w:rPr>
                    <w:t>自然资源与规划局的同意，临时占地优先利用荒地、劣地。</w:t>
                  </w:r>
                </w:p>
              </w:tc>
              <w:tc>
                <w:tcPr>
                  <w:tcW w:w="320" w:type="pct"/>
                  <w:noWrap w:val="0"/>
                  <w:vAlign w:val="center"/>
                </w:tcPr>
                <w:p w14:paraId="4C57A29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5CBE7B1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top"/>
                </w:tcPr>
                <w:p w14:paraId="3A6886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continue"/>
                  <w:noWrap w:val="0"/>
                  <w:vAlign w:val="top"/>
                </w:tcPr>
                <w:p w14:paraId="7F46703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1745" w:type="pct"/>
                  <w:noWrap w:val="0"/>
                  <w:vAlign w:val="center"/>
                </w:tcPr>
                <w:p w14:paraId="30582BB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输变电建设项目施工占用耕地、园地、林地和草地，应做好表土剥离、分类存放和回填利用。</w:t>
                  </w:r>
                </w:p>
              </w:tc>
              <w:tc>
                <w:tcPr>
                  <w:tcW w:w="2175" w:type="pct"/>
                  <w:vMerge w:val="continue"/>
                  <w:noWrap w:val="0"/>
                  <w:vAlign w:val="top"/>
                </w:tcPr>
                <w:p w14:paraId="1EE97E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320" w:type="pct"/>
                  <w:noWrap w:val="0"/>
                  <w:vAlign w:val="center"/>
                </w:tcPr>
                <w:p w14:paraId="1D6BFA0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42A65B8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top"/>
                </w:tcPr>
                <w:p w14:paraId="249C5E8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continue"/>
                  <w:noWrap w:val="0"/>
                  <w:vAlign w:val="top"/>
                </w:tcPr>
                <w:p w14:paraId="7CA4B5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1745" w:type="pct"/>
                  <w:noWrap w:val="0"/>
                  <w:vAlign w:val="center"/>
                </w:tcPr>
                <w:p w14:paraId="6646D54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施工临时道路应尽可能利用机耕路、林区小路等现有道路，新建道路应严格控制道路宽度，以减少临时工程对生态环境的影响。</w:t>
                  </w:r>
                </w:p>
              </w:tc>
              <w:tc>
                <w:tcPr>
                  <w:tcW w:w="2175" w:type="pct"/>
                  <w:vMerge w:val="continue"/>
                  <w:noWrap w:val="0"/>
                  <w:vAlign w:val="top"/>
                </w:tcPr>
                <w:p w14:paraId="60FB3AF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320" w:type="pct"/>
                  <w:noWrap w:val="0"/>
                  <w:vAlign w:val="center"/>
                </w:tcPr>
                <w:p w14:paraId="434654B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1DDDDA9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top"/>
                </w:tcPr>
                <w:p w14:paraId="425A086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noWrap w:val="0"/>
                  <w:vAlign w:val="center"/>
                </w:tcPr>
                <w:p w14:paraId="7E40EE6C">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水环境保护</w:t>
                  </w:r>
                </w:p>
              </w:tc>
              <w:tc>
                <w:tcPr>
                  <w:tcW w:w="1745" w:type="pct"/>
                  <w:noWrap w:val="0"/>
                  <w:vAlign w:val="center"/>
                </w:tcPr>
                <w:p w14:paraId="535C4E25">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施工期间禁止向水体排放、倾倒垃圾、弃土、弃渣，禁止排放未经处理的钻浆等废弃物。</w:t>
                  </w:r>
                </w:p>
              </w:tc>
              <w:tc>
                <w:tcPr>
                  <w:tcW w:w="2175" w:type="pct"/>
                  <w:noWrap w:val="0"/>
                  <w:vAlign w:val="center"/>
                </w:tcPr>
                <w:p w14:paraId="3A8F307C">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施工期间禁止向水体排放、倾倒垃圾、弃土、弃渣，禁止排放未经处理的钻浆等废弃物。</w:t>
                  </w:r>
                </w:p>
              </w:tc>
              <w:tc>
                <w:tcPr>
                  <w:tcW w:w="320" w:type="pct"/>
                  <w:noWrap w:val="0"/>
                  <w:vAlign w:val="center"/>
                </w:tcPr>
                <w:p w14:paraId="3928AC61">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2301C16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top"/>
                </w:tcPr>
                <w:p w14:paraId="1FE2B7D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restart"/>
                  <w:noWrap w:val="0"/>
                  <w:vAlign w:val="center"/>
                </w:tcPr>
                <w:p w14:paraId="4C97AC35">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大气环境保护</w:t>
                  </w:r>
                </w:p>
              </w:tc>
              <w:tc>
                <w:tcPr>
                  <w:tcW w:w="1745" w:type="pct"/>
                  <w:noWrap w:val="0"/>
                  <w:vAlign w:val="center"/>
                </w:tcPr>
                <w:p w14:paraId="7C0C6D59">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施工过程中，应当加强对施工现场和物料运输的管理，在施工工地设置硬质围挡，保持道路清洁，管控料堆和渣土堆放，防治扬尘污染。</w:t>
                  </w:r>
                </w:p>
              </w:tc>
              <w:tc>
                <w:tcPr>
                  <w:tcW w:w="2175" w:type="pct"/>
                  <w:noWrap w:val="0"/>
                  <w:vAlign w:val="center"/>
                </w:tcPr>
                <w:p w14:paraId="32EE490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加强对施工现场和物料运输的管理，设置硬质围挡，保持道路清洁，管控料堆和渣土堆放。</w:t>
                  </w:r>
                </w:p>
              </w:tc>
              <w:tc>
                <w:tcPr>
                  <w:tcW w:w="320" w:type="pct"/>
                  <w:noWrap w:val="0"/>
                  <w:vAlign w:val="center"/>
                </w:tcPr>
                <w:p w14:paraId="66843EC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6BCDB53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top"/>
                </w:tcPr>
                <w:p w14:paraId="21004CE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continue"/>
                  <w:noWrap w:val="0"/>
                  <w:vAlign w:val="top"/>
                </w:tcPr>
                <w:p w14:paraId="6EDA9ED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1745" w:type="pct"/>
                  <w:noWrap w:val="0"/>
                  <w:vAlign w:val="center"/>
                </w:tcPr>
                <w:p w14:paraId="75EA070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施工过程中，对易起尘的临时堆土、运输过程中的土石方等应采用密闭式防尘布（网）进行苫盖，施工面集中且有条件的地方宜采取洒水降尘等有效措施，减少易造成大气污染的施工作业。</w:t>
                  </w:r>
                </w:p>
              </w:tc>
              <w:tc>
                <w:tcPr>
                  <w:tcW w:w="2175" w:type="pct"/>
                  <w:noWrap w:val="0"/>
                  <w:vAlign w:val="center"/>
                </w:tcPr>
                <w:p w14:paraId="504D0FF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本项目施工场地采取洒水降尘等有效措施，减少易造成大气污染的施工作业。</w:t>
                  </w:r>
                </w:p>
              </w:tc>
              <w:tc>
                <w:tcPr>
                  <w:tcW w:w="320" w:type="pct"/>
                  <w:noWrap w:val="0"/>
                  <w:vAlign w:val="center"/>
                </w:tcPr>
                <w:p w14:paraId="35023F84">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75AF50B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18" w:type="pct"/>
                  <w:vMerge w:val="continue"/>
                  <w:noWrap w:val="0"/>
                  <w:vAlign w:val="center"/>
                </w:tcPr>
                <w:p w14:paraId="0B3FFF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540" w:type="pct"/>
                  <w:vMerge w:val="continue"/>
                  <w:noWrap w:val="0"/>
                  <w:vAlign w:val="center"/>
                </w:tcPr>
                <w:p w14:paraId="3BACFFD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p>
              </w:tc>
              <w:tc>
                <w:tcPr>
                  <w:tcW w:w="1745" w:type="pct"/>
                  <w:noWrap w:val="0"/>
                  <w:vAlign w:val="center"/>
                </w:tcPr>
                <w:p w14:paraId="3148C6CA">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施工现场禁止将包装物、可燃垃圾等固体废弃物就地焚烧。</w:t>
                  </w:r>
                </w:p>
              </w:tc>
              <w:tc>
                <w:tcPr>
                  <w:tcW w:w="2175" w:type="pct"/>
                  <w:noWrap w:val="0"/>
                  <w:vAlign w:val="center"/>
                </w:tcPr>
                <w:p w14:paraId="74D192B5">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固体废弃物经收集后按照要求交由相关部门处置，不得进行就地焚烧。</w:t>
                  </w:r>
                </w:p>
              </w:tc>
              <w:tc>
                <w:tcPr>
                  <w:tcW w:w="320" w:type="pct"/>
                  <w:noWrap w:val="0"/>
                  <w:vAlign w:val="center"/>
                </w:tcPr>
                <w:p w14:paraId="4B30C6C5">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63DDC57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758" w:type="pct"/>
                  <w:gridSpan w:val="2"/>
                  <w:noWrap w:val="0"/>
                  <w:vAlign w:val="center"/>
                </w:tcPr>
                <w:p w14:paraId="666C417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运行</w:t>
                  </w:r>
                </w:p>
              </w:tc>
              <w:tc>
                <w:tcPr>
                  <w:tcW w:w="1745" w:type="pct"/>
                  <w:noWrap w:val="0"/>
                  <w:vAlign w:val="center"/>
                </w:tcPr>
                <w:p w14:paraId="19027314">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行期做好环境保护设施的维护和运行管理，加强巡查和检查，保障发挥环境保护作用。定期开展环境监测，确保电磁、噪声、废水排放符合GB8702、GB12348、GB8978等国家标准要求，并及时解决公众合理的环境保护诉求。</w:t>
                  </w:r>
                </w:p>
              </w:tc>
              <w:tc>
                <w:tcPr>
                  <w:tcW w:w="2175" w:type="pct"/>
                  <w:noWrap w:val="0"/>
                  <w:vAlign w:val="center"/>
                </w:tcPr>
                <w:p w14:paraId="36AE0FEC">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本项目属于电力供应，本项目实施后仅为电磁影响，不涉及废气、废水、噪声和固废等污染物。定期开展环境监测，确保电磁排放符合GB8702、GB12348等国家标准要求，并及时解决公众合理的环境保护诉求。</w:t>
                  </w:r>
                </w:p>
              </w:tc>
              <w:tc>
                <w:tcPr>
                  <w:tcW w:w="320" w:type="pct"/>
                  <w:noWrap w:val="0"/>
                  <w:vAlign w:val="center"/>
                </w:tcPr>
                <w:p w14:paraId="726C2E0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14:paraId="76577532">
            <w:pPr>
              <w:adjustRightInd w:val="0"/>
              <w:snapToGrid w:val="0"/>
              <w:spacing w:line="480" w:lineRule="exact"/>
              <w:ind w:firstLine="420" w:firstLineChars="20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综上，本工程输电线路在选址选线、设计和施工、运行等阶段均满足《输变电建设项目环境保护技术要求》（HJ1113-2020）中相关技术要求。</w:t>
            </w:r>
          </w:p>
          <w:p w14:paraId="3B11CCD7">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31633507">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0FAA1726">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1AE94C41">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51D938F9">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103871D8">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6571D553">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7E34D8F2">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32294632">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76234DED">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4F3136B5">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09625496">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58E4B522">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0EEDDD8C">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3027ECBC">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21063B15">
            <w:pPr>
              <w:autoSpaceDE w:val="0"/>
              <w:autoSpaceDN w:val="0"/>
              <w:adjustRightInd w:val="0"/>
              <w:snapToGrid w:val="0"/>
              <w:spacing w:line="480" w:lineRule="exact"/>
              <w:ind w:firstLine="420" w:firstLineChars="200"/>
              <w:jc w:val="left"/>
              <w:rPr>
                <w:color w:val="000000" w:themeColor="text1"/>
                <w:kern w:val="0"/>
                <w:szCs w:val="21"/>
                <w14:textFill>
                  <w14:solidFill>
                    <w14:schemeClr w14:val="tx1"/>
                  </w14:solidFill>
                </w14:textFill>
              </w:rPr>
            </w:pPr>
          </w:p>
          <w:p w14:paraId="34F44FFA">
            <w:pPr>
              <w:autoSpaceDE w:val="0"/>
              <w:autoSpaceDN w:val="0"/>
              <w:adjustRightInd w:val="0"/>
              <w:snapToGrid w:val="0"/>
              <w:spacing w:line="360" w:lineRule="auto"/>
              <w:jc w:val="left"/>
              <w:rPr>
                <w:rFonts w:ascii="宋体" w:hAnsi="宋体" w:cs="宋体"/>
                <w:color w:val="000000" w:themeColor="text1"/>
                <w:kern w:val="0"/>
                <w:szCs w:val="21"/>
                <w14:textFill>
                  <w14:solidFill>
                    <w14:schemeClr w14:val="tx1"/>
                  </w14:solidFill>
                </w14:textFill>
              </w:rPr>
            </w:pPr>
          </w:p>
        </w:tc>
      </w:tr>
    </w:tbl>
    <w:p w14:paraId="070C04E4">
      <w:pPr>
        <w:spacing w:line="360" w:lineRule="auto"/>
        <w:rPr>
          <w:rFonts w:eastAsia="黑体"/>
          <w:color w:val="000000" w:themeColor="text1"/>
          <w:sz w:val="30"/>
          <w14:textFill>
            <w14:solidFill>
              <w14:schemeClr w14:val="tx1"/>
            </w14:solidFill>
          </w14:textFill>
        </w:rPr>
        <w:sectPr>
          <w:pgSz w:w="11906" w:h="16838"/>
          <w:pgMar w:top="1701" w:right="1531" w:bottom="1701" w:left="1531" w:header="851" w:footer="1077" w:gutter="0"/>
          <w:pgNumType w:fmt="decimal"/>
          <w:cols w:space="720" w:num="1"/>
          <w:docGrid w:linePitch="312" w:charSpace="0"/>
        </w:sectPr>
      </w:pPr>
    </w:p>
    <w:p w14:paraId="6191B0CC">
      <w:pPr>
        <w:pStyle w:val="20"/>
        <w:jc w:val="center"/>
        <w:outlineLvl w:val="0"/>
        <w:rPr>
          <w:rFonts w:ascii="黑体" w:hAnsi="黑体" w:eastAsia="黑体"/>
          <w:snapToGrid w:val="0"/>
          <w:color w:val="000000" w:themeColor="text1"/>
          <w:sz w:val="30"/>
          <w:szCs w:val="30"/>
          <w14:textFill>
            <w14:solidFill>
              <w14:schemeClr w14:val="tx1"/>
            </w14:solidFill>
          </w14:textFill>
        </w:rPr>
      </w:pPr>
      <w:bookmarkStart w:id="3" w:name="_Toc1285"/>
      <w:r>
        <w:rPr>
          <w:rFonts w:hint="eastAsia" w:ascii="黑体" w:hAnsi="黑体" w:eastAsia="黑体"/>
          <w:snapToGrid w:val="0"/>
          <w:color w:val="000000" w:themeColor="text1"/>
          <w:sz w:val="30"/>
          <w:szCs w:val="30"/>
          <w14:textFill>
            <w14:solidFill>
              <w14:schemeClr w14:val="tx1"/>
            </w14:solidFill>
          </w14:textFill>
        </w:rPr>
        <w:t>二、建设内容</w:t>
      </w:r>
      <w:bookmarkEnd w:id="3"/>
    </w:p>
    <w:tbl>
      <w:tblPr>
        <w:tblStyle w:val="23"/>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099"/>
      </w:tblGrid>
      <w:tr w14:paraId="77E0E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 w:type="pct"/>
            <w:vAlign w:val="center"/>
          </w:tcPr>
          <w:p w14:paraId="5A61C96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地理位置</w:t>
            </w:r>
          </w:p>
        </w:tc>
        <w:tc>
          <w:tcPr>
            <w:tcW w:w="4751" w:type="pct"/>
            <w:vAlign w:val="center"/>
          </w:tcPr>
          <w:p w14:paraId="1A466628">
            <w:pPr>
              <w:adjustRightInd w:val="0"/>
              <w:snapToGrid w:val="0"/>
              <w:spacing w:line="480" w:lineRule="exact"/>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本项目线路位于河北省承德市承德县六沟镇、甲山镇、石灰窑镇，线路起点为京能国际220kV升压站，终点为丰晟220kV升压站，共布设114座塔基。</w:t>
            </w:r>
          </w:p>
          <w:p w14:paraId="03F56DEF">
            <w:pPr>
              <w:adjustRightInd w:val="0"/>
              <w:snapToGrid w:val="0"/>
              <w:spacing w:line="480" w:lineRule="exact"/>
              <w:ind w:firstLine="420" w:firstLineChars="20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起点坐标（N1）：E118°16′32.61″，40°58′17.54″</w:t>
            </w:r>
          </w:p>
          <w:p w14:paraId="2E33376B">
            <w:pPr>
              <w:adjustRightInd w:val="0"/>
              <w:snapToGrid w:val="0"/>
              <w:spacing w:line="480" w:lineRule="exact"/>
              <w:ind w:firstLine="420" w:firstLineChars="200"/>
              <w:rPr>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终点坐标（N109）：E118°21′35.34″，40°46′46.71″</w:t>
            </w:r>
          </w:p>
        </w:tc>
      </w:tr>
      <w:tr w14:paraId="285C7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 w:type="pct"/>
            <w:vAlign w:val="center"/>
          </w:tcPr>
          <w:p w14:paraId="3FC96178">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项目组成及规模</w:t>
            </w:r>
          </w:p>
        </w:tc>
        <w:tc>
          <w:tcPr>
            <w:tcW w:w="4751" w:type="pct"/>
            <w:vAlign w:val="center"/>
          </w:tcPr>
          <w:p w14:paraId="39171FF9">
            <w:pPr>
              <w:adjustRightInd w:val="0"/>
              <w:snapToGrid w:val="0"/>
              <w:spacing w:line="480" w:lineRule="exact"/>
              <w:ind w:firstLine="42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一、项目背景</w:t>
            </w:r>
          </w:p>
          <w:p w14:paraId="0DA3F85E">
            <w:pPr>
              <w:adjustRightInd w:val="0"/>
              <w:snapToGrid w:val="0"/>
              <w:spacing w:line="480" w:lineRule="exact"/>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近年来，我国以风电、光伏发电为代表的新能源发展成效显著，“十四五”规划提出全面推进风电和太阳能发电大规模开发和高质量发展，因地制宜发展其他可再生能源。</w:t>
            </w:r>
          </w:p>
          <w:p w14:paraId="3C3373F4">
            <w:pPr>
              <w:adjustRightInd w:val="0"/>
              <w:snapToGrid w:val="0"/>
              <w:spacing w:line="480" w:lineRule="exact"/>
              <w:ind w:firstLine="420" w:firstLineChars="200"/>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承德地区太阳能资源比较丰富，适合建设光伏电站开发利用太阳能。</w:t>
            </w:r>
            <w:r>
              <w:rPr>
                <w:rFonts w:hint="eastAsia"/>
                <w:color w:val="000000" w:themeColor="text1"/>
                <w:lang w:val="en-US" w:eastAsia="zh-CN"/>
                <w14:textFill>
                  <w14:solidFill>
                    <w14:schemeClr w14:val="tx1"/>
                  </w14:solidFill>
                </w14:textFill>
              </w:rPr>
              <w:t>京能（承德县）新能源有限公司投资建设“京能国际承德县200MW光伏项目”，位于河北省承德市承德县石灰窑镇、六沟镇、三沟镇。</w:t>
            </w:r>
          </w:p>
          <w:p w14:paraId="68C54E0A">
            <w:pPr>
              <w:adjustRightInd w:val="0"/>
              <w:snapToGrid w:val="0"/>
              <w:spacing w:line="480" w:lineRule="exact"/>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2023年8月委托编制了《京能国际承德县200MW光伏项目环境影响报告表》，2023年8月18日该项目取得承德市生态环境局承德县分局出具的承德市生态环境局承德县分局关于《京能国际承德县200MW光伏项目》环境影响报告表的批复（承县环评审〔2023〕11号）。</w:t>
            </w:r>
          </w:p>
          <w:p w14:paraId="30D57492">
            <w:pPr>
              <w:adjustRightInd w:val="0"/>
              <w:snapToGrid w:val="0"/>
              <w:spacing w:line="480" w:lineRule="exact"/>
              <w:ind w:firstLine="420" w:firstLineChars="20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京能国际承德县200MW光伏项目升压站工程（</w:t>
            </w:r>
            <w:r>
              <w:rPr>
                <w:rFonts w:hint="eastAsia"/>
                <w:color w:val="000000" w:themeColor="text1"/>
                <w:szCs w:val="21"/>
                <w:lang w:val="en-US" w:eastAsia="zh-CN"/>
                <w14:textFill>
                  <w14:solidFill>
                    <w14:schemeClr w14:val="tx1"/>
                  </w14:solidFill>
                </w14:textFill>
              </w:rPr>
              <w:t>京能国际220kV升压站</w:t>
            </w:r>
            <w:r>
              <w:rPr>
                <w:rFonts w:hint="eastAsia"/>
                <w:color w:val="000000" w:themeColor="text1"/>
                <w:lang w:val="en-US" w:eastAsia="zh-CN"/>
                <w14:textFill>
                  <w14:solidFill>
                    <w14:schemeClr w14:val="tx1"/>
                  </w14:solidFill>
                </w14:textFill>
              </w:rPr>
              <w:t>）辐射项目于2023年8月取得承德市行政审批局出具的批复，文号为“承审批字〔2023〕354号”。本项目为该项目的送出线路工程，于2023年11月28日取得承德市行政审批局核准文件，核准文号为“承审批核字〔2023〕65号”。</w:t>
            </w:r>
          </w:p>
          <w:p w14:paraId="23D2DAC9">
            <w:pPr>
              <w:adjustRightInd w:val="0"/>
              <w:snapToGrid w:val="0"/>
              <w:spacing w:line="480" w:lineRule="exact"/>
              <w:ind w:firstLine="42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2023年3月3日，国网冀北电力有限公司经济技术研究院出具了关于京能国际承德县200兆瓦光伏项目接入系统设计的评审意见（冀北经研〔2023〕137号），根据系统接入方案，丰晟220千伏升压站为本项目的接入升压站。</w:t>
            </w:r>
          </w:p>
          <w:p w14:paraId="6D5A9C7A">
            <w:pPr>
              <w:adjustRightInd w:val="0"/>
              <w:snapToGrid w:val="0"/>
              <w:spacing w:line="480" w:lineRule="exact"/>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根据《中华人民共和国环境影响评价法》《建设项目环境保护管理条例（2017年修正本）》（国务院第253号令）及《建设项目环境影响评价分类管理名录》（2021版）等国家有关建设项目环境管理的规定，</w:t>
            </w:r>
            <w:r>
              <w:rPr>
                <w:rFonts w:hint="eastAsia"/>
                <w:color w:val="000000" w:themeColor="text1"/>
                <w:lang w:val="en-US" w:eastAsia="zh-CN"/>
                <w14:textFill>
                  <w14:solidFill>
                    <w14:schemeClr w14:val="tx1"/>
                  </w14:solidFill>
                </w14:textFill>
              </w:rPr>
              <w:t>本项目</w:t>
            </w:r>
            <w:r>
              <w:rPr>
                <w:rFonts w:hint="eastAsia"/>
                <w:color w:val="000000" w:themeColor="text1"/>
                <w14:textFill>
                  <w14:solidFill>
                    <w14:schemeClr w14:val="tx1"/>
                  </w14:solidFill>
                </w14:textFill>
              </w:rPr>
              <w:t>属于名录中“五十五、核与辐射 161输变电工程其他（100千伏以下除外）”类别，需进行辐射环境影响评价并编制环境影响报告表。</w:t>
            </w:r>
            <w:r>
              <w:rPr>
                <w:rFonts w:hint="eastAsia"/>
                <w:color w:val="000000" w:themeColor="text1"/>
                <w:lang w:val="en-US" w:eastAsia="zh-CN"/>
                <w14:textFill>
                  <w14:solidFill>
                    <w14:schemeClr w14:val="tx1"/>
                  </w14:solidFill>
                </w14:textFill>
              </w:rPr>
              <w:t>京能（承德县）新能源有限公司</w:t>
            </w:r>
            <w:r>
              <w:rPr>
                <w:rFonts w:hint="eastAsia"/>
                <w:color w:val="000000" w:themeColor="text1"/>
                <w14:textFill>
                  <w14:solidFill>
                    <w14:schemeClr w14:val="tx1"/>
                  </w14:solidFill>
                </w14:textFill>
              </w:rPr>
              <w:t>于202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委托我公司承担环境影响评价工作，接受委托后，我公司根据环境影响评价工作程序的要求，组织有关工程技术人员对评价项目所在地周围环境进行实地踏勘，收集了有关的资料，在研究相关法律法规和进行初步工程分析的基础上，筛选评价因子和确定评价工作等级，结合评价项目所在区域的环境特征，制定了本项目现状监测方案，建设单位依此委托资质检测单位开展了监测。我公司参考现状监测数据，对该项目进行工程分析、施工期和营运期环境影响分析、环境风险分析、环保措施分析等，</w:t>
            </w:r>
            <w:r>
              <w:rPr>
                <w:rFonts w:hint="eastAsia"/>
                <w:color w:val="000000" w:themeColor="text1"/>
                <w:lang w:eastAsia="zh-CN"/>
                <w14:textFill>
                  <w14:solidFill>
                    <w14:schemeClr w14:val="tx1"/>
                  </w14:solidFill>
                </w14:textFill>
              </w:rPr>
              <w:t>按照</w:t>
            </w:r>
            <w:r>
              <w:rPr>
                <w:rFonts w:hint="eastAsia"/>
                <w:color w:val="000000" w:themeColor="text1"/>
                <w14:textFill>
                  <w14:solidFill>
                    <w14:schemeClr w14:val="tx1"/>
                  </w14:solidFill>
                </w14:textFill>
              </w:rPr>
              <w:t>《环境影响评价技术导则 输变电》等要求开展了相关环境评价工作，编制了本电磁辐射影响报告表及电磁环境影响专题评价。</w:t>
            </w:r>
          </w:p>
          <w:p w14:paraId="08E114EF">
            <w:pPr>
              <w:pStyle w:val="17"/>
              <w:spacing w:line="480" w:lineRule="exact"/>
              <w:ind w:left="0" w:firstLine="422" w:firstLineChars="200"/>
              <w:rPr>
                <w:color w:val="000000" w:themeColor="text1"/>
                <w:kern w:val="2"/>
                <w:szCs w:val="21"/>
                <w14:textFill>
                  <w14:solidFill>
                    <w14:schemeClr w14:val="tx1"/>
                  </w14:solidFill>
                </w14:textFill>
              </w:rPr>
            </w:pPr>
            <w:r>
              <w:rPr>
                <w:rFonts w:hint="eastAsia"/>
                <w:b/>
                <w:bCs/>
                <w:color w:val="000000" w:themeColor="text1"/>
                <w:kern w:val="2"/>
                <w:szCs w:val="21"/>
                <w14:textFill>
                  <w14:solidFill>
                    <w14:schemeClr w14:val="tx1"/>
                  </w14:solidFill>
                </w14:textFill>
              </w:rPr>
              <w:t>二、项目建设基本信息</w:t>
            </w:r>
          </w:p>
          <w:p w14:paraId="43A9821F">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1、工程名称：</w:t>
            </w:r>
            <w:r>
              <w:rPr>
                <w:rFonts w:hint="eastAsia"/>
                <w:color w:val="000000" w:themeColor="text1"/>
                <w:lang w:val="en-US" w:eastAsia="zh-CN"/>
                <w14:textFill>
                  <w14:solidFill>
                    <w14:schemeClr w14:val="tx1"/>
                  </w14:solidFill>
                </w14:textFill>
              </w:rPr>
              <w:t>京能国际承德县200MW光伏项目</w:t>
            </w:r>
            <w:r>
              <w:rPr>
                <w:rFonts w:hint="eastAsia"/>
                <w:color w:val="000000" w:themeColor="text1"/>
                <w:szCs w:val="21"/>
                <w14:textFill>
                  <w14:solidFill>
                    <w14:schemeClr w14:val="tx1"/>
                  </w14:solidFill>
                </w14:textFill>
              </w:rPr>
              <w:t>220kV送出工程</w:t>
            </w:r>
          </w:p>
          <w:p w14:paraId="3E8F6FA2">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2、建设性质：新建</w:t>
            </w:r>
          </w:p>
          <w:p w14:paraId="4173E0D9">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3、建设单位：</w:t>
            </w:r>
            <w:r>
              <w:rPr>
                <w:rFonts w:hint="eastAsia"/>
                <w:color w:val="000000" w:themeColor="text1"/>
                <w:lang w:val="en-US" w:eastAsia="zh-CN"/>
                <w14:textFill>
                  <w14:solidFill>
                    <w14:schemeClr w14:val="tx1"/>
                  </w14:solidFill>
                </w14:textFill>
              </w:rPr>
              <w:t>京能（承德县）新能源有限公司</w:t>
            </w:r>
          </w:p>
          <w:p w14:paraId="2B892029">
            <w:pPr>
              <w:pStyle w:val="17"/>
              <w:spacing w:line="480" w:lineRule="exact"/>
              <w:ind w:left="0" w:firstLine="420" w:firstLineChars="200"/>
              <w:rPr>
                <w:rFonts w:hint="default" w:eastAsia="宋体"/>
                <w:color w:val="000000" w:themeColor="text1"/>
                <w:kern w:val="2"/>
                <w:szCs w:val="21"/>
                <w:lang w:val="en-US" w:eastAsia="zh-CN"/>
                <w14:textFill>
                  <w14:solidFill>
                    <w14:schemeClr w14:val="tx1"/>
                  </w14:solidFill>
                </w14:textFill>
              </w:rPr>
            </w:pPr>
            <w:r>
              <w:rPr>
                <w:rFonts w:hint="eastAsia"/>
                <w:color w:val="000000" w:themeColor="text1"/>
                <w:kern w:val="2"/>
                <w:szCs w:val="21"/>
                <w14:textFill>
                  <w14:solidFill>
                    <w14:schemeClr w14:val="tx1"/>
                  </w14:solidFill>
                </w14:textFill>
              </w:rPr>
              <w:t>4、建设地点：</w:t>
            </w:r>
            <w:r>
              <w:rPr>
                <w:rFonts w:hint="eastAsia"/>
                <w:color w:val="000000" w:themeColor="text1"/>
                <w:kern w:val="2"/>
                <w:szCs w:val="21"/>
                <w:lang w:val="en-US" w:eastAsia="zh-CN"/>
                <w14:textFill>
                  <w14:solidFill>
                    <w14:schemeClr w14:val="tx1"/>
                  </w14:solidFill>
                </w14:textFill>
              </w:rPr>
              <w:t>河北省承德市承德县甲山镇、六沟镇、石灰窑镇</w:t>
            </w:r>
          </w:p>
          <w:p w14:paraId="4ABBB50B">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5、工作制度与职工人数：本工程运营期全年为365天，每天24小时运行，为自动测控无人值守。</w:t>
            </w:r>
          </w:p>
          <w:p w14:paraId="5BAAECC5">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6、导线型号：JL/G1A-</w:t>
            </w:r>
            <w:r>
              <w:rPr>
                <w:rFonts w:hint="eastAsia"/>
                <w:color w:val="000000" w:themeColor="text1"/>
                <w:kern w:val="2"/>
                <w:szCs w:val="21"/>
                <w:lang w:val="en-US" w:eastAsia="zh-CN"/>
                <w14:textFill>
                  <w14:solidFill>
                    <w14:schemeClr w14:val="tx1"/>
                  </w14:solidFill>
                </w14:textFill>
              </w:rPr>
              <w:t>240</w:t>
            </w:r>
            <w:r>
              <w:rPr>
                <w:rFonts w:hint="eastAsia"/>
                <w:color w:val="000000" w:themeColor="text1"/>
                <w:kern w:val="2"/>
                <w:szCs w:val="21"/>
                <w14:textFill>
                  <w14:solidFill>
                    <w14:schemeClr w14:val="tx1"/>
                  </w14:solidFill>
                </w14:textFill>
              </w:rPr>
              <w:t>/</w:t>
            </w:r>
            <w:r>
              <w:rPr>
                <w:rFonts w:hint="eastAsia"/>
                <w:color w:val="000000" w:themeColor="text1"/>
                <w:kern w:val="2"/>
                <w:szCs w:val="21"/>
                <w:lang w:val="en-US" w:eastAsia="zh-CN"/>
                <w14:textFill>
                  <w14:solidFill>
                    <w14:schemeClr w14:val="tx1"/>
                  </w14:solidFill>
                </w14:textFill>
              </w:rPr>
              <w:t>30</w:t>
            </w:r>
            <w:r>
              <w:rPr>
                <w:rFonts w:hint="eastAsia"/>
                <w:color w:val="000000" w:themeColor="text1"/>
                <w:kern w:val="2"/>
                <w:szCs w:val="21"/>
                <w14:textFill>
                  <w14:solidFill>
                    <w14:schemeClr w14:val="tx1"/>
                  </w14:solidFill>
                </w14:textFill>
              </w:rPr>
              <w:t xml:space="preserve"> 钢芯铝绞线</w:t>
            </w:r>
          </w:p>
          <w:p w14:paraId="3479B1C0">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 xml:space="preserve">7、地线型号：采用 2 根 </w:t>
            </w:r>
            <w:r>
              <w:rPr>
                <w:rFonts w:hint="eastAsia"/>
                <w:color w:val="000000" w:themeColor="text1"/>
                <w:kern w:val="2"/>
                <w:szCs w:val="21"/>
                <w:lang w:val="en-US" w:eastAsia="zh-CN"/>
                <w14:textFill>
                  <w14:solidFill>
                    <w14:schemeClr w14:val="tx1"/>
                  </w14:solidFill>
                </w14:textFill>
              </w:rPr>
              <w:t>24芯OPGW</w:t>
            </w:r>
            <w:r>
              <w:rPr>
                <w:rFonts w:hint="eastAsia"/>
                <w:color w:val="000000" w:themeColor="text1"/>
                <w:kern w:val="2"/>
                <w:szCs w:val="21"/>
                <w14:textFill>
                  <w14:solidFill>
                    <w14:schemeClr w14:val="tx1"/>
                  </w14:solidFill>
                </w14:textFill>
              </w:rPr>
              <w:t>光缆</w:t>
            </w:r>
          </w:p>
          <w:p w14:paraId="6991881F">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8、回路数：单回路</w:t>
            </w:r>
          </w:p>
          <w:p w14:paraId="17009236">
            <w:pPr>
              <w:pStyle w:val="17"/>
              <w:spacing w:line="480" w:lineRule="exact"/>
              <w:ind w:left="0" w:firstLine="420" w:firstLineChars="200"/>
              <w:rPr>
                <w:color w:val="000000" w:themeColor="text1"/>
                <w:kern w:val="2"/>
                <w:szCs w:val="21"/>
                <w14:textFill>
                  <w14:solidFill>
                    <w14:schemeClr w14:val="tx1"/>
                  </w14:solidFill>
                </w14:textFill>
              </w:rPr>
            </w:pPr>
            <w:r>
              <w:rPr>
                <w:color w:val="000000" w:themeColor="text1"/>
                <w:kern w:val="2"/>
                <w:szCs w:val="21"/>
                <w14:textFill>
                  <w14:solidFill>
                    <w14:schemeClr w14:val="tx1"/>
                  </w14:solidFill>
                </w14:textFill>
              </w:rPr>
              <w:t>9、工程投资：项目总投资</w:t>
            </w:r>
            <w:r>
              <w:rPr>
                <w:rFonts w:hint="eastAsia"/>
                <w:color w:val="000000" w:themeColor="text1"/>
                <w:kern w:val="2"/>
                <w:szCs w:val="21"/>
                <w:lang w:val="en-US" w:eastAsia="zh-CN"/>
                <w14:textFill>
                  <w14:solidFill>
                    <w14:schemeClr w14:val="tx1"/>
                  </w14:solidFill>
                </w14:textFill>
              </w:rPr>
              <w:t>8898</w:t>
            </w:r>
            <w:r>
              <w:rPr>
                <w:color w:val="000000" w:themeColor="text1"/>
                <w:kern w:val="2"/>
                <w:szCs w:val="21"/>
                <w14:textFill>
                  <w14:solidFill>
                    <w14:schemeClr w14:val="tx1"/>
                  </w14:solidFill>
                </w14:textFill>
              </w:rPr>
              <w:t>万元，其中环保投资为635万元，占总投资的7</w:t>
            </w:r>
            <w:r>
              <w:rPr>
                <w:rFonts w:hint="eastAsia"/>
                <w:color w:val="000000" w:themeColor="text1"/>
                <w:kern w:val="2"/>
                <w:szCs w:val="21"/>
                <w:lang w:val="en-US" w:eastAsia="zh-CN"/>
                <w14:textFill>
                  <w14:solidFill>
                    <w14:schemeClr w14:val="tx1"/>
                  </w14:solidFill>
                </w14:textFill>
              </w:rPr>
              <w:t>.1</w:t>
            </w:r>
            <w:r>
              <w:rPr>
                <w:color w:val="000000" w:themeColor="text1"/>
                <w:kern w:val="2"/>
                <w:szCs w:val="21"/>
                <w14:textFill>
                  <w14:solidFill>
                    <w14:schemeClr w14:val="tx1"/>
                  </w14:solidFill>
                </w14:textFill>
              </w:rPr>
              <w:t>%。</w:t>
            </w:r>
          </w:p>
          <w:p w14:paraId="0F5137CF">
            <w:pPr>
              <w:pStyle w:val="17"/>
              <w:spacing w:line="480" w:lineRule="exact"/>
              <w:ind w:left="0" w:firstLine="420" w:firstLineChars="200"/>
              <w:rPr>
                <w:rFonts w:hint="eastAsia" w:eastAsia="宋体"/>
                <w:color w:val="000000" w:themeColor="text1"/>
                <w:kern w:val="2"/>
                <w:szCs w:val="21"/>
                <w:lang w:eastAsia="zh-CN"/>
                <w14:textFill>
                  <w14:solidFill>
                    <w14:schemeClr w14:val="tx1"/>
                  </w14:solidFill>
                </w14:textFill>
              </w:rPr>
            </w:pPr>
            <w:r>
              <w:rPr>
                <w:rFonts w:hint="eastAsia"/>
                <w:color w:val="000000" w:themeColor="text1"/>
                <w:kern w:val="2"/>
                <w:szCs w:val="21"/>
                <w14:textFill>
                  <w14:solidFill>
                    <w14:schemeClr w14:val="tx1"/>
                  </w14:solidFill>
                </w14:textFill>
              </w:rPr>
              <w:t>10、施工进度：</w:t>
            </w:r>
            <w:r>
              <w:rPr>
                <w:rFonts w:hint="eastAsia"/>
                <w:color w:val="000000" w:themeColor="text1"/>
                <w:lang w:val="en-US" w:eastAsia="zh-CN"/>
                <w14:textFill>
                  <w14:solidFill>
                    <w14:schemeClr w14:val="tx1"/>
                  </w14:solidFill>
                </w14:textFill>
              </w:rPr>
              <w:t>本项目已建设完成</w:t>
            </w:r>
            <w:r>
              <w:rPr>
                <w:rFonts w:hint="eastAsia"/>
                <w:color w:val="000000" w:themeColor="text1"/>
                <w:lang w:eastAsia="zh-CN"/>
                <w14:textFill>
                  <w14:solidFill>
                    <w14:schemeClr w14:val="tx1"/>
                  </w14:solidFill>
                </w14:textFill>
              </w:rPr>
              <w:t>。</w:t>
            </w:r>
          </w:p>
          <w:p w14:paraId="736DA94A">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工程主要建设内容见表2-</w:t>
            </w:r>
            <w:r>
              <w:rPr>
                <w:rFonts w:hint="eastAsia"/>
                <w:color w:val="000000" w:themeColor="text1"/>
                <w:kern w:val="2"/>
                <w:szCs w:val="21"/>
                <w:lang w:val="en-US" w:eastAsia="zh-CN"/>
                <w14:textFill>
                  <w14:solidFill>
                    <w14:schemeClr w14:val="tx1"/>
                  </w14:solidFill>
                </w14:textFill>
              </w:rPr>
              <w:t>1</w:t>
            </w:r>
            <w:r>
              <w:rPr>
                <w:rFonts w:hint="eastAsia"/>
                <w:color w:val="000000" w:themeColor="text1"/>
                <w:kern w:val="2"/>
                <w:szCs w:val="21"/>
                <w14:textFill>
                  <w14:solidFill>
                    <w14:schemeClr w14:val="tx1"/>
                  </w14:solidFill>
                </w14:textFill>
              </w:rPr>
              <w:t>：</w:t>
            </w:r>
          </w:p>
          <w:p w14:paraId="61E6534A">
            <w:pPr>
              <w:pStyle w:val="17"/>
              <w:spacing w:line="480" w:lineRule="exact"/>
              <w:ind w:left="422" w:hanging="422"/>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w:t>
            </w:r>
            <w:r>
              <w:rPr>
                <w:rFonts w:hint="eastAsia"/>
                <w:b/>
                <w:bCs/>
                <w:color w:val="000000" w:themeColor="text1"/>
                <w:szCs w:val="21"/>
                <w:lang w:val="en-US" w:eastAsia="zh-CN"/>
                <w14:textFill>
                  <w14:solidFill>
                    <w14:schemeClr w14:val="tx1"/>
                  </w14:solidFill>
                </w14:textFill>
              </w:rPr>
              <w:t>1</w:t>
            </w:r>
            <w:r>
              <w:rPr>
                <w:b/>
                <w:bCs/>
                <w:color w:val="000000" w:themeColor="text1"/>
                <w:szCs w:val="21"/>
                <w14:textFill>
                  <w14:solidFill>
                    <w14:schemeClr w14:val="tx1"/>
                  </w14:solidFill>
                </w14:textFill>
              </w:rPr>
              <w:t xml:space="preserve"> 主要建设内容一览表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853"/>
              <w:gridCol w:w="576"/>
              <w:gridCol w:w="569"/>
              <w:gridCol w:w="5871"/>
            </w:tblGrid>
            <w:tr w14:paraId="1E1186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Align w:val="center"/>
                </w:tcPr>
                <w:p w14:paraId="7EF49C82">
                  <w:pPr>
                    <w:adjustRightInd w:val="0"/>
                    <w:snapToGri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工程组成</w:t>
                  </w:r>
                </w:p>
              </w:tc>
              <w:tc>
                <w:tcPr>
                  <w:tcW w:w="1145" w:type="dxa"/>
                  <w:gridSpan w:val="2"/>
                  <w:vAlign w:val="center"/>
                </w:tcPr>
                <w:p w14:paraId="6DF3CD20">
                  <w:pPr>
                    <w:adjustRightInd w:val="0"/>
                    <w:snapToGri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w:t>
                  </w:r>
                </w:p>
              </w:tc>
              <w:tc>
                <w:tcPr>
                  <w:tcW w:w="5871" w:type="dxa"/>
                  <w:vAlign w:val="center"/>
                </w:tcPr>
                <w:p w14:paraId="222C7F90">
                  <w:pPr>
                    <w:adjustRightInd w:val="0"/>
                    <w:snapToGri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内容</w:t>
                  </w:r>
                </w:p>
              </w:tc>
            </w:tr>
            <w:tr w14:paraId="462AB7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restart"/>
                  <w:vAlign w:val="center"/>
                </w:tcPr>
                <w:p w14:paraId="04992A12">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1145" w:type="dxa"/>
                  <w:gridSpan w:val="2"/>
                  <w:vAlign w:val="center"/>
                </w:tcPr>
                <w:p w14:paraId="570E4F97">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电压等级</w:t>
                  </w:r>
                </w:p>
              </w:tc>
              <w:tc>
                <w:tcPr>
                  <w:tcW w:w="5871" w:type="dxa"/>
                  <w:vAlign w:val="center"/>
                </w:tcPr>
                <w:p w14:paraId="638FD692">
                  <w:pPr>
                    <w:adjustRightInd w:val="0"/>
                    <w:snapToGrid w:val="0"/>
                    <w:spacing w:line="320" w:lineRule="exact"/>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220kV</w:t>
                  </w:r>
                </w:p>
              </w:tc>
            </w:tr>
            <w:tr w14:paraId="5D50B1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65FDCA2D">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1F30CC40">
                  <w:pPr>
                    <w:adjustRightInd w:val="0"/>
                    <w:snapToGrid w:val="0"/>
                    <w:spacing w:line="32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输送容量</w:t>
                  </w:r>
                </w:p>
              </w:tc>
              <w:tc>
                <w:tcPr>
                  <w:tcW w:w="5871" w:type="dxa"/>
                  <w:vAlign w:val="center"/>
                </w:tcPr>
                <w:p w14:paraId="392B1622">
                  <w:pPr>
                    <w:adjustRightInd w:val="0"/>
                    <w:snapToGrid w:val="0"/>
                    <w:spacing w:line="320" w:lineRule="exact"/>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200MW</w:t>
                  </w:r>
                </w:p>
              </w:tc>
            </w:tr>
            <w:tr w14:paraId="62899F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75230DFD">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0D067D9A">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起点</w:t>
                  </w:r>
                </w:p>
              </w:tc>
              <w:tc>
                <w:tcPr>
                  <w:tcW w:w="5871" w:type="dxa"/>
                  <w:vAlign w:val="center"/>
                </w:tcPr>
                <w:p w14:paraId="1D0DE4CA">
                  <w:pPr>
                    <w:adjustRightInd w:val="0"/>
                    <w:snapToGrid w:val="0"/>
                    <w:spacing w:line="320" w:lineRule="exac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京能国际220kV升压站</w:t>
                  </w:r>
                  <w:r>
                    <w:rPr>
                      <w:rFonts w:hint="eastAsia"/>
                      <w:color w:val="000000" w:themeColor="text1"/>
                      <w14:textFill>
                        <w14:solidFill>
                          <w14:schemeClr w14:val="tx1"/>
                        </w14:solidFill>
                      </w14:textFill>
                    </w:rPr>
                    <w:t>220kV架构东起第1间隔</w:t>
                  </w:r>
                </w:p>
              </w:tc>
            </w:tr>
            <w:tr w14:paraId="32BBF5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115362F4">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15310CBB">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终点</w:t>
                  </w:r>
                </w:p>
              </w:tc>
              <w:tc>
                <w:tcPr>
                  <w:tcW w:w="5871" w:type="dxa"/>
                  <w:vAlign w:val="center"/>
                </w:tcPr>
                <w:p w14:paraId="442A7C84">
                  <w:pPr>
                    <w:adjustRightInd w:val="0"/>
                    <w:snapToGrid w:val="0"/>
                    <w:spacing w:line="320" w:lineRule="exact"/>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丰晟220kV升压站</w:t>
                  </w:r>
                  <w:r>
                    <w:rPr>
                      <w:rFonts w:hint="eastAsia"/>
                      <w:color w:val="000000" w:themeColor="text1"/>
                      <w14:textFill>
                        <w14:solidFill>
                          <w14:schemeClr w14:val="tx1"/>
                        </w14:solidFill>
                      </w14:textFill>
                    </w:rPr>
                    <w:t>220kV架构</w:t>
                  </w:r>
                  <w:r>
                    <w:rPr>
                      <w:rFonts w:hint="eastAsia"/>
                      <w:color w:val="000000" w:themeColor="text1"/>
                      <w:lang w:val="en-US" w:eastAsia="zh-CN"/>
                      <w14:textFill>
                        <w14:solidFill>
                          <w14:schemeClr w14:val="tx1"/>
                        </w14:solidFill>
                      </w14:textFill>
                    </w:rPr>
                    <w:t>南</w:t>
                  </w:r>
                  <w:r>
                    <w:rPr>
                      <w:rFonts w:hint="eastAsia"/>
                      <w:color w:val="000000" w:themeColor="text1"/>
                      <w14:textFill>
                        <w14:solidFill>
                          <w14:schemeClr w14:val="tx1"/>
                        </w14:solidFill>
                      </w14:textFill>
                    </w:rPr>
                    <w:t>起</w:t>
                  </w:r>
                  <w:r>
                    <w:rPr>
                      <w:rFonts w:hint="eastAsia"/>
                      <w:color w:val="000000" w:themeColor="text1"/>
                      <w:lang w:eastAsia="zh-CN"/>
                      <w14:textFill>
                        <w14:solidFill>
                          <w14:schemeClr w14:val="tx1"/>
                        </w14:solidFill>
                      </w14:textFill>
                    </w:rPr>
                    <w:t>第</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间隔</w:t>
                  </w:r>
                </w:p>
              </w:tc>
            </w:tr>
            <w:tr w14:paraId="4AF5A6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2CB27A05">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53FE5F06">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线路形式</w:t>
                  </w:r>
                </w:p>
              </w:tc>
              <w:tc>
                <w:tcPr>
                  <w:tcW w:w="5871" w:type="dxa"/>
                  <w:vAlign w:val="center"/>
                </w:tcPr>
                <w:p w14:paraId="485E8F8E">
                  <w:pPr>
                    <w:adjustRightInd w:val="0"/>
                    <w:snapToGrid w:val="0"/>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全线单回路架空敷设（</w:t>
                  </w:r>
                  <w:r>
                    <w:rPr>
                      <w:rFonts w:hint="eastAsia"/>
                      <w:color w:val="000000" w:themeColor="text1"/>
                      <w:szCs w:val="21"/>
                      <w:lang w:val="en-US" w:eastAsia="zh-CN"/>
                      <w14:textFill>
                        <w14:solidFill>
                          <w14:schemeClr w14:val="tx1"/>
                        </w14:solidFill>
                      </w14:textFill>
                    </w:rPr>
                    <w:t>丰晟220kV升压站</w:t>
                  </w:r>
                  <w:r>
                    <w:rPr>
                      <w:rFonts w:hint="eastAsia"/>
                      <w:color w:val="000000" w:themeColor="text1"/>
                      <w:szCs w:val="21"/>
                      <w14:textFill>
                        <w14:solidFill>
                          <w14:schemeClr w14:val="tx1"/>
                        </w14:solidFill>
                      </w14:textFill>
                    </w:rPr>
                    <w:t>入站段1基为双回塔单侧挂线，另一侧预留他用）</w:t>
                  </w:r>
                </w:p>
              </w:tc>
            </w:tr>
            <w:tr w14:paraId="54CB04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0FFE5830">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0C7A6785">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线路长度</w:t>
                  </w:r>
                </w:p>
              </w:tc>
              <w:tc>
                <w:tcPr>
                  <w:tcW w:w="5871" w:type="dxa"/>
                  <w:vAlign w:val="center"/>
                </w:tcPr>
                <w:p w14:paraId="14C09D2E">
                  <w:pPr>
                    <w:pStyle w:val="50"/>
                    <w:spacing w:before="24" w:after="24"/>
                    <w:jc w:val="left"/>
                    <w:rPr>
                      <w:rFonts w:ascii="Times New Roman"/>
                      <w:color w:val="000000" w:themeColor="text1"/>
                      <w:kern w:val="2"/>
                      <w:sz w:val="21"/>
                      <w14:textFill>
                        <w14:solidFill>
                          <w14:schemeClr w14:val="tx1"/>
                        </w14:solidFill>
                      </w14:textFill>
                    </w:rPr>
                  </w:pPr>
                  <w:r>
                    <w:rPr>
                      <w:rFonts w:hint="eastAsia" w:ascii="Times New Roman"/>
                      <w:color w:val="000000" w:themeColor="text1"/>
                      <w:kern w:val="2"/>
                      <w:sz w:val="21"/>
                      <w14:textFill>
                        <w14:solidFill>
                          <w14:schemeClr w14:val="tx1"/>
                        </w14:solidFill>
                      </w14:textFill>
                    </w:rPr>
                    <w:t>路径全长</w:t>
                  </w:r>
                  <w:r>
                    <w:rPr>
                      <w:rFonts w:hint="eastAsia" w:ascii="Times New Roman"/>
                      <w:color w:val="000000" w:themeColor="text1"/>
                      <w:kern w:val="2"/>
                      <w:sz w:val="21"/>
                      <w:lang w:val="en-US" w:eastAsia="zh-CN"/>
                      <w14:textFill>
                        <w14:solidFill>
                          <w14:schemeClr w14:val="tx1"/>
                        </w14:solidFill>
                      </w14:textFill>
                    </w:rPr>
                    <w:t>33.62</w:t>
                  </w:r>
                  <w:r>
                    <w:rPr>
                      <w:rFonts w:hint="eastAsia" w:ascii="Times New Roman"/>
                      <w:color w:val="000000" w:themeColor="text1"/>
                      <w:kern w:val="2"/>
                      <w:sz w:val="21"/>
                      <w14:textFill>
                        <w14:solidFill>
                          <w14:schemeClr w14:val="tx1"/>
                        </w14:solidFill>
                      </w14:textFill>
                    </w:rPr>
                    <w:t>km</w:t>
                  </w:r>
                </w:p>
              </w:tc>
            </w:tr>
            <w:tr w14:paraId="50DC6D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410499F8">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0FAE73DD">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导线型号</w:t>
                  </w:r>
                </w:p>
              </w:tc>
              <w:tc>
                <w:tcPr>
                  <w:tcW w:w="5871" w:type="dxa"/>
                  <w:vAlign w:val="center"/>
                </w:tcPr>
                <w:p w14:paraId="6D4FF5F8">
                  <w:pPr>
                    <w:pStyle w:val="50"/>
                    <w:spacing w:before="24" w:after="24"/>
                    <w:jc w:val="left"/>
                    <w:rPr>
                      <w:rFonts w:ascii="Times New Roman"/>
                      <w:color w:val="000000" w:themeColor="text1"/>
                      <w:kern w:val="2"/>
                      <w:sz w:val="21"/>
                      <w14:textFill>
                        <w14:solidFill>
                          <w14:schemeClr w14:val="tx1"/>
                        </w14:solidFill>
                      </w14:textFill>
                    </w:rPr>
                  </w:pPr>
                  <w:r>
                    <w:rPr>
                      <w:rFonts w:hint="eastAsia" w:ascii="Times New Roman"/>
                      <w:color w:val="000000" w:themeColor="text1"/>
                      <w:kern w:val="2"/>
                      <w:sz w:val="21"/>
                      <w14:textFill>
                        <w14:solidFill>
                          <w14:schemeClr w14:val="tx1"/>
                        </w14:solidFill>
                      </w14:textFill>
                    </w:rPr>
                    <w:t>JL/G1A-</w:t>
                  </w:r>
                  <w:r>
                    <w:rPr>
                      <w:rFonts w:hint="eastAsia" w:ascii="Times New Roman"/>
                      <w:color w:val="000000" w:themeColor="text1"/>
                      <w:kern w:val="2"/>
                      <w:sz w:val="21"/>
                      <w:lang w:val="en-US" w:eastAsia="zh-CN"/>
                      <w14:textFill>
                        <w14:solidFill>
                          <w14:schemeClr w14:val="tx1"/>
                        </w14:solidFill>
                      </w14:textFill>
                    </w:rPr>
                    <w:t>240</w:t>
                  </w:r>
                  <w:r>
                    <w:rPr>
                      <w:rFonts w:hint="eastAsia" w:ascii="Times New Roman"/>
                      <w:color w:val="000000" w:themeColor="text1"/>
                      <w:kern w:val="2"/>
                      <w:sz w:val="21"/>
                      <w14:textFill>
                        <w14:solidFill>
                          <w14:schemeClr w14:val="tx1"/>
                        </w14:solidFill>
                      </w14:textFill>
                    </w:rPr>
                    <w:t>/</w:t>
                  </w:r>
                  <w:r>
                    <w:rPr>
                      <w:rFonts w:hint="eastAsia" w:ascii="Times New Roman"/>
                      <w:color w:val="000000" w:themeColor="text1"/>
                      <w:kern w:val="2"/>
                      <w:sz w:val="21"/>
                      <w:lang w:val="en-US" w:eastAsia="zh-CN"/>
                      <w14:textFill>
                        <w14:solidFill>
                          <w14:schemeClr w14:val="tx1"/>
                        </w14:solidFill>
                      </w14:textFill>
                    </w:rPr>
                    <w:t>30</w:t>
                  </w:r>
                  <w:r>
                    <w:rPr>
                      <w:rFonts w:hint="eastAsia" w:ascii="Times New Roman"/>
                      <w:color w:val="000000" w:themeColor="text1"/>
                      <w:kern w:val="2"/>
                      <w:sz w:val="21"/>
                      <w14:textFill>
                        <w14:solidFill>
                          <w14:schemeClr w14:val="tx1"/>
                        </w14:solidFill>
                      </w14:textFill>
                    </w:rPr>
                    <w:t xml:space="preserve"> 钢芯铝绞线</w:t>
                  </w:r>
                </w:p>
              </w:tc>
            </w:tr>
            <w:tr w14:paraId="2713EF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1E7732F1">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6E0A5474">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地线型号</w:t>
                  </w:r>
                </w:p>
              </w:tc>
              <w:tc>
                <w:tcPr>
                  <w:tcW w:w="5871" w:type="dxa"/>
                  <w:vAlign w:val="center"/>
                </w:tcPr>
                <w:p w14:paraId="4E73F32C">
                  <w:pPr>
                    <w:pStyle w:val="50"/>
                    <w:spacing w:before="24" w:after="24"/>
                    <w:jc w:val="left"/>
                    <w:rPr>
                      <w:rFonts w:ascii="Times New Roman"/>
                      <w:color w:val="000000" w:themeColor="text1"/>
                      <w:kern w:val="2"/>
                      <w:sz w:val="21"/>
                      <w14:textFill>
                        <w14:solidFill>
                          <w14:schemeClr w14:val="tx1"/>
                        </w14:solidFill>
                      </w14:textFill>
                    </w:rPr>
                  </w:pPr>
                  <w:r>
                    <w:rPr>
                      <w:rFonts w:hint="eastAsia" w:ascii="Times New Roman"/>
                      <w:color w:val="000000" w:themeColor="text1"/>
                      <w:kern w:val="2"/>
                      <w:sz w:val="21"/>
                      <w14:textFill>
                        <w14:solidFill>
                          <w14:schemeClr w14:val="tx1"/>
                        </w14:solidFill>
                      </w14:textFill>
                    </w:rPr>
                    <w:t>采用</w:t>
                  </w:r>
                  <w:r>
                    <w:rPr>
                      <w:rFonts w:hint="eastAsia" w:ascii="Times New Roman"/>
                      <w:color w:val="000000" w:themeColor="text1"/>
                      <w:kern w:val="2"/>
                      <w:sz w:val="21"/>
                      <w:lang w:val="en-US" w:eastAsia="zh-CN"/>
                      <w14:textFill>
                        <w14:solidFill>
                          <w14:schemeClr w14:val="tx1"/>
                        </w14:solidFill>
                      </w14:textFill>
                    </w:rPr>
                    <w:t>2</w:t>
                  </w:r>
                  <w:r>
                    <w:rPr>
                      <w:rFonts w:hint="eastAsia" w:ascii="Times New Roman"/>
                      <w:color w:val="000000" w:themeColor="text1"/>
                      <w:kern w:val="2"/>
                      <w:sz w:val="21"/>
                      <w14:textFill>
                        <w14:solidFill>
                          <w14:schemeClr w14:val="tx1"/>
                        </w14:solidFill>
                      </w14:textFill>
                    </w:rPr>
                    <w:t>根</w:t>
                  </w:r>
                  <w:r>
                    <w:rPr>
                      <w:rFonts w:hint="eastAsia" w:ascii="Times New Roman"/>
                      <w:color w:val="000000" w:themeColor="text1"/>
                      <w:kern w:val="2"/>
                      <w:sz w:val="21"/>
                      <w:lang w:val="en-US" w:eastAsia="zh-CN"/>
                      <w14:textFill>
                        <w14:solidFill>
                          <w14:schemeClr w14:val="tx1"/>
                        </w14:solidFill>
                      </w14:textFill>
                    </w:rPr>
                    <w:t>24芯OPGW</w:t>
                  </w:r>
                  <w:r>
                    <w:rPr>
                      <w:rFonts w:hint="eastAsia" w:ascii="Times New Roman"/>
                      <w:color w:val="000000" w:themeColor="text1"/>
                      <w:kern w:val="2"/>
                      <w:sz w:val="21"/>
                      <w14:textFill>
                        <w14:solidFill>
                          <w14:schemeClr w14:val="tx1"/>
                        </w14:solidFill>
                      </w14:textFill>
                    </w:rPr>
                    <w:t>光缆</w:t>
                  </w:r>
                </w:p>
              </w:tc>
            </w:tr>
            <w:tr w14:paraId="585D41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2CAD9AF8">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7B95E67D">
                  <w:pPr>
                    <w:adjustRightInd w:val="0"/>
                    <w:snapToGrid w:val="0"/>
                    <w:spacing w:line="32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污秽等级</w:t>
                  </w:r>
                </w:p>
              </w:tc>
              <w:tc>
                <w:tcPr>
                  <w:tcW w:w="5871" w:type="dxa"/>
                  <w:vAlign w:val="center"/>
                </w:tcPr>
                <w:p w14:paraId="49A48F44">
                  <w:pPr>
                    <w:pStyle w:val="50"/>
                    <w:spacing w:before="24" w:after="24"/>
                    <w:jc w:val="left"/>
                    <w:rPr>
                      <w:rFonts w:hint="default" w:ascii="Times New Roman" w:eastAsia="宋体"/>
                      <w:color w:val="000000" w:themeColor="text1"/>
                      <w:kern w:val="2"/>
                      <w:sz w:val="21"/>
                      <w:lang w:val="en-US" w:eastAsia="zh-CN"/>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d级</w:t>
                  </w:r>
                </w:p>
              </w:tc>
            </w:tr>
            <w:tr w14:paraId="1AC91B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07EE2683">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7189FBF9">
                  <w:pPr>
                    <w:adjustRightInd w:val="0"/>
                    <w:snapToGrid w:val="0"/>
                    <w:spacing w:line="32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铁塔形式</w:t>
                  </w:r>
                </w:p>
              </w:tc>
              <w:tc>
                <w:tcPr>
                  <w:tcW w:w="5871" w:type="dxa"/>
                  <w:vAlign w:val="center"/>
                </w:tcPr>
                <w:p w14:paraId="0009EA3E">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本项目采取</w:t>
                  </w:r>
                  <w:r>
                    <w:rPr>
                      <w:rFonts w:hint="eastAsia"/>
                      <w:color w:val="000000" w:themeColor="text1"/>
                      <w:szCs w:val="21"/>
                      <w:lang w:val="en-US" w:eastAsia="zh-CN"/>
                      <w14:textFill>
                        <w14:solidFill>
                          <w14:schemeClr w14:val="tx1"/>
                        </w14:solidFill>
                      </w14:textFill>
                    </w:rPr>
                    <w:t>13</w:t>
                  </w:r>
                  <w:r>
                    <w:rPr>
                      <w:rFonts w:hint="eastAsia"/>
                      <w:color w:val="000000" w:themeColor="text1"/>
                      <w:szCs w:val="21"/>
                      <w:lang w:eastAsia="zh-CN"/>
                      <w14:textFill>
                        <w14:solidFill>
                          <w14:schemeClr w14:val="tx1"/>
                        </w14:solidFill>
                      </w14:textFill>
                    </w:rPr>
                    <w:t>种</w:t>
                  </w:r>
                  <w:r>
                    <w:rPr>
                      <w:rFonts w:hint="eastAsia"/>
                      <w:color w:val="000000" w:themeColor="text1"/>
                      <w:szCs w:val="21"/>
                      <w14:textFill>
                        <w14:solidFill>
                          <w14:schemeClr w14:val="tx1"/>
                        </w14:solidFill>
                      </w14:textFill>
                    </w:rPr>
                    <w:t>塔型，</w:t>
                  </w:r>
                  <w:r>
                    <w:rPr>
                      <w:rFonts w:hint="eastAsia"/>
                      <w:color w:val="000000" w:themeColor="text1"/>
                      <w:szCs w:val="21"/>
                      <w:lang w:val="en-US" w:eastAsia="zh-CN"/>
                      <w14:textFill>
                        <w14:solidFill>
                          <w14:schemeClr w14:val="tx1"/>
                        </w14:solidFill>
                      </w14:textFill>
                    </w:rPr>
                    <w:t>其中单回路直线塔4种，单回路转角塔6种、单回路钻越塔1种，单回路耐张跨越塔1种，双回路终端塔1种。</w:t>
                  </w:r>
                </w:p>
                <w:p w14:paraId="2D6A9EBB">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直线塔包括2K1（220-ED21D）-ZMC2、2K1（220-ED21D）-ZMC3、2K1（220-ED21D）-ZMC4、2B5（220-GD21D）-ZMC4共4种铁塔，可满足山地不同档距的使用。其中2B5（220-GD21D）-ZMC4为水平、垂直挡距较大时使用，2K1（220-ED21D）-ZMC4为较高跨 </w:t>
                  </w:r>
                </w:p>
                <w:p w14:paraId="3C21FA09">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越时使用。</w:t>
                  </w:r>
                </w:p>
                <w:p w14:paraId="0DA06E6F">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单回路转角塔包括2K1（220-ED21D）-JC1、2K1（220-ED21D）-JC2、2K1（220-ED21D）-JC3、2K1（220-ED21D）-JC4、2K1（220-ED21D）-DJC、2B5（220-GD21D）-DJC共6种铁塔。</w:t>
                  </w:r>
                </w:p>
                <w:p w14:paraId="33D7D7DD">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双回路终端塔塔型：2E5（220-GD21S）-DJC。</w:t>
                  </w:r>
                </w:p>
                <w:p w14:paraId="23F4F5FF">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单回路钻越塔塔型：JB11。</w:t>
                  </w:r>
                </w:p>
                <w:p w14:paraId="7049D9E6">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eastAsia" w:eastAsiaTheme="minor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单回路耐张跨越塔塔型：呼高45米。</w:t>
                  </w:r>
                </w:p>
              </w:tc>
            </w:tr>
            <w:tr w14:paraId="79543A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26F9F25B">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0C7138EB">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铁塔数量</w:t>
                  </w:r>
                </w:p>
              </w:tc>
              <w:tc>
                <w:tcPr>
                  <w:tcW w:w="5871" w:type="dxa"/>
                  <w:vAlign w:val="center"/>
                </w:tcPr>
                <w:p w14:paraId="4C9264C3">
                  <w:pPr>
                    <w:adjustRightInd w:val="0"/>
                    <w:snapToGrid w:val="0"/>
                    <w:spacing w:line="320" w:lineRule="exact"/>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新建铁塔共</w:t>
                  </w:r>
                  <w:r>
                    <w:rPr>
                      <w:rFonts w:hint="eastAsia"/>
                      <w:color w:val="000000" w:themeColor="text1"/>
                      <w:lang w:val="en-US" w:eastAsia="zh-CN"/>
                      <w14:textFill>
                        <w14:solidFill>
                          <w14:schemeClr w14:val="tx1"/>
                        </w14:solidFill>
                      </w14:textFill>
                    </w:rPr>
                    <w:t>114</w:t>
                  </w:r>
                  <w:r>
                    <w:rPr>
                      <w:rFonts w:hint="eastAsia"/>
                      <w:color w:val="000000" w:themeColor="text1"/>
                      <w14:textFill>
                        <w14:solidFill>
                          <w14:schemeClr w14:val="tx1"/>
                        </w14:solidFill>
                      </w14:textFill>
                    </w:rPr>
                    <w:t>基，其中直线塔</w:t>
                  </w:r>
                  <w:r>
                    <w:rPr>
                      <w:rFonts w:hint="eastAsia"/>
                      <w:color w:val="000000" w:themeColor="text1"/>
                      <w:lang w:val="en-US" w:eastAsia="zh-CN"/>
                      <w14:textFill>
                        <w14:solidFill>
                          <w14:schemeClr w14:val="tx1"/>
                        </w14:solidFill>
                      </w14:textFill>
                    </w:rPr>
                    <w:t>57</w:t>
                  </w:r>
                  <w:r>
                    <w:rPr>
                      <w:rFonts w:hint="eastAsia"/>
                      <w:color w:val="000000" w:themeColor="text1"/>
                      <w14:textFill>
                        <w14:solidFill>
                          <w14:schemeClr w14:val="tx1"/>
                        </w14:solidFill>
                      </w14:textFill>
                    </w:rPr>
                    <w:t>基，转角塔</w:t>
                  </w:r>
                  <w:r>
                    <w:rPr>
                      <w:rFonts w:hint="eastAsia"/>
                      <w:color w:val="000000" w:themeColor="text1"/>
                      <w:lang w:val="en-US" w:eastAsia="zh-CN"/>
                      <w14:textFill>
                        <w14:solidFill>
                          <w14:schemeClr w14:val="tx1"/>
                        </w14:solidFill>
                      </w14:textFill>
                    </w:rPr>
                    <w:t>57</w:t>
                  </w:r>
                  <w:r>
                    <w:rPr>
                      <w:rFonts w:hint="eastAsia"/>
                      <w:color w:val="000000" w:themeColor="text1"/>
                      <w14:textFill>
                        <w14:solidFill>
                          <w14:schemeClr w14:val="tx1"/>
                        </w14:solidFill>
                      </w14:textFill>
                    </w:rPr>
                    <w:t>基</w:t>
                  </w:r>
                </w:p>
              </w:tc>
            </w:tr>
            <w:tr w14:paraId="51B96C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1F425168">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14954694">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铁塔基础</w:t>
                  </w:r>
                </w:p>
              </w:tc>
              <w:tc>
                <w:tcPr>
                  <w:tcW w:w="5871" w:type="dxa"/>
                  <w:vAlign w:val="center"/>
                </w:tcPr>
                <w:p w14:paraId="794A0030">
                  <w:pPr>
                    <w:adjustRightInd w:val="0"/>
                    <w:snapToGrid w:val="0"/>
                    <w:spacing w:line="320" w:lineRule="exact"/>
                    <w:rPr>
                      <w:rFonts w:hint="default" w:eastAsia="宋体"/>
                      <w:color w:val="000000" w:themeColor="text1"/>
                      <w:szCs w:val="21"/>
                      <w:lang w:val="en-US" w:eastAsia="zh-CN"/>
                      <w14:textFill>
                        <w14:solidFill>
                          <w14:schemeClr w14:val="tx1"/>
                        </w14:solidFill>
                      </w14:textFill>
                    </w:rPr>
                  </w:pPr>
                  <w:r>
                    <w:rPr>
                      <w:rFonts w:hint="eastAsia" w:ascii="Times New Roman"/>
                      <w:color w:val="auto"/>
                      <w:kern w:val="0"/>
                      <w:sz w:val="21"/>
                      <w:szCs w:val="21"/>
                    </w:rPr>
                    <w:t>掏挖基础</w:t>
                  </w:r>
                </w:p>
              </w:tc>
            </w:tr>
            <w:tr w14:paraId="11EBEF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restart"/>
                  <w:vAlign w:val="center"/>
                </w:tcPr>
                <w:p w14:paraId="09250765">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临时工程</w:t>
                  </w:r>
                </w:p>
              </w:tc>
              <w:tc>
                <w:tcPr>
                  <w:tcW w:w="1145" w:type="dxa"/>
                  <w:gridSpan w:val="2"/>
                  <w:vAlign w:val="center"/>
                </w:tcPr>
                <w:p w14:paraId="591A7865">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施工场地</w:t>
                  </w:r>
                </w:p>
              </w:tc>
              <w:tc>
                <w:tcPr>
                  <w:tcW w:w="5871" w:type="dxa"/>
                  <w:vAlign w:val="center"/>
                </w:tcPr>
                <w:p w14:paraId="6625551F">
                  <w:pPr>
                    <w:spacing w:line="320" w:lineRule="exact"/>
                    <w:jc w:val="left"/>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沿输电线路布设，施工场地只用于机械和物料停放，不设机械维修。塔基施工临时材料堆放等每基占地约</w:t>
                  </w:r>
                  <w:r>
                    <w:rPr>
                      <w:rFonts w:hint="default"/>
                      <w:color w:val="000000" w:themeColor="text1"/>
                      <w:szCs w:val="21"/>
                      <w:lang w:val="en-US" w:eastAsia="zh-CN"/>
                      <w14:textFill>
                        <w14:solidFill>
                          <w14:schemeClr w14:val="tx1"/>
                        </w14:solidFill>
                      </w14:textFill>
                    </w:rPr>
                    <w:t>150m</w:t>
                  </w:r>
                  <w:r>
                    <w:rPr>
                      <w:rFonts w:hint="default"/>
                      <w:color w:val="000000" w:themeColor="text1"/>
                      <w:szCs w:val="21"/>
                      <w:vertAlign w:val="superscript"/>
                      <w:lang w:val="en-US" w:eastAsia="zh-CN"/>
                      <w14:textFill>
                        <w14:solidFill>
                          <w14:schemeClr w14:val="tx1"/>
                        </w14:solidFill>
                      </w14:textFill>
                    </w:rPr>
                    <w:t>2</w:t>
                  </w:r>
                  <w:r>
                    <w:rPr>
                      <w:rFonts w:hint="eastAsia"/>
                      <w:color w:val="000000" w:themeColor="text1"/>
                      <w:szCs w:val="21"/>
                      <w:lang w:val="en-US" w:eastAsia="zh-CN"/>
                      <w14:textFill>
                        <w14:solidFill>
                          <w14:schemeClr w14:val="tx1"/>
                        </w14:solidFill>
                      </w14:textFill>
                    </w:rPr>
                    <w:t>，塔基临时占地合计17100</w:t>
                  </w:r>
                  <w:r>
                    <w:rPr>
                      <w:rFonts w:hint="default"/>
                      <w:color w:val="000000" w:themeColor="text1"/>
                      <w:szCs w:val="21"/>
                      <w:lang w:val="en-US" w:eastAsia="zh-CN"/>
                      <w14:textFill>
                        <w14:solidFill>
                          <w14:schemeClr w14:val="tx1"/>
                        </w14:solidFill>
                      </w14:textFill>
                    </w:rPr>
                    <w:t>m</w:t>
                  </w:r>
                  <w:r>
                    <w:rPr>
                      <w:rFonts w:hint="default"/>
                      <w:color w:val="000000" w:themeColor="text1"/>
                      <w:szCs w:val="21"/>
                      <w:vertAlign w:val="superscript"/>
                      <w:lang w:val="en-US" w:eastAsia="zh-CN"/>
                      <w14:textFill>
                        <w14:solidFill>
                          <w14:schemeClr w14:val="tx1"/>
                        </w14:solidFill>
                      </w14:textFill>
                    </w:rPr>
                    <w:t>2</w:t>
                  </w:r>
                  <w:r>
                    <w:rPr>
                      <w:rFonts w:hint="eastAsia"/>
                      <w:color w:val="000000" w:themeColor="text1"/>
                      <w:szCs w:val="21"/>
                      <w:lang w:val="en-US" w:eastAsia="zh-CN"/>
                      <w14:textFill>
                        <w14:solidFill>
                          <w14:schemeClr w14:val="tx1"/>
                        </w14:solidFill>
                      </w14:textFill>
                    </w:rPr>
                    <w:t>。</w:t>
                  </w:r>
                </w:p>
              </w:tc>
            </w:tr>
            <w:tr w14:paraId="3E1108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5C836CEA">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6562EE57">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施工营地</w:t>
                  </w:r>
                </w:p>
              </w:tc>
              <w:tc>
                <w:tcPr>
                  <w:tcW w:w="5871" w:type="dxa"/>
                  <w:vAlign w:val="center"/>
                </w:tcPr>
                <w:p w14:paraId="1101F3E5">
                  <w:pPr>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本项目不设施工营地，租赁当地居民民房作为临时施工驻地。</w:t>
                  </w:r>
                </w:p>
              </w:tc>
            </w:tr>
            <w:tr w14:paraId="683FFD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53" w:type="dxa"/>
                  <w:vMerge w:val="continue"/>
                  <w:vAlign w:val="center"/>
                </w:tcPr>
                <w:p w14:paraId="52C767E6">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21B96F3D">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牵张场</w:t>
                  </w:r>
                </w:p>
              </w:tc>
              <w:tc>
                <w:tcPr>
                  <w:tcW w:w="5871" w:type="dxa"/>
                  <w:vAlign w:val="center"/>
                </w:tcPr>
                <w:p w14:paraId="0F3417AD">
                  <w:pPr>
                    <w:widowControl/>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程所用直线塔或耐张塔根据铁塔结构特点分解组立，塔基基建施工需临时占地。导线采用张力牵引放线，防止导线磨损，所以每回线路都要设置牵张场地。根据企业提供资料每三公里设置牵张场一处，共设置牵张场地10处，场地面积一般为1740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，牵张场占地合计17400m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p w14:paraId="39388105">
                  <w:pPr>
                    <w:widowControl/>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属临时占地。采取一次性补偿措施，施工结束后立即恢复原使用功能。</w:t>
                  </w:r>
                </w:p>
              </w:tc>
            </w:tr>
            <w:tr w14:paraId="072495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35FDDBD3">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66F4976F">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施工便道</w:t>
                  </w:r>
                </w:p>
              </w:tc>
              <w:tc>
                <w:tcPr>
                  <w:tcW w:w="5871" w:type="dxa"/>
                  <w:vAlign w:val="center"/>
                </w:tcPr>
                <w:p w14:paraId="68C81605">
                  <w:pPr>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利用现有道路进行施工运输，不单独设施工便道。</w:t>
                  </w:r>
                </w:p>
              </w:tc>
            </w:tr>
            <w:tr w14:paraId="622631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013E8851">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5EBD5F10">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渣土处置</w:t>
                  </w:r>
                </w:p>
              </w:tc>
              <w:tc>
                <w:tcPr>
                  <w:tcW w:w="5871" w:type="dxa"/>
                  <w:vAlign w:val="center"/>
                </w:tcPr>
                <w:p w14:paraId="7F89390C">
                  <w:pPr>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不设置弃土、弃渣场，弃土、弃渣依托当地地形地势就地平整堆砌。</w:t>
                  </w:r>
                </w:p>
              </w:tc>
            </w:tr>
            <w:tr w14:paraId="21C7AE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restart"/>
                  <w:vAlign w:val="center"/>
                </w:tcPr>
                <w:p w14:paraId="2D4D7CCE">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576" w:type="dxa"/>
                  <w:vMerge w:val="restart"/>
                  <w:vAlign w:val="center"/>
                </w:tcPr>
                <w:p w14:paraId="40F9E89A">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w:t>
                  </w:r>
                </w:p>
              </w:tc>
              <w:tc>
                <w:tcPr>
                  <w:tcW w:w="569" w:type="dxa"/>
                  <w:vAlign w:val="center"/>
                </w:tcPr>
                <w:p w14:paraId="5967168D">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5871" w:type="dxa"/>
                  <w:vAlign w:val="center"/>
                </w:tcPr>
                <w:p w14:paraId="59E147F4">
                  <w:pPr>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项目杆塔组立及导线牵张等不产生废水，施工人员租用周边民房，生活污水纳入当地居民生活污水处理系统。</w:t>
                  </w:r>
                </w:p>
              </w:tc>
            </w:tr>
            <w:tr w14:paraId="15A1B2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0644852C">
                  <w:pPr>
                    <w:adjustRightInd w:val="0"/>
                    <w:snapToGrid w:val="0"/>
                    <w:spacing w:line="320" w:lineRule="exact"/>
                    <w:jc w:val="center"/>
                    <w:rPr>
                      <w:color w:val="000000" w:themeColor="text1"/>
                      <w:szCs w:val="21"/>
                      <w14:textFill>
                        <w14:solidFill>
                          <w14:schemeClr w14:val="tx1"/>
                        </w14:solidFill>
                      </w14:textFill>
                    </w:rPr>
                  </w:pPr>
                </w:p>
              </w:tc>
              <w:tc>
                <w:tcPr>
                  <w:tcW w:w="576" w:type="dxa"/>
                  <w:vMerge w:val="continue"/>
                  <w:vAlign w:val="center"/>
                </w:tcPr>
                <w:p w14:paraId="30A438BF">
                  <w:pPr>
                    <w:adjustRightInd w:val="0"/>
                    <w:snapToGrid w:val="0"/>
                    <w:spacing w:line="320" w:lineRule="exact"/>
                    <w:jc w:val="center"/>
                    <w:rPr>
                      <w:color w:val="000000" w:themeColor="text1"/>
                      <w:szCs w:val="21"/>
                      <w14:textFill>
                        <w14:solidFill>
                          <w14:schemeClr w14:val="tx1"/>
                        </w14:solidFill>
                      </w14:textFill>
                    </w:rPr>
                  </w:pPr>
                </w:p>
              </w:tc>
              <w:tc>
                <w:tcPr>
                  <w:tcW w:w="569" w:type="dxa"/>
                  <w:vAlign w:val="center"/>
                </w:tcPr>
                <w:p w14:paraId="636ED03D">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5871" w:type="dxa"/>
                  <w:vAlign w:val="center"/>
                </w:tcPr>
                <w:p w14:paraId="605D7534">
                  <w:pPr>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项目施工过程无显著大气污染物产生，施工车辆采取篷布遮盖等密封措施，运输车辆在驶出施工工地前必须将沙泥清除干净</w:t>
                  </w:r>
                  <w:r>
                    <w:rPr>
                      <w:color w:val="000000" w:themeColor="text1"/>
                      <w:szCs w:val="21"/>
                      <w14:textFill>
                        <w14:solidFill>
                          <w14:schemeClr w14:val="tx1"/>
                        </w14:solidFill>
                      </w14:textFill>
                    </w:rPr>
                    <w:t>。</w:t>
                  </w:r>
                </w:p>
              </w:tc>
            </w:tr>
            <w:tr w14:paraId="0F174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30491D83">
                  <w:pPr>
                    <w:adjustRightInd w:val="0"/>
                    <w:snapToGrid w:val="0"/>
                    <w:spacing w:line="320" w:lineRule="exact"/>
                    <w:jc w:val="center"/>
                    <w:rPr>
                      <w:color w:val="000000" w:themeColor="text1"/>
                      <w:szCs w:val="21"/>
                      <w14:textFill>
                        <w14:solidFill>
                          <w14:schemeClr w14:val="tx1"/>
                        </w14:solidFill>
                      </w14:textFill>
                    </w:rPr>
                  </w:pPr>
                </w:p>
              </w:tc>
              <w:tc>
                <w:tcPr>
                  <w:tcW w:w="576" w:type="dxa"/>
                  <w:vMerge w:val="continue"/>
                  <w:vAlign w:val="center"/>
                </w:tcPr>
                <w:p w14:paraId="3C2F3163">
                  <w:pPr>
                    <w:adjustRightInd w:val="0"/>
                    <w:snapToGrid w:val="0"/>
                    <w:spacing w:line="320" w:lineRule="exact"/>
                    <w:jc w:val="center"/>
                    <w:rPr>
                      <w:color w:val="000000" w:themeColor="text1"/>
                      <w:szCs w:val="21"/>
                      <w14:textFill>
                        <w14:solidFill>
                          <w14:schemeClr w14:val="tx1"/>
                        </w14:solidFill>
                      </w14:textFill>
                    </w:rPr>
                  </w:pPr>
                </w:p>
              </w:tc>
              <w:tc>
                <w:tcPr>
                  <w:tcW w:w="569" w:type="dxa"/>
                  <w:vAlign w:val="center"/>
                </w:tcPr>
                <w:p w14:paraId="68A348A3">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一般固体废物</w:t>
                  </w:r>
                </w:p>
              </w:tc>
              <w:tc>
                <w:tcPr>
                  <w:tcW w:w="5871" w:type="dxa"/>
                  <w:vAlign w:val="center"/>
                </w:tcPr>
                <w:p w14:paraId="1595228C">
                  <w:pPr>
                    <w:adjustRightInd w:val="0"/>
                    <w:snapToGrid w:val="0"/>
                    <w:spacing w:line="320" w:lineRule="exact"/>
                    <w:jc w:val="left"/>
                    <w:rPr>
                      <w:i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不设置弃土、弃渣场，弃土、弃渣依托当地地形地势就地平整堆砌，临时暂存采取挡护、排水等措施进行防护；施工人员生活垃圾集中堆放，运至附近的垃圾中转站，委托当地环卫部门清运</w:t>
                  </w:r>
                  <w:r>
                    <w:rPr>
                      <w:snapToGrid w:val="0"/>
                      <w:color w:val="000000" w:themeColor="text1"/>
                      <w:szCs w:val="21"/>
                      <w14:textFill>
                        <w14:solidFill>
                          <w14:schemeClr w14:val="tx1"/>
                        </w14:solidFill>
                      </w14:textFill>
                    </w:rPr>
                    <w:t>。</w:t>
                  </w:r>
                </w:p>
              </w:tc>
            </w:tr>
            <w:tr w14:paraId="6725EB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35C84B77">
                  <w:pPr>
                    <w:adjustRightInd w:val="0"/>
                    <w:snapToGrid w:val="0"/>
                    <w:spacing w:line="320" w:lineRule="exact"/>
                    <w:jc w:val="center"/>
                    <w:rPr>
                      <w:color w:val="000000" w:themeColor="text1"/>
                      <w:szCs w:val="21"/>
                      <w14:textFill>
                        <w14:solidFill>
                          <w14:schemeClr w14:val="tx1"/>
                        </w14:solidFill>
                      </w14:textFill>
                    </w:rPr>
                  </w:pPr>
                </w:p>
              </w:tc>
              <w:tc>
                <w:tcPr>
                  <w:tcW w:w="576" w:type="dxa"/>
                  <w:vMerge w:val="continue"/>
                  <w:vAlign w:val="center"/>
                </w:tcPr>
                <w:p w14:paraId="56C1F31B">
                  <w:pPr>
                    <w:adjustRightInd w:val="0"/>
                    <w:snapToGrid w:val="0"/>
                    <w:spacing w:line="320" w:lineRule="exact"/>
                    <w:jc w:val="center"/>
                    <w:rPr>
                      <w:color w:val="000000" w:themeColor="text1"/>
                      <w:szCs w:val="21"/>
                      <w14:textFill>
                        <w14:solidFill>
                          <w14:schemeClr w14:val="tx1"/>
                        </w14:solidFill>
                      </w14:textFill>
                    </w:rPr>
                  </w:pPr>
                </w:p>
              </w:tc>
              <w:tc>
                <w:tcPr>
                  <w:tcW w:w="569" w:type="dxa"/>
                  <w:vAlign w:val="center"/>
                </w:tcPr>
                <w:p w14:paraId="7B65C2B0">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5871" w:type="dxa"/>
                  <w:vAlign w:val="center"/>
                </w:tcPr>
                <w:p w14:paraId="3D3BBC9C">
                  <w:pPr>
                    <w:autoSpaceDE w:val="0"/>
                    <w:autoSpaceDN w:val="0"/>
                    <w:adjustRightInd w:val="0"/>
                    <w:snapToGrid w:val="0"/>
                    <w:spacing w:line="320" w:lineRule="exact"/>
                    <w:jc w:val="left"/>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施工期：采用低噪声施工设备，夜间不作业</w:t>
                  </w:r>
                  <w:r>
                    <w:rPr>
                      <w:color w:val="000000" w:themeColor="text1"/>
                      <w:kern w:val="0"/>
                      <w:szCs w:val="21"/>
                      <w14:textFill>
                        <w14:solidFill>
                          <w14:schemeClr w14:val="tx1"/>
                        </w14:solidFill>
                      </w14:textFill>
                    </w:rPr>
                    <w:t>。</w:t>
                  </w:r>
                </w:p>
              </w:tc>
            </w:tr>
            <w:tr w14:paraId="43685D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5401A4B0">
                  <w:pPr>
                    <w:adjustRightInd w:val="0"/>
                    <w:snapToGrid w:val="0"/>
                    <w:spacing w:line="320" w:lineRule="exact"/>
                    <w:jc w:val="center"/>
                    <w:rPr>
                      <w:color w:val="000000" w:themeColor="text1"/>
                      <w:szCs w:val="21"/>
                      <w14:textFill>
                        <w14:solidFill>
                          <w14:schemeClr w14:val="tx1"/>
                        </w14:solidFill>
                      </w14:textFill>
                    </w:rPr>
                  </w:pPr>
                </w:p>
              </w:tc>
              <w:tc>
                <w:tcPr>
                  <w:tcW w:w="576" w:type="dxa"/>
                  <w:vMerge w:val="continue"/>
                  <w:vAlign w:val="center"/>
                </w:tcPr>
                <w:p w14:paraId="583B8C46">
                  <w:pPr>
                    <w:adjustRightInd w:val="0"/>
                    <w:snapToGrid w:val="0"/>
                    <w:spacing w:line="320" w:lineRule="exact"/>
                    <w:jc w:val="center"/>
                    <w:rPr>
                      <w:color w:val="000000" w:themeColor="text1"/>
                      <w:szCs w:val="21"/>
                      <w14:textFill>
                        <w14:solidFill>
                          <w14:schemeClr w14:val="tx1"/>
                        </w14:solidFill>
                      </w14:textFill>
                    </w:rPr>
                  </w:pPr>
                </w:p>
              </w:tc>
              <w:tc>
                <w:tcPr>
                  <w:tcW w:w="569" w:type="dxa"/>
                  <w:vAlign w:val="center"/>
                </w:tcPr>
                <w:p w14:paraId="189FF254">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w:t>
                  </w:r>
                </w:p>
              </w:tc>
              <w:tc>
                <w:tcPr>
                  <w:tcW w:w="5871" w:type="dxa"/>
                  <w:vAlign w:val="center"/>
                </w:tcPr>
                <w:p w14:paraId="5466B0EC">
                  <w:pPr>
                    <w:autoSpaceDE w:val="0"/>
                    <w:autoSpaceDN w:val="0"/>
                    <w:adjustRightInd w:val="0"/>
                    <w:snapToGrid w:val="0"/>
                    <w:spacing w:line="320" w:lineRule="exact"/>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优化施工方案和布局，永久占地和临时占地避让生态保护红线；占地区表土剥离，单独存放。塔基开挖过程中，严格按设计的基础型式等要求开挖，尽量缩小施工作业范围，材料堆放要有序，注意保护周围的植被；尽量减小开挖范围，避免不必要的开挖和过多的原状土破坏。临时工程恢复植被，等面积生态补偿。</w:t>
                  </w:r>
                </w:p>
              </w:tc>
            </w:tr>
            <w:tr w14:paraId="17E952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Merge w:val="continue"/>
                  <w:vAlign w:val="center"/>
                </w:tcPr>
                <w:p w14:paraId="59FC1709">
                  <w:pPr>
                    <w:adjustRightInd w:val="0"/>
                    <w:snapToGrid w:val="0"/>
                    <w:spacing w:line="320" w:lineRule="exact"/>
                    <w:jc w:val="center"/>
                    <w:rPr>
                      <w:color w:val="000000" w:themeColor="text1"/>
                      <w:szCs w:val="21"/>
                      <w14:textFill>
                        <w14:solidFill>
                          <w14:schemeClr w14:val="tx1"/>
                        </w14:solidFill>
                      </w14:textFill>
                    </w:rPr>
                  </w:pPr>
                </w:p>
              </w:tc>
              <w:tc>
                <w:tcPr>
                  <w:tcW w:w="1145" w:type="dxa"/>
                  <w:gridSpan w:val="2"/>
                  <w:vAlign w:val="center"/>
                </w:tcPr>
                <w:p w14:paraId="271B1836">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运营期</w:t>
                  </w:r>
                </w:p>
              </w:tc>
              <w:tc>
                <w:tcPr>
                  <w:tcW w:w="5871" w:type="dxa"/>
                  <w:vAlign w:val="center"/>
                </w:tcPr>
                <w:p w14:paraId="72929A54">
                  <w:pPr>
                    <w:autoSpaceDE w:val="0"/>
                    <w:autoSpaceDN w:val="0"/>
                    <w:adjustRightInd w:val="0"/>
                    <w:snapToGrid w:val="0"/>
                    <w:spacing w:line="320" w:lineRule="exact"/>
                    <w:jc w:val="left"/>
                    <w:rPr>
                      <w:rFonts w:hint="eastAsia" w:eastAsia="宋体"/>
                      <w:color w:val="000000" w:themeColor="text1"/>
                      <w:kern w:val="0"/>
                      <w:szCs w:val="21"/>
                      <w:lang w:eastAsia="zh-CN"/>
                      <w14:textFill>
                        <w14:solidFill>
                          <w14:schemeClr w14:val="tx1"/>
                        </w14:solidFill>
                      </w14:textFill>
                    </w:rPr>
                  </w:pPr>
                  <w:r>
                    <w:rPr>
                      <w:rFonts w:hint="eastAsia"/>
                      <w:color w:val="000000" w:themeColor="text1"/>
                      <w14:textFill>
                        <w14:solidFill>
                          <w14:schemeClr w14:val="tx1"/>
                        </w14:solidFill>
                      </w14:textFill>
                    </w:rPr>
                    <w:t>项目为输电线路工程，运营期无废气、废水、固废产生。</w:t>
                  </w:r>
                  <w:r>
                    <w:rPr>
                      <w:color w:val="000000" w:themeColor="text1"/>
                      <w14:textFill>
                        <w14:solidFill>
                          <w14:schemeClr w14:val="tx1"/>
                        </w14:solidFill>
                      </w14:textFill>
                    </w:rPr>
                    <w:t>采用光滑导线，减少毛刺，降低电晕噪声发生几率</w:t>
                  </w:r>
                  <w:r>
                    <w:rPr>
                      <w:rFonts w:hint="eastAsia"/>
                      <w:color w:val="000000" w:themeColor="text1"/>
                      <w:lang w:eastAsia="zh-CN"/>
                      <w14:textFill>
                        <w14:solidFill>
                          <w14:schemeClr w14:val="tx1"/>
                        </w14:solidFill>
                      </w14:textFill>
                    </w:rPr>
                    <w:t>；</w:t>
                  </w:r>
                  <w:r>
                    <w:rPr>
                      <w:rFonts w:hint="eastAsia"/>
                      <w:color w:val="000000" w:themeColor="text1"/>
                      <w:kern w:val="0"/>
                      <w:szCs w:val="21"/>
                      <w14:textFill>
                        <w14:solidFill>
                          <w14:schemeClr w14:val="tx1"/>
                        </w14:solidFill>
                      </w14:textFill>
                    </w:rPr>
                    <w:t>线路塔基安装驱鸟器，保护鸟类</w:t>
                  </w:r>
                  <w:r>
                    <w:rPr>
                      <w:rFonts w:hint="eastAsia"/>
                      <w:color w:val="000000" w:themeColor="text1"/>
                      <w:kern w:val="0"/>
                      <w:szCs w:val="21"/>
                      <w:lang w:eastAsia="zh-CN"/>
                      <w14:textFill>
                        <w14:solidFill>
                          <w14:schemeClr w14:val="tx1"/>
                        </w14:solidFill>
                      </w14:textFill>
                    </w:rPr>
                    <w:t>。</w:t>
                  </w:r>
                </w:p>
              </w:tc>
            </w:tr>
            <w:tr w14:paraId="36454C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Align w:val="center"/>
                </w:tcPr>
                <w:p w14:paraId="593B1053">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依托工程</w:t>
                  </w:r>
                </w:p>
              </w:tc>
              <w:tc>
                <w:tcPr>
                  <w:tcW w:w="1145" w:type="dxa"/>
                  <w:gridSpan w:val="2"/>
                  <w:vAlign w:val="center"/>
                </w:tcPr>
                <w:p w14:paraId="6F7E00EF">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京能国际220kV升压站</w:t>
                  </w:r>
                </w:p>
              </w:tc>
              <w:tc>
                <w:tcPr>
                  <w:tcW w:w="5871" w:type="dxa"/>
                  <w:vAlign w:val="center"/>
                </w:tcPr>
                <w:p w14:paraId="70398F68">
                  <w:pPr>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该升压站由本项目建设单位</w:t>
                  </w:r>
                  <w:r>
                    <w:rPr>
                      <w:rFonts w:hint="eastAsia"/>
                      <w:color w:val="000000" w:themeColor="text1"/>
                      <w:lang w:val="en-US" w:eastAsia="zh-CN"/>
                      <w14:textFill>
                        <w14:solidFill>
                          <w14:schemeClr w14:val="tx1"/>
                        </w14:solidFill>
                      </w14:textFill>
                    </w:rPr>
                    <w:t>京能（承德县）新能源有限公司建设，设置一台220MVA主变压器，电压等级220kV。该项目已取得承德市行政审批局批复，文号为“承审批字[2023]354号”。</w:t>
                  </w:r>
                  <w:r>
                    <w:rPr>
                      <w:rFonts w:hint="eastAsia"/>
                      <w:color w:val="000000" w:themeColor="text1"/>
                      <w:szCs w:val="21"/>
                      <w:lang w:val="en-US" w:eastAsia="zh-CN"/>
                      <w14:textFill>
                        <w14:solidFill>
                          <w14:schemeClr w14:val="tx1"/>
                        </w14:solidFill>
                      </w14:textFill>
                    </w:rPr>
                    <w:t>该升压站的辐射环评已在上述环境影响评价报告表中评价</w:t>
                  </w:r>
                  <w:r>
                    <w:rPr>
                      <w:rFonts w:hint="eastAsia"/>
                      <w:color w:val="000000" w:themeColor="text1"/>
                      <w:szCs w:val="21"/>
                      <w14:textFill>
                        <w14:solidFill>
                          <w14:schemeClr w14:val="tx1"/>
                        </w14:solidFill>
                      </w14:textFill>
                    </w:rPr>
                    <w:t>。</w:t>
                  </w:r>
                </w:p>
              </w:tc>
            </w:tr>
            <w:tr w14:paraId="43560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853" w:type="dxa"/>
                  <w:vAlign w:val="center"/>
                </w:tcPr>
                <w:p w14:paraId="623ADD20">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关联工程</w:t>
                  </w:r>
                </w:p>
              </w:tc>
              <w:tc>
                <w:tcPr>
                  <w:tcW w:w="1145" w:type="dxa"/>
                  <w:gridSpan w:val="2"/>
                  <w:vAlign w:val="center"/>
                </w:tcPr>
                <w:p w14:paraId="596AD4C0">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丰晟220kV升压站</w:t>
                  </w:r>
                </w:p>
              </w:tc>
              <w:tc>
                <w:tcPr>
                  <w:tcW w:w="5871" w:type="dxa"/>
                  <w:vAlign w:val="center"/>
                </w:tcPr>
                <w:p w14:paraId="1820A2CF">
                  <w:pPr>
                    <w:adjustRightInd w:val="0"/>
                    <w:snapToGrid w:val="0"/>
                    <w:spacing w:line="320" w:lineRule="exact"/>
                    <w:jc w:val="left"/>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《承德县上谷200MW农光互补储能综合示范项目220KV线路送出工程》</w:t>
                  </w:r>
                  <w:r>
                    <w:rPr>
                      <w:rFonts w:hint="eastAsia"/>
                      <w:color w:val="000000" w:themeColor="text1"/>
                      <w:szCs w:val="21"/>
                      <w:lang w:val="en-US" w:eastAsia="zh-CN"/>
                      <w14:textFill>
                        <w14:solidFill>
                          <w14:schemeClr w14:val="tx1"/>
                        </w14:solidFill>
                      </w14:textFill>
                    </w:rPr>
                    <w:t>于2023年11月取得了承德市行政审批局的批复，文号为“承审批字〔2023〕426号”。主要建设规模为</w:t>
                  </w:r>
                  <w:r>
                    <w:rPr>
                      <w:rFonts w:hint="eastAsia"/>
                      <w:color w:val="auto"/>
                      <w:lang w:val="en-US" w:eastAsia="zh-CN"/>
                    </w:rPr>
                    <w:t>1台200MW/220kV主变压器、</w:t>
                  </w:r>
                  <w:r>
                    <w:rPr>
                      <w:rFonts w:hint="eastAsia"/>
                      <w:color w:val="auto"/>
                    </w:rPr>
                    <w:t>220kV配电装置、35kV配电装置、接地变、无功补偿装置等</w:t>
                  </w:r>
                  <w:r>
                    <w:rPr>
                      <w:rFonts w:hint="eastAsia"/>
                      <w:color w:val="auto"/>
                      <w:lang w:eastAsia="zh-CN"/>
                    </w:rPr>
                    <w:t>，</w:t>
                  </w:r>
                  <w:r>
                    <w:rPr>
                      <w:rFonts w:hint="eastAsia"/>
                      <w:color w:val="auto"/>
                      <w:lang w:val="en-US" w:eastAsia="zh-CN"/>
                    </w:rPr>
                    <w:t>本项目接入</w:t>
                  </w:r>
                  <w:r>
                    <w:rPr>
                      <w:rFonts w:hint="eastAsia"/>
                      <w:color w:val="000000" w:themeColor="text1"/>
                      <w:szCs w:val="21"/>
                      <w:lang w:val="en-US" w:eastAsia="zh-CN"/>
                      <w14:textFill>
                        <w14:solidFill>
                          <w14:schemeClr w14:val="tx1"/>
                        </w14:solidFill>
                      </w14:textFill>
                    </w:rPr>
                    <w:t>丰晟220kV升压站220kV架构南起第一个间隔，</w:t>
                  </w:r>
                  <w:r>
                    <w:rPr>
                      <w:rFonts w:hint="eastAsia"/>
                      <w:color w:val="000000" w:themeColor="text1"/>
                      <w:szCs w:val="21"/>
                      <w14:textFill>
                        <w14:solidFill>
                          <w14:schemeClr w14:val="tx1"/>
                        </w14:solidFill>
                      </w14:textFill>
                    </w:rPr>
                    <w:t>该间隔已建设待用。</w:t>
                  </w:r>
                </w:p>
              </w:tc>
            </w:tr>
          </w:tbl>
          <w:p w14:paraId="44626BFB">
            <w:pPr>
              <w:pStyle w:val="17"/>
              <w:spacing w:line="480" w:lineRule="exact"/>
              <w:ind w:left="0" w:firstLine="422" w:firstLineChars="200"/>
              <w:rPr>
                <w:color w:val="000000" w:themeColor="text1"/>
                <w:kern w:val="2"/>
                <w:szCs w:val="21"/>
                <w14:textFill>
                  <w14:solidFill>
                    <w14:schemeClr w14:val="tx1"/>
                  </w14:solidFill>
                </w14:textFill>
              </w:rPr>
            </w:pPr>
            <w:r>
              <w:rPr>
                <w:rFonts w:hint="eastAsia"/>
                <w:b/>
                <w:bCs/>
                <w:color w:val="000000" w:themeColor="text1"/>
                <w:kern w:val="2"/>
                <w:szCs w:val="21"/>
                <w14:textFill>
                  <w14:solidFill>
                    <w14:schemeClr w14:val="tx1"/>
                  </w14:solidFill>
                </w14:textFill>
              </w:rPr>
              <w:t>三、路径方案</w:t>
            </w:r>
          </w:p>
          <w:p w14:paraId="700726A3">
            <w:pPr>
              <w:pStyle w:val="17"/>
              <w:spacing w:line="480" w:lineRule="exact"/>
              <w:ind w:left="0" w:firstLine="422" w:firstLineChars="200"/>
              <w:rPr>
                <w:rFonts w:hint="eastAsia" w:eastAsia="宋体"/>
                <w:b/>
                <w:bCs/>
                <w:color w:val="000000" w:themeColor="text1"/>
                <w:kern w:val="2"/>
                <w:szCs w:val="21"/>
                <w:lang w:eastAsia="zh-CN"/>
                <w14:textFill>
                  <w14:solidFill>
                    <w14:schemeClr w14:val="tx1"/>
                  </w14:solidFill>
                </w14:textFill>
              </w:rPr>
            </w:pPr>
            <w:r>
              <w:rPr>
                <w:rFonts w:hint="eastAsia"/>
                <w:b/>
                <w:bCs/>
                <w:color w:val="000000" w:themeColor="text1"/>
                <w:kern w:val="2"/>
                <w:szCs w:val="21"/>
                <w14:textFill>
                  <w14:solidFill>
                    <w14:schemeClr w14:val="tx1"/>
                  </w14:solidFill>
                </w14:textFill>
              </w:rPr>
              <w:t>①</w:t>
            </w:r>
            <w:r>
              <w:rPr>
                <w:rFonts w:hint="eastAsia"/>
                <w:b/>
                <w:bCs/>
                <w:color w:val="000000" w:themeColor="text1"/>
                <w:kern w:val="2"/>
                <w:szCs w:val="21"/>
                <w:lang w:val="en-US" w:eastAsia="zh-CN"/>
                <w14:textFill>
                  <w14:solidFill>
                    <w14:schemeClr w14:val="tx1"/>
                  </w14:solidFill>
                </w14:textFill>
              </w:rPr>
              <w:t>方案一</w:t>
            </w:r>
          </w:p>
          <w:p w14:paraId="60929D03">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线路从升压站出线后向东架设约2.2km后，跨越长深高速隧道，绕行基本农田向东北，经大梨树沟村北侧、小梨树沟村北侧向东架设，然后钻越规划牌楼500kV线路，然后右转，向东北方向架设，于河西村东侧跨越长深高速隧道，然后线路向南架设，于大南沟西侧避让基本草原、基本农田、生态红线及钻越已建220kV线路。然后继续并行规划500kV牌楼线路向南架设，于大范杖子村东侧钻越规划500kV牌楼线路和±800kV鲁固线路。然后继续向南架设至下窝铺村南侧，期间由于避让基本农田、基本草原和村庄导致转角数量较多，线路于料北沟门村东北侧跨越承秦高速和京承铁路，然后左转架空进220kV丰晟站。</w:t>
            </w:r>
          </w:p>
          <w:p w14:paraId="06034C3D">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本方案线路路径全长约33.62km。海拔1000m以下，航空距离22.5km，曲折系数1.49。</w:t>
            </w:r>
          </w:p>
          <w:p w14:paraId="451BC58F">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地形比例：山地100%。</w:t>
            </w:r>
          </w:p>
          <w:p w14:paraId="54B4A567">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地质比例：普通土20%、松砂石40%、岩石40%。</w:t>
            </w:r>
          </w:p>
          <w:p w14:paraId="6D7E6823">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线路位于承德市承德县境内。</w:t>
            </w:r>
          </w:p>
          <w:p w14:paraId="625C3336">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本方案N70~N71、N74~N76段需跨越生态红线，跨越生态保护红线分别为40m、340m。</w:t>
            </w:r>
          </w:p>
          <w:p w14:paraId="0FF262F9">
            <w:pPr>
              <w:pStyle w:val="17"/>
              <w:spacing w:line="480" w:lineRule="exact"/>
              <w:ind w:left="0" w:firstLine="422" w:firstLineChars="200"/>
              <w:rPr>
                <w:rFonts w:hint="default" w:eastAsia="宋体"/>
                <w:b/>
                <w:bCs/>
                <w:color w:val="000000" w:themeColor="text1"/>
                <w:kern w:val="2"/>
                <w:szCs w:val="21"/>
                <w:lang w:val="en-US" w:eastAsia="zh-CN"/>
                <w14:textFill>
                  <w14:solidFill>
                    <w14:schemeClr w14:val="tx1"/>
                  </w14:solidFill>
                </w14:textFill>
              </w:rPr>
            </w:pPr>
            <w:r>
              <w:rPr>
                <w:rFonts w:hint="eastAsia"/>
                <w:b/>
                <w:bCs/>
                <w:color w:val="000000" w:themeColor="text1"/>
                <w:kern w:val="2"/>
                <w:szCs w:val="21"/>
                <w:lang w:val="en-US" w:eastAsia="zh-CN"/>
                <w14:textFill>
                  <w14:solidFill>
                    <w14:schemeClr w14:val="tx1"/>
                  </w14:solidFill>
                </w14:textFill>
              </w:rPr>
              <w:t>②方案二</w:t>
            </w:r>
          </w:p>
          <w:p w14:paraId="53FAE23B">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线路从升压站出线后向东架设约2.2km后，跨越长深高速隧道，绕行基本农田向东北，经大梨树沟村北侧、小梨树沟村北侧向东架设，然后钻越规划牌楼500kV线路，然后右转，向东北方向架设，于河西村东侧跨越长深高速隧道，然后线路向南架设，然后并行牌楼500kV线路架设。然后继续向南架设至下窝铺村南侧，期间由于避让基本农田、基本草原和村庄导致转角数量较多，线路于料北沟门村东北侧跨越承秦高速和京承铁路，然后左转架空进220kV丰晟站。</w:t>
            </w:r>
          </w:p>
          <w:p w14:paraId="7EE6A415">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本方案线路路径全长约30.5km。海拔1000m以下，航空距离22.5km，曲折系数1.36。</w:t>
            </w:r>
          </w:p>
          <w:p w14:paraId="1060E4E3">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地形比例：山地100%。</w:t>
            </w:r>
          </w:p>
          <w:p w14:paraId="0FDEC769">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地质比例：岩石80%，松砂石20%。</w:t>
            </w:r>
          </w:p>
          <w:p w14:paraId="618FC8A6">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线路位于承德市承德县境内。</w:t>
            </w:r>
          </w:p>
          <w:p w14:paraId="7EB3117F">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由上述方案一、二路径描述可知，方案一交方案二路径长2.1km，钻越已建电力线路相同，且线路全部位于山地，施工及运维难度相当。</w:t>
            </w:r>
          </w:p>
          <w:p w14:paraId="70706FBC">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由路径图可知，方案二中间并行500kV牌楼线路段有大片基本农田，塔基很难实现全部避让，且B5~B6段需跨越郭家营村约80米，施工困难。</w:t>
            </w:r>
          </w:p>
          <w:p w14:paraId="2D60F116">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丰晟升压站站址位于承秦高速和京承铁路南侧，铁路和高速东西走向，本工程线路南北走向，由于地理位置受限，本线路必须跨越承秦高速和京承铁路。本工程本方案一、二均需跨越方案一沿线基本草原和基本农田分布较少，可实现架空跨越，且不需跨越村庄。</w:t>
            </w:r>
          </w:p>
          <w:p w14:paraId="6BE8C8B2">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综上，本工程线路路径推荐方案一。</w:t>
            </w:r>
          </w:p>
          <w:p w14:paraId="23120BFD">
            <w:pPr>
              <w:pStyle w:val="1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000000" w:themeColor="text1"/>
                <w:kern w:val="2"/>
                <w:szCs w:val="21"/>
                <w14:textFill>
                  <w14:solidFill>
                    <w14:schemeClr w14:val="tx1"/>
                  </w14:solidFill>
                </w14:textFill>
              </w:rPr>
            </w:pPr>
            <w:r>
              <w:drawing>
                <wp:inline distT="0" distB="0" distL="114300" distR="114300">
                  <wp:extent cx="4219575" cy="7620000"/>
                  <wp:effectExtent l="0" t="0" r="9525" b="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4"/>
                          <a:stretch>
                            <a:fillRect/>
                          </a:stretch>
                        </pic:blipFill>
                        <pic:spPr>
                          <a:xfrm>
                            <a:off x="0" y="0"/>
                            <a:ext cx="4219575" cy="7620000"/>
                          </a:xfrm>
                          <a:prstGeom prst="rect">
                            <a:avLst/>
                          </a:prstGeom>
                          <a:noFill/>
                          <a:ln>
                            <a:noFill/>
                          </a:ln>
                        </pic:spPr>
                      </pic:pic>
                    </a:graphicData>
                  </a:graphic>
                </wp:inline>
              </w:drawing>
            </w:r>
          </w:p>
          <w:p w14:paraId="26187BC7">
            <w:pPr>
              <w:pStyle w:val="17"/>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图</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方案比选</w:t>
            </w:r>
            <w:r>
              <w:rPr>
                <w:b/>
                <w:bCs/>
                <w:color w:val="000000" w:themeColor="text1"/>
                <w:szCs w:val="21"/>
                <w14:textFill>
                  <w14:solidFill>
                    <w14:schemeClr w14:val="tx1"/>
                  </w14:solidFill>
                </w14:textFill>
              </w:rPr>
              <w:t>图</w:t>
            </w:r>
          </w:p>
          <w:p w14:paraId="67706852">
            <w:pPr>
              <w:pStyle w:val="17"/>
              <w:spacing w:line="480" w:lineRule="exact"/>
              <w:ind w:left="422" w:hanging="422"/>
              <w:jc w:val="center"/>
              <w:rPr>
                <w:rFonts w:hint="eastAsia"/>
                <w:b/>
                <w:bCs/>
                <w:color w:val="000000" w:themeColor="text1"/>
                <w:kern w:val="2"/>
                <w:szCs w:val="21"/>
                <w14:textFill>
                  <w14:solidFill>
                    <w14:schemeClr w14:val="tx1"/>
                  </w14:solidFill>
                </w14:textFill>
              </w:rPr>
            </w:pPr>
          </w:p>
          <w:p w14:paraId="522EA2AC">
            <w:pPr>
              <w:pStyle w:val="17"/>
              <w:spacing w:line="480" w:lineRule="exact"/>
              <w:ind w:left="422" w:hanging="422"/>
              <w:jc w:val="center"/>
              <w:rPr>
                <w:rFonts w:hint="eastAsia"/>
                <w:b/>
                <w:bCs/>
                <w:color w:val="000000" w:themeColor="text1"/>
                <w:kern w:val="2"/>
                <w:szCs w:val="21"/>
                <w14:textFill>
                  <w14:solidFill>
                    <w14:schemeClr w14:val="tx1"/>
                  </w14:solidFill>
                </w14:textFill>
              </w:rPr>
            </w:pPr>
          </w:p>
          <w:p w14:paraId="65B54381">
            <w:pPr>
              <w:pStyle w:val="17"/>
              <w:spacing w:line="480" w:lineRule="exact"/>
              <w:ind w:left="422" w:hanging="422"/>
              <w:jc w:val="center"/>
              <w:rPr>
                <w:rFonts w:hint="eastAsia"/>
                <w:b/>
                <w:bCs/>
                <w:color w:val="000000" w:themeColor="text1"/>
                <w:kern w:val="2"/>
                <w:szCs w:val="21"/>
                <w14:textFill>
                  <w14:solidFill>
                    <w14:schemeClr w14:val="tx1"/>
                  </w14:solidFill>
                </w14:textFill>
              </w:rPr>
            </w:pPr>
          </w:p>
          <w:p w14:paraId="7E2F2EBB">
            <w:pPr>
              <w:pStyle w:val="17"/>
              <w:spacing w:line="480" w:lineRule="exact"/>
              <w:ind w:left="422" w:hanging="422"/>
              <w:jc w:val="center"/>
              <w:rPr>
                <w:b/>
                <w:bCs/>
                <w:color w:val="000000" w:themeColor="text1"/>
                <w:kern w:val="2"/>
                <w:szCs w:val="21"/>
                <w14:textFill>
                  <w14:solidFill>
                    <w14:schemeClr w14:val="tx1"/>
                  </w14:solidFill>
                </w14:textFill>
              </w:rPr>
            </w:pPr>
            <w:r>
              <w:rPr>
                <w:rFonts w:hint="eastAsia"/>
                <w:b/>
                <w:bCs/>
                <w:color w:val="000000" w:themeColor="text1"/>
                <w:kern w:val="2"/>
                <w:szCs w:val="21"/>
                <w14:textFill>
                  <w14:solidFill>
                    <w14:schemeClr w14:val="tx1"/>
                  </w14:solidFill>
                </w14:textFill>
              </w:rPr>
              <w:t>表2-</w:t>
            </w:r>
            <w:r>
              <w:rPr>
                <w:rFonts w:hint="eastAsia"/>
                <w:b/>
                <w:bCs/>
                <w:color w:val="000000" w:themeColor="text1"/>
                <w:kern w:val="2"/>
                <w:szCs w:val="21"/>
                <w:lang w:val="en-US" w:eastAsia="zh-CN"/>
                <w14:textFill>
                  <w14:solidFill>
                    <w14:schemeClr w14:val="tx1"/>
                  </w14:solidFill>
                </w14:textFill>
              </w:rPr>
              <w:t>2</w:t>
            </w:r>
            <w:r>
              <w:rPr>
                <w:rFonts w:hint="eastAsia"/>
                <w:b/>
                <w:bCs/>
                <w:color w:val="000000" w:themeColor="text1"/>
                <w:kern w:val="2"/>
                <w:szCs w:val="21"/>
                <w14:textFill>
                  <w14:solidFill>
                    <w14:schemeClr w14:val="tx1"/>
                  </w14:solidFill>
                </w14:textFill>
              </w:rPr>
              <w:t xml:space="preserve"> 送出线塔基坐标（经纬度坐标）</w:t>
            </w:r>
          </w:p>
          <w:tbl>
            <w:tblPr>
              <w:tblStyle w:val="24"/>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005"/>
              <w:gridCol w:w="1020"/>
              <w:gridCol w:w="615"/>
              <w:gridCol w:w="1005"/>
              <w:gridCol w:w="1065"/>
              <w:gridCol w:w="540"/>
              <w:gridCol w:w="1020"/>
              <w:gridCol w:w="1050"/>
            </w:tblGrid>
            <w:tr w14:paraId="6D05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1C571354">
                  <w:pPr>
                    <w:keepNext w:val="0"/>
                    <w:keepLines w:val="0"/>
                    <w:pageBreakBefore w:val="0"/>
                    <w:widowControl/>
                    <w:kinsoku/>
                    <w:wordWrap/>
                    <w:overflowPunct/>
                    <w:topLinePunct w:val="0"/>
                    <w:autoSpaceDE/>
                    <w:autoSpaceDN/>
                    <w:bidi w:val="0"/>
                    <w:adjustRightInd/>
                    <w:snapToGrid/>
                    <w:spacing w:line="320" w:lineRule="exact"/>
                    <w:jc w:val="center"/>
                    <w:textAlignment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塔基</w:t>
                  </w:r>
                </w:p>
              </w:tc>
              <w:tc>
                <w:tcPr>
                  <w:tcW w:w="633" w:type="pct"/>
                  <w:vAlign w:val="center"/>
                </w:tcPr>
                <w:p w14:paraId="17F9957F">
                  <w:pPr>
                    <w:keepNext w:val="0"/>
                    <w:keepLines w:val="0"/>
                    <w:pageBreakBefore w:val="0"/>
                    <w:widowControl/>
                    <w:kinsoku/>
                    <w:wordWrap/>
                    <w:overflowPunct/>
                    <w:topLinePunct w:val="0"/>
                    <w:autoSpaceDE/>
                    <w:autoSpaceDN/>
                    <w:bidi w:val="0"/>
                    <w:adjustRightInd/>
                    <w:snapToGrid/>
                    <w:spacing w:line="320" w:lineRule="exact"/>
                    <w:jc w:val="center"/>
                    <w:textAlignment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东经（°）</w:t>
                  </w:r>
                </w:p>
              </w:tc>
              <w:tc>
                <w:tcPr>
                  <w:tcW w:w="642" w:type="pct"/>
                  <w:vAlign w:val="center"/>
                </w:tcPr>
                <w:p w14:paraId="0BE01EC0">
                  <w:pPr>
                    <w:keepNext w:val="0"/>
                    <w:keepLines w:val="0"/>
                    <w:pageBreakBefore w:val="0"/>
                    <w:widowControl/>
                    <w:kinsoku/>
                    <w:wordWrap/>
                    <w:overflowPunct/>
                    <w:topLinePunct w:val="0"/>
                    <w:autoSpaceDE/>
                    <w:autoSpaceDN/>
                    <w:bidi w:val="0"/>
                    <w:adjustRightInd/>
                    <w:snapToGrid/>
                    <w:spacing w:line="320" w:lineRule="exact"/>
                    <w:jc w:val="center"/>
                    <w:textAlignment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北纬（°）</w:t>
                  </w:r>
                </w:p>
              </w:tc>
              <w:tc>
                <w:tcPr>
                  <w:tcW w:w="387" w:type="pct"/>
                  <w:vAlign w:val="center"/>
                </w:tcPr>
                <w:p w14:paraId="6053A241">
                  <w:pPr>
                    <w:keepNext w:val="0"/>
                    <w:keepLines w:val="0"/>
                    <w:pageBreakBefore w:val="0"/>
                    <w:widowControl/>
                    <w:kinsoku/>
                    <w:wordWrap/>
                    <w:overflowPunct/>
                    <w:topLinePunct w:val="0"/>
                    <w:autoSpaceDE/>
                    <w:autoSpaceDN/>
                    <w:bidi w:val="0"/>
                    <w:adjustRightInd/>
                    <w:snapToGrid/>
                    <w:spacing w:line="320" w:lineRule="exact"/>
                    <w:jc w:val="center"/>
                    <w:textAlignment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塔基</w:t>
                  </w:r>
                </w:p>
              </w:tc>
              <w:tc>
                <w:tcPr>
                  <w:tcW w:w="633" w:type="pct"/>
                  <w:vAlign w:val="center"/>
                </w:tcPr>
                <w:p w14:paraId="1FA17F47">
                  <w:pPr>
                    <w:keepNext w:val="0"/>
                    <w:keepLines w:val="0"/>
                    <w:pageBreakBefore w:val="0"/>
                    <w:widowControl/>
                    <w:kinsoku/>
                    <w:wordWrap/>
                    <w:overflowPunct/>
                    <w:topLinePunct w:val="0"/>
                    <w:autoSpaceDE/>
                    <w:autoSpaceDN/>
                    <w:bidi w:val="0"/>
                    <w:adjustRightInd/>
                    <w:snapToGrid/>
                    <w:spacing w:line="320" w:lineRule="exact"/>
                    <w:jc w:val="center"/>
                    <w:textAlignment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东经（°）</w:t>
                  </w:r>
                </w:p>
              </w:tc>
              <w:tc>
                <w:tcPr>
                  <w:tcW w:w="670" w:type="pct"/>
                  <w:vAlign w:val="center"/>
                </w:tcPr>
                <w:p w14:paraId="4217B6C3">
                  <w:pPr>
                    <w:keepNext w:val="0"/>
                    <w:keepLines w:val="0"/>
                    <w:pageBreakBefore w:val="0"/>
                    <w:widowControl/>
                    <w:kinsoku/>
                    <w:wordWrap/>
                    <w:overflowPunct/>
                    <w:topLinePunct w:val="0"/>
                    <w:autoSpaceDE/>
                    <w:autoSpaceDN/>
                    <w:bidi w:val="0"/>
                    <w:adjustRightInd/>
                    <w:snapToGrid/>
                    <w:spacing w:line="320" w:lineRule="exact"/>
                    <w:jc w:val="center"/>
                    <w:textAlignment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北纬（°）</w:t>
                  </w:r>
                </w:p>
              </w:tc>
              <w:tc>
                <w:tcPr>
                  <w:tcW w:w="340" w:type="pct"/>
                  <w:vAlign w:val="center"/>
                </w:tcPr>
                <w:p w14:paraId="74B1A896">
                  <w:pPr>
                    <w:keepNext w:val="0"/>
                    <w:keepLines w:val="0"/>
                    <w:pageBreakBefore w:val="0"/>
                    <w:widowControl/>
                    <w:kinsoku/>
                    <w:wordWrap/>
                    <w:overflowPunct/>
                    <w:topLinePunct w:val="0"/>
                    <w:autoSpaceDE/>
                    <w:autoSpaceDN/>
                    <w:bidi w:val="0"/>
                    <w:adjustRightInd/>
                    <w:snapToGrid/>
                    <w:spacing w:line="320" w:lineRule="exact"/>
                    <w:jc w:val="center"/>
                    <w:textAlignment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塔基</w:t>
                  </w:r>
                </w:p>
              </w:tc>
              <w:tc>
                <w:tcPr>
                  <w:tcW w:w="642" w:type="pct"/>
                  <w:vAlign w:val="center"/>
                </w:tcPr>
                <w:p w14:paraId="48C3E30C">
                  <w:pPr>
                    <w:keepNext w:val="0"/>
                    <w:keepLines w:val="0"/>
                    <w:pageBreakBefore w:val="0"/>
                    <w:widowControl/>
                    <w:kinsoku/>
                    <w:wordWrap/>
                    <w:overflowPunct/>
                    <w:topLinePunct w:val="0"/>
                    <w:autoSpaceDE/>
                    <w:autoSpaceDN/>
                    <w:bidi w:val="0"/>
                    <w:adjustRightInd/>
                    <w:snapToGrid/>
                    <w:spacing w:line="320" w:lineRule="exact"/>
                    <w:jc w:val="center"/>
                    <w:textAlignment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东经（°）</w:t>
                  </w:r>
                </w:p>
              </w:tc>
              <w:tc>
                <w:tcPr>
                  <w:tcW w:w="661" w:type="pct"/>
                  <w:vAlign w:val="center"/>
                </w:tcPr>
                <w:p w14:paraId="726D1AF6">
                  <w:pPr>
                    <w:keepNext w:val="0"/>
                    <w:keepLines w:val="0"/>
                    <w:pageBreakBefore w:val="0"/>
                    <w:widowControl/>
                    <w:kinsoku/>
                    <w:wordWrap/>
                    <w:overflowPunct/>
                    <w:topLinePunct w:val="0"/>
                    <w:autoSpaceDE/>
                    <w:autoSpaceDN/>
                    <w:bidi w:val="0"/>
                    <w:adjustRightInd/>
                    <w:snapToGrid/>
                    <w:spacing w:line="320" w:lineRule="exact"/>
                    <w:jc w:val="center"/>
                    <w:textAlignment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北纬（°）</w:t>
                  </w:r>
                </w:p>
              </w:tc>
            </w:tr>
            <w:tr w14:paraId="7FCA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771B4D3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N2</w:t>
                  </w:r>
                </w:p>
              </w:tc>
              <w:tc>
                <w:tcPr>
                  <w:tcW w:w="633" w:type="pct"/>
                  <w:vAlign w:val="center"/>
                </w:tcPr>
                <w:p w14:paraId="755EB49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118.2766209</w:t>
                  </w:r>
                </w:p>
              </w:tc>
              <w:tc>
                <w:tcPr>
                  <w:tcW w:w="642" w:type="pct"/>
                  <w:vAlign w:val="center"/>
                </w:tcPr>
                <w:p w14:paraId="3C573DA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40.97177094</w:t>
                  </w:r>
                </w:p>
              </w:tc>
              <w:tc>
                <w:tcPr>
                  <w:tcW w:w="387" w:type="pct"/>
                  <w:vAlign w:val="center"/>
                </w:tcPr>
                <w:p w14:paraId="1B02C73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XN35</w:t>
                  </w:r>
                </w:p>
              </w:tc>
              <w:tc>
                <w:tcPr>
                  <w:tcW w:w="633" w:type="pct"/>
                  <w:vAlign w:val="center"/>
                </w:tcPr>
                <w:p w14:paraId="3D3CD45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118.3598238</w:t>
                  </w:r>
                </w:p>
              </w:tc>
              <w:tc>
                <w:tcPr>
                  <w:tcW w:w="670" w:type="pct"/>
                  <w:vAlign w:val="center"/>
                </w:tcPr>
                <w:p w14:paraId="5AD566B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40.94040448</w:t>
                  </w:r>
                </w:p>
              </w:tc>
              <w:tc>
                <w:tcPr>
                  <w:tcW w:w="340" w:type="pct"/>
                  <w:vAlign w:val="center"/>
                </w:tcPr>
                <w:p w14:paraId="7FA9217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N71</w:t>
                  </w:r>
                </w:p>
              </w:tc>
              <w:tc>
                <w:tcPr>
                  <w:tcW w:w="642" w:type="pct"/>
                  <w:vAlign w:val="center"/>
                </w:tcPr>
                <w:p w14:paraId="39AA57B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118.3244297</w:t>
                  </w:r>
                </w:p>
              </w:tc>
              <w:tc>
                <w:tcPr>
                  <w:tcW w:w="661" w:type="pct"/>
                  <w:vAlign w:val="center"/>
                </w:tcPr>
                <w:p w14:paraId="3B2CCD8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40.845458</w:t>
                  </w:r>
                </w:p>
              </w:tc>
            </w:tr>
            <w:tr w14:paraId="55E6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638DAA5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N5</w:t>
                  </w:r>
                </w:p>
              </w:tc>
              <w:tc>
                <w:tcPr>
                  <w:tcW w:w="633" w:type="pct"/>
                  <w:vAlign w:val="center"/>
                </w:tcPr>
                <w:p w14:paraId="32A61D9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118.2891694</w:t>
                  </w:r>
                </w:p>
              </w:tc>
              <w:tc>
                <w:tcPr>
                  <w:tcW w:w="642" w:type="pct"/>
                  <w:vAlign w:val="center"/>
                </w:tcPr>
                <w:p w14:paraId="48E8327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40.97492138</w:t>
                  </w:r>
                </w:p>
              </w:tc>
              <w:tc>
                <w:tcPr>
                  <w:tcW w:w="387" w:type="pct"/>
                  <w:vAlign w:val="center"/>
                </w:tcPr>
                <w:p w14:paraId="36435F5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XN36</w:t>
                  </w:r>
                </w:p>
              </w:tc>
              <w:tc>
                <w:tcPr>
                  <w:tcW w:w="633" w:type="pct"/>
                  <w:vAlign w:val="center"/>
                </w:tcPr>
                <w:p w14:paraId="0E3F879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118.3592189</w:t>
                  </w:r>
                </w:p>
              </w:tc>
              <w:tc>
                <w:tcPr>
                  <w:tcW w:w="670" w:type="pct"/>
                  <w:vAlign w:val="center"/>
                </w:tcPr>
                <w:p w14:paraId="5330A1C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40.93959275</w:t>
                  </w:r>
                </w:p>
              </w:tc>
              <w:tc>
                <w:tcPr>
                  <w:tcW w:w="340" w:type="pct"/>
                  <w:vAlign w:val="center"/>
                </w:tcPr>
                <w:p w14:paraId="5AA0634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N73</w:t>
                  </w:r>
                </w:p>
              </w:tc>
              <w:tc>
                <w:tcPr>
                  <w:tcW w:w="642" w:type="pct"/>
                  <w:vAlign w:val="center"/>
                </w:tcPr>
                <w:p w14:paraId="06928B8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118.3289458</w:t>
                  </w:r>
                </w:p>
              </w:tc>
              <w:tc>
                <w:tcPr>
                  <w:tcW w:w="661" w:type="pct"/>
                  <w:vAlign w:val="center"/>
                </w:tcPr>
                <w:p w14:paraId="7256F9C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40.84289298</w:t>
                  </w:r>
                </w:p>
              </w:tc>
            </w:tr>
            <w:tr w14:paraId="310A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48230AA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N3</w:t>
                  </w:r>
                </w:p>
              </w:tc>
              <w:tc>
                <w:tcPr>
                  <w:tcW w:w="633" w:type="pct"/>
                  <w:vAlign w:val="center"/>
                </w:tcPr>
                <w:p w14:paraId="484AF79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118.2808579</w:t>
                  </w:r>
                </w:p>
              </w:tc>
              <w:tc>
                <w:tcPr>
                  <w:tcW w:w="642" w:type="pct"/>
                  <w:vAlign w:val="center"/>
                </w:tcPr>
                <w:p w14:paraId="1209709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40.97283489</w:t>
                  </w:r>
                </w:p>
              </w:tc>
              <w:tc>
                <w:tcPr>
                  <w:tcW w:w="387" w:type="pct"/>
                  <w:vAlign w:val="center"/>
                </w:tcPr>
                <w:p w14:paraId="5D04EEC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XN38</w:t>
                  </w:r>
                </w:p>
              </w:tc>
              <w:tc>
                <w:tcPr>
                  <w:tcW w:w="633" w:type="pct"/>
                  <w:vAlign w:val="center"/>
                </w:tcPr>
                <w:p w14:paraId="1C674A9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118.3591112</w:t>
                  </w:r>
                </w:p>
              </w:tc>
              <w:tc>
                <w:tcPr>
                  <w:tcW w:w="670" w:type="pct"/>
                  <w:vAlign w:val="center"/>
                </w:tcPr>
                <w:p w14:paraId="18B1653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40.93423471</w:t>
                  </w:r>
                </w:p>
              </w:tc>
              <w:tc>
                <w:tcPr>
                  <w:tcW w:w="340" w:type="pct"/>
                  <w:vAlign w:val="center"/>
                </w:tcPr>
                <w:p w14:paraId="48186B6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N72</w:t>
                  </w:r>
                </w:p>
              </w:tc>
              <w:tc>
                <w:tcPr>
                  <w:tcW w:w="642" w:type="pct"/>
                  <w:vAlign w:val="center"/>
                </w:tcPr>
                <w:p w14:paraId="4EBB0B8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118.3265712</w:t>
                  </w:r>
                </w:p>
              </w:tc>
              <w:tc>
                <w:tcPr>
                  <w:tcW w:w="661" w:type="pct"/>
                  <w:vAlign w:val="center"/>
                </w:tcPr>
                <w:p w14:paraId="369E3DC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40.84424173</w:t>
                  </w:r>
                </w:p>
              </w:tc>
            </w:tr>
            <w:tr w14:paraId="5682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4762639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w:t>
                  </w:r>
                </w:p>
              </w:tc>
              <w:tc>
                <w:tcPr>
                  <w:tcW w:w="633" w:type="pct"/>
                  <w:vAlign w:val="center"/>
                </w:tcPr>
                <w:p w14:paraId="4D243E2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118.2757279</w:t>
                  </w:r>
                </w:p>
              </w:tc>
              <w:tc>
                <w:tcPr>
                  <w:tcW w:w="642" w:type="pct"/>
                  <w:vAlign w:val="center"/>
                </w:tcPr>
                <w:p w14:paraId="7BB2819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40.97153951</w:t>
                  </w:r>
                </w:p>
              </w:tc>
              <w:tc>
                <w:tcPr>
                  <w:tcW w:w="387" w:type="pct"/>
                  <w:vAlign w:val="center"/>
                </w:tcPr>
                <w:p w14:paraId="6B5E82B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XN37</w:t>
                  </w:r>
                </w:p>
              </w:tc>
              <w:tc>
                <w:tcPr>
                  <w:tcW w:w="633" w:type="pct"/>
                  <w:vAlign w:val="center"/>
                </w:tcPr>
                <w:p w14:paraId="4986AD6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118.360233</w:t>
                  </w:r>
                </w:p>
              </w:tc>
              <w:tc>
                <w:tcPr>
                  <w:tcW w:w="670" w:type="pct"/>
                  <w:vAlign w:val="center"/>
                </w:tcPr>
                <w:p w14:paraId="0D7D045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40.93763459</w:t>
                  </w:r>
                </w:p>
              </w:tc>
              <w:tc>
                <w:tcPr>
                  <w:tcW w:w="340" w:type="pct"/>
                  <w:vAlign w:val="center"/>
                </w:tcPr>
                <w:p w14:paraId="3A9BC5A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N74</w:t>
                  </w:r>
                </w:p>
              </w:tc>
              <w:tc>
                <w:tcPr>
                  <w:tcW w:w="642" w:type="pct"/>
                  <w:vAlign w:val="center"/>
                </w:tcPr>
                <w:p w14:paraId="16E2C84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118.3307938</w:t>
                  </w:r>
                </w:p>
              </w:tc>
              <w:tc>
                <w:tcPr>
                  <w:tcW w:w="661" w:type="pct"/>
                  <w:vAlign w:val="center"/>
                </w:tcPr>
                <w:p w14:paraId="5FC9F45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40.84160248</w:t>
                  </w:r>
                </w:p>
              </w:tc>
            </w:tr>
            <w:tr w14:paraId="7738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5002A83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N12</w:t>
                  </w:r>
                </w:p>
              </w:tc>
              <w:tc>
                <w:tcPr>
                  <w:tcW w:w="633" w:type="pct"/>
                  <w:vAlign w:val="center"/>
                </w:tcPr>
                <w:p w14:paraId="78E8FBB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118.3182686</w:t>
                  </w:r>
                </w:p>
              </w:tc>
              <w:tc>
                <w:tcPr>
                  <w:tcW w:w="642" w:type="pct"/>
                  <w:vAlign w:val="center"/>
                </w:tcPr>
                <w:p w14:paraId="3A8EF22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40.9839393</w:t>
                  </w:r>
                </w:p>
              </w:tc>
              <w:tc>
                <w:tcPr>
                  <w:tcW w:w="387" w:type="pct"/>
                  <w:vAlign w:val="center"/>
                </w:tcPr>
                <w:p w14:paraId="05B91CD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XN41</w:t>
                  </w:r>
                </w:p>
              </w:tc>
              <w:tc>
                <w:tcPr>
                  <w:tcW w:w="633" w:type="pct"/>
                  <w:vAlign w:val="center"/>
                </w:tcPr>
                <w:p w14:paraId="1EA4EE9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118.3565789</w:t>
                  </w:r>
                </w:p>
              </w:tc>
              <w:tc>
                <w:tcPr>
                  <w:tcW w:w="670" w:type="pct"/>
                  <w:vAlign w:val="center"/>
                </w:tcPr>
                <w:p w14:paraId="7BB239A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40.92655768</w:t>
                  </w:r>
                </w:p>
              </w:tc>
              <w:tc>
                <w:tcPr>
                  <w:tcW w:w="340" w:type="pct"/>
                  <w:vAlign w:val="center"/>
                </w:tcPr>
                <w:p w14:paraId="04A7B15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N76</w:t>
                  </w:r>
                </w:p>
              </w:tc>
              <w:tc>
                <w:tcPr>
                  <w:tcW w:w="642" w:type="pct"/>
                  <w:vAlign w:val="center"/>
                </w:tcPr>
                <w:p w14:paraId="23DBCCC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118.3325406</w:t>
                  </w:r>
                </w:p>
              </w:tc>
              <w:tc>
                <w:tcPr>
                  <w:tcW w:w="661" w:type="pct"/>
                  <w:vAlign w:val="center"/>
                </w:tcPr>
                <w:p w14:paraId="6E6D4F5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40.83857561</w:t>
                  </w:r>
                </w:p>
              </w:tc>
            </w:tr>
            <w:tr w14:paraId="40EA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1045DF2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N8</w:t>
                  </w:r>
                </w:p>
              </w:tc>
              <w:tc>
                <w:tcPr>
                  <w:tcW w:w="633" w:type="pct"/>
                  <w:vAlign w:val="center"/>
                </w:tcPr>
                <w:p w14:paraId="1BE6247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118.2999032</w:t>
                  </w:r>
                </w:p>
              </w:tc>
              <w:tc>
                <w:tcPr>
                  <w:tcW w:w="642" w:type="pct"/>
                  <w:vAlign w:val="center"/>
                </w:tcPr>
                <w:p w14:paraId="182726C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40.97811389</w:t>
                  </w:r>
                </w:p>
              </w:tc>
              <w:tc>
                <w:tcPr>
                  <w:tcW w:w="387" w:type="pct"/>
                  <w:vAlign w:val="center"/>
                </w:tcPr>
                <w:p w14:paraId="17045BB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XN39</w:t>
                  </w:r>
                </w:p>
              </w:tc>
              <w:tc>
                <w:tcPr>
                  <w:tcW w:w="633" w:type="pct"/>
                  <w:vAlign w:val="center"/>
                </w:tcPr>
                <w:p w14:paraId="00B7694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118.3585766</w:t>
                  </w:r>
                </w:p>
              </w:tc>
              <w:tc>
                <w:tcPr>
                  <w:tcW w:w="670" w:type="pct"/>
                  <w:vAlign w:val="center"/>
                </w:tcPr>
                <w:p w14:paraId="49B633F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40.9326141</w:t>
                  </w:r>
                </w:p>
              </w:tc>
              <w:tc>
                <w:tcPr>
                  <w:tcW w:w="340" w:type="pct"/>
                  <w:vAlign w:val="center"/>
                </w:tcPr>
                <w:p w14:paraId="101FCA8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N77</w:t>
                  </w:r>
                </w:p>
              </w:tc>
              <w:tc>
                <w:tcPr>
                  <w:tcW w:w="642" w:type="pct"/>
                  <w:vAlign w:val="center"/>
                </w:tcPr>
                <w:p w14:paraId="5DAAECF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118.3337992</w:t>
                  </w:r>
                </w:p>
              </w:tc>
              <w:tc>
                <w:tcPr>
                  <w:tcW w:w="661" w:type="pct"/>
                  <w:vAlign w:val="center"/>
                </w:tcPr>
                <w:p w14:paraId="673002D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40.8363944</w:t>
                  </w:r>
                </w:p>
              </w:tc>
            </w:tr>
            <w:tr w14:paraId="2846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4BCB4A8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N7</w:t>
                  </w:r>
                </w:p>
              </w:tc>
              <w:tc>
                <w:tcPr>
                  <w:tcW w:w="633" w:type="pct"/>
                  <w:vAlign w:val="center"/>
                </w:tcPr>
                <w:p w14:paraId="695C9F9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118.2961106</w:t>
                  </w:r>
                </w:p>
              </w:tc>
              <w:tc>
                <w:tcPr>
                  <w:tcW w:w="642" w:type="pct"/>
                  <w:vAlign w:val="center"/>
                </w:tcPr>
                <w:p w14:paraId="1F43B8A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40.9769104</w:t>
                  </w:r>
                </w:p>
              </w:tc>
              <w:tc>
                <w:tcPr>
                  <w:tcW w:w="387" w:type="pct"/>
                  <w:vAlign w:val="center"/>
                </w:tcPr>
                <w:p w14:paraId="6AE506F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XN40</w:t>
                  </w:r>
                </w:p>
              </w:tc>
              <w:tc>
                <w:tcPr>
                  <w:tcW w:w="633" w:type="pct"/>
                  <w:vAlign w:val="center"/>
                </w:tcPr>
                <w:p w14:paraId="6CCD622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118.3574249</w:t>
                  </w:r>
                </w:p>
              </w:tc>
              <w:tc>
                <w:tcPr>
                  <w:tcW w:w="670" w:type="pct"/>
                  <w:vAlign w:val="center"/>
                </w:tcPr>
                <w:p w14:paraId="543D602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40.92912262</w:t>
                  </w:r>
                </w:p>
              </w:tc>
              <w:tc>
                <w:tcPr>
                  <w:tcW w:w="340" w:type="pct"/>
                  <w:vAlign w:val="center"/>
                </w:tcPr>
                <w:p w14:paraId="17C258B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N78</w:t>
                  </w:r>
                </w:p>
              </w:tc>
              <w:tc>
                <w:tcPr>
                  <w:tcW w:w="642" w:type="pct"/>
                  <w:vAlign w:val="center"/>
                </w:tcPr>
                <w:p w14:paraId="3BB198C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118.3340706</w:t>
                  </w:r>
                </w:p>
              </w:tc>
              <w:tc>
                <w:tcPr>
                  <w:tcW w:w="661" w:type="pct"/>
                  <w:vAlign w:val="center"/>
                </w:tcPr>
                <w:p w14:paraId="3AFC55F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40.83382505</w:t>
                  </w:r>
                </w:p>
              </w:tc>
            </w:tr>
            <w:tr w14:paraId="3408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7E26A7C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N10</w:t>
                  </w:r>
                </w:p>
              </w:tc>
              <w:tc>
                <w:tcPr>
                  <w:tcW w:w="633" w:type="pct"/>
                  <w:vAlign w:val="center"/>
                </w:tcPr>
                <w:p w14:paraId="2898514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118.3120481</w:t>
                  </w:r>
                </w:p>
              </w:tc>
              <w:tc>
                <w:tcPr>
                  <w:tcW w:w="642" w:type="pct"/>
                  <w:vAlign w:val="center"/>
                </w:tcPr>
                <w:p w14:paraId="55E4BA6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40.98196665</w:t>
                  </w:r>
                </w:p>
              </w:tc>
              <w:tc>
                <w:tcPr>
                  <w:tcW w:w="387" w:type="pct"/>
                  <w:vAlign w:val="center"/>
                </w:tcPr>
                <w:p w14:paraId="5DF1954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XN42</w:t>
                  </w:r>
                </w:p>
              </w:tc>
              <w:tc>
                <w:tcPr>
                  <w:tcW w:w="633" w:type="pct"/>
                  <w:vAlign w:val="center"/>
                </w:tcPr>
                <w:p w14:paraId="3FA1C4E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118.3551454</w:t>
                  </w:r>
                </w:p>
              </w:tc>
              <w:tc>
                <w:tcPr>
                  <w:tcW w:w="670" w:type="pct"/>
                  <w:vAlign w:val="center"/>
                </w:tcPr>
                <w:p w14:paraId="7014B3C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40.92221119</w:t>
                  </w:r>
                </w:p>
              </w:tc>
              <w:tc>
                <w:tcPr>
                  <w:tcW w:w="340" w:type="pct"/>
                  <w:vAlign w:val="center"/>
                </w:tcPr>
                <w:p w14:paraId="46CF77F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N79</w:t>
                  </w:r>
                </w:p>
              </w:tc>
              <w:tc>
                <w:tcPr>
                  <w:tcW w:w="642" w:type="pct"/>
                  <w:vAlign w:val="center"/>
                </w:tcPr>
                <w:p w14:paraId="1B02690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118.3344923</w:t>
                  </w:r>
                </w:p>
              </w:tc>
              <w:tc>
                <w:tcPr>
                  <w:tcW w:w="661" w:type="pct"/>
                  <w:vAlign w:val="center"/>
                </w:tcPr>
                <w:p w14:paraId="31B23F4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40.82983306</w:t>
                  </w:r>
                </w:p>
              </w:tc>
            </w:tr>
            <w:tr w14:paraId="4C9A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2A3FBD5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N4</w:t>
                  </w:r>
                </w:p>
              </w:tc>
              <w:tc>
                <w:tcPr>
                  <w:tcW w:w="633" w:type="pct"/>
                  <w:vAlign w:val="center"/>
                </w:tcPr>
                <w:p w14:paraId="0B29E5F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118.2834326</w:t>
                  </w:r>
                </w:p>
              </w:tc>
              <w:tc>
                <w:tcPr>
                  <w:tcW w:w="642" w:type="pct"/>
                  <w:vAlign w:val="center"/>
                </w:tcPr>
                <w:p w14:paraId="1B7C3A7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40.97348131</w:t>
                  </w:r>
                </w:p>
              </w:tc>
              <w:tc>
                <w:tcPr>
                  <w:tcW w:w="387" w:type="pct"/>
                  <w:vAlign w:val="center"/>
                </w:tcPr>
                <w:p w14:paraId="3F218CA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XN43</w:t>
                  </w:r>
                </w:p>
              </w:tc>
              <w:tc>
                <w:tcPr>
                  <w:tcW w:w="633" w:type="pct"/>
                  <w:vAlign w:val="center"/>
                </w:tcPr>
                <w:p w14:paraId="0409D49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118.3541506</w:t>
                  </w:r>
                </w:p>
              </w:tc>
              <w:tc>
                <w:tcPr>
                  <w:tcW w:w="670" w:type="pct"/>
                  <w:vAlign w:val="center"/>
                </w:tcPr>
                <w:p w14:paraId="4AA60DF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40.91919461</w:t>
                  </w:r>
                </w:p>
              </w:tc>
              <w:tc>
                <w:tcPr>
                  <w:tcW w:w="340" w:type="pct"/>
                  <w:vAlign w:val="center"/>
                </w:tcPr>
                <w:p w14:paraId="7786A31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N80</w:t>
                  </w:r>
                </w:p>
              </w:tc>
              <w:tc>
                <w:tcPr>
                  <w:tcW w:w="642" w:type="pct"/>
                  <w:vAlign w:val="center"/>
                </w:tcPr>
                <w:p w14:paraId="24215BE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118.3347421</w:t>
                  </w:r>
                </w:p>
              </w:tc>
              <w:tc>
                <w:tcPr>
                  <w:tcW w:w="661" w:type="pct"/>
                  <w:vAlign w:val="center"/>
                </w:tcPr>
                <w:p w14:paraId="5C7F78B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40.82746692</w:t>
                  </w:r>
                </w:p>
              </w:tc>
            </w:tr>
            <w:tr w14:paraId="690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50DFF30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N11</w:t>
                  </w:r>
                </w:p>
              </w:tc>
              <w:tc>
                <w:tcPr>
                  <w:tcW w:w="633" w:type="pct"/>
                  <w:vAlign w:val="center"/>
                </w:tcPr>
                <w:p w14:paraId="35C2EE6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118.3137313</w:t>
                  </w:r>
                </w:p>
              </w:tc>
              <w:tc>
                <w:tcPr>
                  <w:tcW w:w="642" w:type="pct"/>
                  <w:vAlign w:val="center"/>
                </w:tcPr>
                <w:p w14:paraId="5059FF4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40.98250044</w:t>
                  </w:r>
                </w:p>
              </w:tc>
              <w:tc>
                <w:tcPr>
                  <w:tcW w:w="387" w:type="pct"/>
                  <w:vAlign w:val="center"/>
                </w:tcPr>
                <w:p w14:paraId="19C6129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XN44</w:t>
                  </w:r>
                </w:p>
              </w:tc>
              <w:tc>
                <w:tcPr>
                  <w:tcW w:w="633" w:type="pct"/>
                  <w:vAlign w:val="center"/>
                </w:tcPr>
                <w:p w14:paraId="16DD4C0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118.3532956</w:t>
                  </w:r>
                </w:p>
              </w:tc>
              <w:tc>
                <w:tcPr>
                  <w:tcW w:w="670" w:type="pct"/>
                  <w:vAlign w:val="center"/>
                </w:tcPr>
                <w:p w14:paraId="5C2EA19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40.91660157</w:t>
                  </w:r>
                </w:p>
              </w:tc>
              <w:tc>
                <w:tcPr>
                  <w:tcW w:w="340" w:type="pct"/>
                  <w:vAlign w:val="center"/>
                </w:tcPr>
                <w:p w14:paraId="6A62C14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N81</w:t>
                  </w:r>
                </w:p>
              </w:tc>
              <w:tc>
                <w:tcPr>
                  <w:tcW w:w="642" w:type="pct"/>
                  <w:vAlign w:val="center"/>
                </w:tcPr>
                <w:p w14:paraId="6C56AC7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118.3349322</w:t>
                  </w:r>
                </w:p>
              </w:tc>
              <w:tc>
                <w:tcPr>
                  <w:tcW w:w="661" w:type="pct"/>
                  <w:vAlign w:val="center"/>
                </w:tcPr>
                <w:p w14:paraId="76157F9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40.82566706</w:t>
                  </w:r>
                </w:p>
              </w:tc>
            </w:tr>
            <w:tr w14:paraId="1BBF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61BF8FE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N6</w:t>
                  </w:r>
                </w:p>
              </w:tc>
              <w:tc>
                <w:tcPr>
                  <w:tcW w:w="633" w:type="pct"/>
                  <w:vAlign w:val="center"/>
                </w:tcPr>
                <w:p w14:paraId="5355C5B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118.2923908</w:t>
                  </w:r>
                </w:p>
              </w:tc>
              <w:tc>
                <w:tcPr>
                  <w:tcW w:w="642" w:type="pct"/>
                  <w:vAlign w:val="center"/>
                </w:tcPr>
                <w:p w14:paraId="352014C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40.97572992</w:t>
                  </w:r>
                </w:p>
              </w:tc>
              <w:tc>
                <w:tcPr>
                  <w:tcW w:w="387" w:type="pct"/>
                  <w:vAlign w:val="center"/>
                </w:tcPr>
                <w:p w14:paraId="2A3D017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XN45</w:t>
                  </w:r>
                </w:p>
              </w:tc>
              <w:tc>
                <w:tcPr>
                  <w:tcW w:w="633" w:type="pct"/>
                  <w:vAlign w:val="center"/>
                </w:tcPr>
                <w:p w14:paraId="7E439AC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118.3521746</w:t>
                  </w:r>
                </w:p>
              </w:tc>
              <w:tc>
                <w:tcPr>
                  <w:tcW w:w="670" w:type="pct"/>
                  <w:vAlign w:val="center"/>
                </w:tcPr>
                <w:p w14:paraId="29396E3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40.9132016</w:t>
                  </w:r>
                </w:p>
              </w:tc>
              <w:tc>
                <w:tcPr>
                  <w:tcW w:w="340" w:type="pct"/>
                  <w:vAlign w:val="center"/>
                </w:tcPr>
                <w:p w14:paraId="49C9DDA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N82</w:t>
                  </w:r>
                </w:p>
              </w:tc>
              <w:tc>
                <w:tcPr>
                  <w:tcW w:w="642" w:type="pct"/>
                  <w:vAlign w:val="center"/>
                </w:tcPr>
                <w:p w14:paraId="0ACE999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118.3366437</w:t>
                  </w:r>
                </w:p>
              </w:tc>
              <w:tc>
                <w:tcPr>
                  <w:tcW w:w="661" w:type="pct"/>
                  <w:vAlign w:val="center"/>
                </w:tcPr>
                <w:p w14:paraId="28EDEA5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40.82296946</w:t>
                  </w:r>
                </w:p>
              </w:tc>
            </w:tr>
            <w:tr w14:paraId="6780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11099EC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N9</w:t>
                  </w:r>
                </w:p>
              </w:tc>
              <w:tc>
                <w:tcPr>
                  <w:tcW w:w="633" w:type="pct"/>
                  <w:vAlign w:val="center"/>
                </w:tcPr>
                <w:p w14:paraId="40F8000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118.305496</w:t>
                  </w:r>
                </w:p>
              </w:tc>
              <w:tc>
                <w:tcPr>
                  <w:tcW w:w="642" w:type="pct"/>
                  <w:vAlign w:val="center"/>
                </w:tcPr>
                <w:p w14:paraId="252C578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40.97988838</w:t>
                  </w:r>
                </w:p>
              </w:tc>
              <w:tc>
                <w:tcPr>
                  <w:tcW w:w="387" w:type="pct"/>
                  <w:vAlign w:val="center"/>
                </w:tcPr>
                <w:p w14:paraId="773F741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XN48</w:t>
                  </w:r>
                </w:p>
              </w:tc>
              <w:tc>
                <w:tcPr>
                  <w:tcW w:w="633" w:type="pct"/>
                  <w:vAlign w:val="center"/>
                </w:tcPr>
                <w:p w14:paraId="4E42D44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118.3479122</w:t>
                  </w:r>
                </w:p>
              </w:tc>
              <w:tc>
                <w:tcPr>
                  <w:tcW w:w="670" w:type="pct"/>
                  <w:vAlign w:val="center"/>
                </w:tcPr>
                <w:p w14:paraId="341F351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40.90227989</w:t>
                  </w:r>
                </w:p>
              </w:tc>
              <w:tc>
                <w:tcPr>
                  <w:tcW w:w="340" w:type="pct"/>
                  <w:vAlign w:val="center"/>
                </w:tcPr>
                <w:p w14:paraId="38C31BF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N83</w:t>
                  </w:r>
                </w:p>
              </w:tc>
              <w:tc>
                <w:tcPr>
                  <w:tcW w:w="642" w:type="pct"/>
                  <w:vAlign w:val="center"/>
                </w:tcPr>
                <w:p w14:paraId="76670A0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118.3380659</w:t>
                  </w:r>
                </w:p>
              </w:tc>
              <w:tc>
                <w:tcPr>
                  <w:tcW w:w="661" w:type="pct"/>
                  <w:vAlign w:val="center"/>
                </w:tcPr>
                <w:p w14:paraId="30A32B6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40.82226233</w:t>
                  </w:r>
                </w:p>
              </w:tc>
            </w:tr>
            <w:tr w14:paraId="13D2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25E0B37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XN12+1</w:t>
                  </w:r>
                </w:p>
              </w:tc>
              <w:tc>
                <w:tcPr>
                  <w:tcW w:w="633" w:type="pct"/>
                  <w:vAlign w:val="center"/>
                </w:tcPr>
                <w:p w14:paraId="50B0FCB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118.324297</w:t>
                  </w:r>
                </w:p>
              </w:tc>
              <w:tc>
                <w:tcPr>
                  <w:tcW w:w="642" w:type="pct"/>
                  <w:vAlign w:val="center"/>
                </w:tcPr>
                <w:p w14:paraId="15E3BC6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40.98363635</w:t>
                  </w:r>
                </w:p>
              </w:tc>
              <w:tc>
                <w:tcPr>
                  <w:tcW w:w="387" w:type="pct"/>
                  <w:vAlign w:val="center"/>
                </w:tcPr>
                <w:p w14:paraId="0517F7B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XN46</w:t>
                  </w:r>
                </w:p>
              </w:tc>
              <w:tc>
                <w:tcPr>
                  <w:tcW w:w="633" w:type="pct"/>
                  <w:vAlign w:val="center"/>
                </w:tcPr>
                <w:p w14:paraId="770B7D8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118.3522963</w:t>
                  </w:r>
                </w:p>
              </w:tc>
              <w:tc>
                <w:tcPr>
                  <w:tcW w:w="670" w:type="pct"/>
                  <w:vAlign w:val="center"/>
                </w:tcPr>
                <w:p w14:paraId="4718B99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40.90907111</w:t>
                  </w:r>
                </w:p>
              </w:tc>
              <w:tc>
                <w:tcPr>
                  <w:tcW w:w="340" w:type="pct"/>
                  <w:vAlign w:val="center"/>
                </w:tcPr>
                <w:p w14:paraId="382D753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N84</w:t>
                  </w:r>
                </w:p>
              </w:tc>
              <w:tc>
                <w:tcPr>
                  <w:tcW w:w="642" w:type="pct"/>
                  <w:vAlign w:val="center"/>
                </w:tcPr>
                <w:p w14:paraId="78550E9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118.3377899</w:t>
                  </w:r>
                </w:p>
              </w:tc>
              <w:tc>
                <w:tcPr>
                  <w:tcW w:w="661" w:type="pct"/>
                  <w:vAlign w:val="center"/>
                </w:tcPr>
                <w:p w14:paraId="6518A45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40.82116274</w:t>
                  </w:r>
                </w:p>
              </w:tc>
            </w:tr>
            <w:tr w14:paraId="77F6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0FAD026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XN12+2</w:t>
                  </w:r>
                </w:p>
              </w:tc>
              <w:tc>
                <w:tcPr>
                  <w:tcW w:w="633" w:type="pct"/>
                  <w:vAlign w:val="center"/>
                </w:tcPr>
                <w:p w14:paraId="07A7F1D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118.3258206</w:t>
                  </w:r>
                </w:p>
              </w:tc>
              <w:tc>
                <w:tcPr>
                  <w:tcW w:w="642" w:type="pct"/>
                  <w:vAlign w:val="center"/>
                </w:tcPr>
                <w:p w14:paraId="6E3532D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40.98510023</w:t>
                  </w:r>
                </w:p>
              </w:tc>
              <w:tc>
                <w:tcPr>
                  <w:tcW w:w="387" w:type="pct"/>
                  <w:vAlign w:val="center"/>
                </w:tcPr>
                <w:p w14:paraId="5D50381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XN47</w:t>
                  </w:r>
                </w:p>
              </w:tc>
              <w:tc>
                <w:tcPr>
                  <w:tcW w:w="633" w:type="pct"/>
                  <w:vAlign w:val="center"/>
                </w:tcPr>
                <w:p w14:paraId="57F02A9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118.350173</w:t>
                  </w:r>
                </w:p>
              </w:tc>
              <w:tc>
                <w:tcPr>
                  <w:tcW w:w="670" w:type="pct"/>
                  <w:vAlign w:val="center"/>
                </w:tcPr>
                <w:p w14:paraId="02EC9F3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40.90599253</w:t>
                  </w:r>
                </w:p>
              </w:tc>
              <w:tc>
                <w:tcPr>
                  <w:tcW w:w="340" w:type="pct"/>
                  <w:vAlign w:val="center"/>
                </w:tcPr>
                <w:p w14:paraId="6316750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N85</w:t>
                  </w:r>
                </w:p>
              </w:tc>
              <w:tc>
                <w:tcPr>
                  <w:tcW w:w="642" w:type="pct"/>
                  <w:vAlign w:val="center"/>
                </w:tcPr>
                <w:p w14:paraId="2C29C38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118.3387848</w:t>
                  </w:r>
                </w:p>
              </w:tc>
              <w:tc>
                <w:tcPr>
                  <w:tcW w:w="661" w:type="pct"/>
                  <w:vAlign w:val="center"/>
                </w:tcPr>
                <w:p w14:paraId="3670443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40.81959215</w:t>
                  </w:r>
                </w:p>
              </w:tc>
            </w:tr>
            <w:tr w14:paraId="1C20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4C121DE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XN14</w:t>
                  </w:r>
                </w:p>
              </w:tc>
              <w:tc>
                <w:tcPr>
                  <w:tcW w:w="633" w:type="pct"/>
                  <w:vAlign w:val="center"/>
                </w:tcPr>
                <w:p w14:paraId="7FBD5C4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118.330903</w:t>
                  </w:r>
                </w:p>
              </w:tc>
              <w:tc>
                <w:tcPr>
                  <w:tcW w:w="642" w:type="pct"/>
                  <w:vAlign w:val="center"/>
                </w:tcPr>
                <w:p w14:paraId="387F074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40.98390144</w:t>
                  </w:r>
                </w:p>
              </w:tc>
              <w:tc>
                <w:tcPr>
                  <w:tcW w:w="387" w:type="pct"/>
                  <w:vAlign w:val="center"/>
                </w:tcPr>
                <w:p w14:paraId="4930B00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N49</w:t>
                  </w:r>
                </w:p>
              </w:tc>
              <w:tc>
                <w:tcPr>
                  <w:tcW w:w="633" w:type="pct"/>
                  <w:vAlign w:val="center"/>
                </w:tcPr>
                <w:p w14:paraId="3C59164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118.3479524</w:t>
                  </w:r>
                </w:p>
              </w:tc>
              <w:tc>
                <w:tcPr>
                  <w:tcW w:w="670" w:type="pct"/>
                  <w:vAlign w:val="center"/>
                </w:tcPr>
                <w:p w14:paraId="333EF11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40.89886845</w:t>
                  </w:r>
                </w:p>
              </w:tc>
              <w:tc>
                <w:tcPr>
                  <w:tcW w:w="340" w:type="pct"/>
                  <w:vAlign w:val="center"/>
                </w:tcPr>
                <w:p w14:paraId="2357D00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N86</w:t>
                  </w:r>
                </w:p>
              </w:tc>
              <w:tc>
                <w:tcPr>
                  <w:tcW w:w="642" w:type="pct"/>
                  <w:vAlign w:val="center"/>
                </w:tcPr>
                <w:p w14:paraId="1A0B814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118.3401602</w:t>
                  </w:r>
                </w:p>
              </w:tc>
              <w:tc>
                <w:tcPr>
                  <w:tcW w:w="661" w:type="pct"/>
                  <w:vAlign w:val="center"/>
                </w:tcPr>
                <w:p w14:paraId="16F65DB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40.81742058</w:t>
                  </w:r>
                </w:p>
              </w:tc>
            </w:tr>
            <w:tr w14:paraId="4E43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283F121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XN13</w:t>
                  </w:r>
                </w:p>
              </w:tc>
              <w:tc>
                <w:tcPr>
                  <w:tcW w:w="633" w:type="pct"/>
                  <w:vAlign w:val="center"/>
                </w:tcPr>
                <w:p w14:paraId="3542697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118.328652</w:t>
                  </w:r>
                </w:p>
              </w:tc>
              <w:tc>
                <w:tcPr>
                  <w:tcW w:w="642" w:type="pct"/>
                  <w:vAlign w:val="center"/>
                </w:tcPr>
                <w:p w14:paraId="0AC7CA1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40.98443237</w:t>
                  </w:r>
                </w:p>
              </w:tc>
              <w:tc>
                <w:tcPr>
                  <w:tcW w:w="387" w:type="pct"/>
                  <w:vAlign w:val="center"/>
                </w:tcPr>
                <w:p w14:paraId="6460058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N50</w:t>
                  </w:r>
                </w:p>
              </w:tc>
              <w:tc>
                <w:tcPr>
                  <w:tcW w:w="633" w:type="pct"/>
                  <w:vAlign w:val="center"/>
                </w:tcPr>
                <w:p w14:paraId="5E99D52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118.3479906</w:t>
                  </w:r>
                </w:p>
              </w:tc>
              <w:tc>
                <w:tcPr>
                  <w:tcW w:w="670" w:type="pct"/>
                  <w:vAlign w:val="center"/>
                </w:tcPr>
                <w:p w14:paraId="44386CC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40.89561641</w:t>
                  </w:r>
                </w:p>
              </w:tc>
              <w:tc>
                <w:tcPr>
                  <w:tcW w:w="340" w:type="pct"/>
                  <w:vAlign w:val="center"/>
                </w:tcPr>
                <w:p w14:paraId="7D7336E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N87</w:t>
                  </w:r>
                </w:p>
              </w:tc>
              <w:tc>
                <w:tcPr>
                  <w:tcW w:w="642" w:type="pct"/>
                  <w:vAlign w:val="center"/>
                </w:tcPr>
                <w:p w14:paraId="0133737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118.3414396</w:t>
                  </w:r>
                </w:p>
              </w:tc>
              <w:tc>
                <w:tcPr>
                  <w:tcW w:w="661" w:type="pct"/>
                  <w:vAlign w:val="center"/>
                </w:tcPr>
                <w:p w14:paraId="160BBB8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40.81540075</w:t>
                  </w:r>
                </w:p>
              </w:tc>
            </w:tr>
            <w:tr w14:paraId="2B24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409DACE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N16</w:t>
                  </w:r>
                </w:p>
              </w:tc>
              <w:tc>
                <w:tcPr>
                  <w:tcW w:w="633" w:type="pct"/>
                  <w:vAlign w:val="center"/>
                </w:tcPr>
                <w:p w14:paraId="1CFB655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118.3403251</w:t>
                  </w:r>
                </w:p>
              </w:tc>
              <w:tc>
                <w:tcPr>
                  <w:tcW w:w="642" w:type="pct"/>
                  <w:vAlign w:val="center"/>
                </w:tcPr>
                <w:p w14:paraId="098C69D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40.98282961</w:t>
                  </w:r>
                </w:p>
              </w:tc>
              <w:tc>
                <w:tcPr>
                  <w:tcW w:w="387" w:type="pct"/>
                  <w:vAlign w:val="center"/>
                </w:tcPr>
                <w:p w14:paraId="51111B3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N51</w:t>
                  </w:r>
                </w:p>
              </w:tc>
              <w:tc>
                <w:tcPr>
                  <w:tcW w:w="633" w:type="pct"/>
                  <w:vAlign w:val="center"/>
                </w:tcPr>
                <w:p w14:paraId="09C38A3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118.3480258</w:t>
                  </w:r>
                </w:p>
              </w:tc>
              <w:tc>
                <w:tcPr>
                  <w:tcW w:w="670" w:type="pct"/>
                  <w:vAlign w:val="center"/>
                </w:tcPr>
                <w:p w14:paraId="2E2CCD0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40.89261761</w:t>
                  </w:r>
                </w:p>
              </w:tc>
              <w:tc>
                <w:tcPr>
                  <w:tcW w:w="340" w:type="pct"/>
                  <w:vAlign w:val="center"/>
                </w:tcPr>
                <w:p w14:paraId="3237EA4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N88</w:t>
                  </w:r>
                </w:p>
              </w:tc>
              <w:tc>
                <w:tcPr>
                  <w:tcW w:w="642" w:type="pct"/>
                  <w:vAlign w:val="center"/>
                </w:tcPr>
                <w:p w14:paraId="190803C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118.3430713</w:t>
                  </w:r>
                </w:p>
              </w:tc>
              <w:tc>
                <w:tcPr>
                  <w:tcW w:w="661" w:type="pct"/>
                  <w:vAlign w:val="center"/>
                </w:tcPr>
                <w:p w14:paraId="76BBEE6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40.81282438</w:t>
                  </w:r>
                </w:p>
              </w:tc>
            </w:tr>
            <w:tr w14:paraId="5EAA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4CC36A6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XN15</w:t>
                  </w:r>
                </w:p>
              </w:tc>
              <w:tc>
                <w:tcPr>
                  <w:tcW w:w="633" w:type="pct"/>
                  <w:vAlign w:val="center"/>
                </w:tcPr>
                <w:p w14:paraId="673EDB0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118.3341214</w:t>
                  </w:r>
                </w:p>
              </w:tc>
              <w:tc>
                <w:tcPr>
                  <w:tcW w:w="642" w:type="pct"/>
                  <w:vAlign w:val="center"/>
                </w:tcPr>
                <w:p w14:paraId="2EDC0D3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40.98314217</w:t>
                  </w:r>
                </w:p>
              </w:tc>
              <w:tc>
                <w:tcPr>
                  <w:tcW w:w="387" w:type="pct"/>
                  <w:vAlign w:val="center"/>
                </w:tcPr>
                <w:p w14:paraId="0B36B96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N52</w:t>
                  </w:r>
                </w:p>
              </w:tc>
              <w:tc>
                <w:tcPr>
                  <w:tcW w:w="633" w:type="pct"/>
                  <w:vAlign w:val="center"/>
                </w:tcPr>
                <w:p w14:paraId="6686C1E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118.3480541</w:t>
                  </w:r>
                </w:p>
              </w:tc>
              <w:tc>
                <w:tcPr>
                  <w:tcW w:w="670" w:type="pct"/>
                  <w:vAlign w:val="center"/>
                </w:tcPr>
                <w:p w14:paraId="03583A3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40.89021112</w:t>
                  </w:r>
                </w:p>
              </w:tc>
              <w:tc>
                <w:tcPr>
                  <w:tcW w:w="340" w:type="pct"/>
                  <w:vAlign w:val="center"/>
                </w:tcPr>
                <w:p w14:paraId="7666035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N89</w:t>
                  </w:r>
                </w:p>
              </w:tc>
              <w:tc>
                <w:tcPr>
                  <w:tcW w:w="642" w:type="pct"/>
                  <w:vAlign w:val="center"/>
                </w:tcPr>
                <w:p w14:paraId="153DD3E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118.3443701</w:t>
                  </w:r>
                </w:p>
              </w:tc>
              <w:tc>
                <w:tcPr>
                  <w:tcW w:w="661" w:type="pct"/>
                  <w:vAlign w:val="center"/>
                </w:tcPr>
                <w:p w14:paraId="501B187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40.81077341</w:t>
                  </w:r>
                </w:p>
              </w:tc>
            </w:tr>
            <w:tr w14:paraId="7673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22F960D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N17</w:t>
                  </w:r>
                </w:p>
              </w:tc>
              <w:tc>
                <w:tcPr>
                  <w:tcW w:w="633" w:type="pct"/>
                  <w:vAlign w:val="center"/>
                </w:tcPr>
                <w:p w14:paraId="4DA7E49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118.3423309</w:t>
                  </w:r>
                </w:p>
              </w:tc>
              <w:tc>
                <w:tcPr>
                  <w:tcW w:w="642" w:type="pct"/>
                  <w:vAlign w:val="center"/>
                </w:tcPr>
                <w:p w14:paraId="25F2EAD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40.98272847</w:t>
                  </w:r>
                </w:p>
              </w:tc>
              <w:tc>
                <w:tcPr>
                  <w:tcW w:w="387" w:type="pct"/>
                  <w:vAlign w:val="center"/>
                </w:tcPr>
                <w:p w14:paraId="3A5FFD0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XN52+1</w:t>
                  </w:r>
                </w:p>
              </w:tc>
              <w:tc>
                <w:tcPr>
                  <w:tcW w:w="633" w:type="pct"/>
                  <w:vAlign w:val="center"/>
                </w:tcPr>
                <w:p w14:paraId="296C1F1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118.3443126</w:t>
                  </w:r>
                </w:p>
              </w:tc>
              <w:tc>
                <w:tcPr>
                  <w:tcW w:w="670" w:type="pct"/>
                  <w:vAlign w:val="center"/>
                </w:tcPr>
                <w:p w14:paraId="5599983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40.88666715</w:t>
                  </w:r>
                </w:p>
              </w:tc>
              <w:tc>
                <w:tcPr>
                  <w:tcW w:w="340" w:type="pct"/>
                  <w:vAlign w:val="center"/>
                </w:tcPr>
                <w:p w14:paraId="74C9B5A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N91</w:t>
                  </w:r>
                </w:p>
              </w:tc>
              <w:tc>
                <w:tcPr>
                  <w:tcW w:w="642" w:type="pct"/>
                  <w:vAlign w:val="center"/>
                </w:tcPr>
                <w:p w14:paraId="685FFAA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118.3461849</w:t>
                  </w:r>
                </w:p>
              </w:tc>
              <w:tc>
                <w:tcPr>
                  <w:tcW w:w="661" w:type="pct"/>
                  <w:vAlign w:val="center"/>
                </w:tcPr>
                <w:p w14:paraId="4C566F2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40.80790743</w:t>
                  </w:r>
                </w:p>
              </w:tc>
            </w:tr>
            <w:tr w14:paraId="375A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26622D8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N18</w:t>
                  </w:r>
                </w:p>
              </w:tc>
              <w:tc>
                <w:tcPr>
                  <w:tcW w:w="633" w:type="pct"/>
                  <w:vAlign w:val="center"/>
                </w:tcPr>
                <w:p w14:paraId="5377ED5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118.3486157</w:t>
                  </w:r>
                </w:p>
              </w:tc>
              <w:tc>
                <w:tcPr>
                  <w:tcW w:w="642" w:type="pct"/>
                  <w:vAlign w:val="center"/>
                </w:tcPr>
                <w:p w14:paraId="53C7BE0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40.98241136</w:t>
                  </w:r>
                </w:p>
              </w:tc>
              <w:tc>
                <w:tcPr>
                  <w:tcW w:w="387" w:type="pct"/>
                  <w:vAlign w:val="center"/>
                </w:tcPr>
                <w:p w14:paraId="51894CB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XN52+2</w:t>
                  </w:r>
                </w:p>
              </w:tc>
              <w:tc>
                <w:tcPr>
                  <w:tcW w:w="633" w:type="pct"/>
                  <w:vAlign w:val="center"/>
                </w:tcPr>
                <w:p w14:paraId="11D6D58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118.3412561</w:t>
                  </w:r>
                </w:p>
              </w:tc>
              <w:tc>
                <w:tcPr>
                  <w:tcW w:w="670" w:type="pct"/>
                  <w:vAlign w:val="center"/>
                </w:tcPr>
                <w:p w14:paraId="5A9DBE4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40.88377143</w:t>
                  </w:r>
                </w:p>
              </w:tc>
              <w:tc>
                <w:tcPr>
                  <w:tcW w:w="340" w:type="pct"/>
                  <w:vAlign w:val="center"/>
                </w:tcPr>
                <w:p w14:paraId="327F255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N90</w:t>
                  </w:r>
                </w:p>
              </w:tc>
              <w:tc>
                <w:tcPr>
                  <w:tcW w:w="642" w:type="pct"/>
                  <w:vAlign w:val="center"/>
                </w:tcPr>
                <w:p w14:paraId="62C6649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118.3452171</w:t>
                  </w:r>
                </w:p>
              </w:tc>
              <w:tc>
                <w:tcPr>
                  <w:tcW w:w="661" w:type="pct"/>
                  <w:vAlign w:val="center"/>
                </w:tcPr>
                <w:p w14:paraId="685B359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40.80943581</w:t>
                  </w:r>
                </w:p>
              </w:tc>
            </w:tr>
            <w:tr w14:paraId="55A9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79D4F0E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N19</w:t>
                  </w:r>
                </w:p>
              </w:tc>
              <w:tc>
                <w:tcPr>
                  <w:tcW w:w="633" w:type="pct"/>
                  <w:vAlign w:val="center"/>
                </w:tcPr>
                <w:p w14:paraId="4D0C304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118.352343</w:t>
                  </w:r>
                </w:p>
              </w:tc>
              <w:tc>
                <w:tcPr>
                  <w:tcW w:w="642" w:type="pct"/>
                  <w:vAlign w:val="center"/>
                </w:tcPr>
                <w:p w14:paraId="3E6376C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40.98222317</w:t>
                  </w:r>
                </w:p>
              </w:tc>
              <w:tc>
                <w:tcPr>
                  <w:tcW w:w="387" w:type="pct"/>
                  <w:vAlign w:val="center"/>
                </w:tcPr>
                <w:p w14:paraId="0A4AE85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XN53</w:t>
                  </w:r>
                </w:p>
              </w:tc>
              <w:tc>
                <w:tcPr>
                  <w:tcW w:w="633" w:type="pct"/>
                  <w:vAlign w:val="center"/>
                </w:tcPr>
                <w:p w14:paraId="7AAF94F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118.3381636</w:t>
                  </w:r>
                </w:p>
              </w:tc>
              <w:tc>
                <w:tcPr>
                  <w:tcW w:w="670" w:type="pct"/>
                  <w:vAlign w:val="center"/>
                </w:tcPr>
                <w:p w14:paraId="22D5623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40.88037567</w:t>
                  </w:r>
                </w:p>
              </w:tc>
              <w:tc>
                <w:tcPr>
                  <w:tcW w:w="340" w:type="pct"/>
                  <w:vAlign w:val="center"/>
                </w:tcPr>
                <w:p w14:paraId="265C2EF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N94</w:t>
                  </w:r>
                </w:p>
              </w:tc>
              <w:tc>
                <w:tcPr>
                  <w:tcW w:w="642" w:type="pct"/>
                  <w:vAlign w:val="center"/>
                </w:tcPr>
                <w:p w14:paraId="62A5CDC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118.348048</w:t>
                  </w:r>
                </w:p>
              </w:tc>
              <w:tc>
                <w:tcPr>
                  <w:tcW w:w="661" w:type="pct"/>
                  <w:vAlign w:val="center"/>
                </w:tcPr>
                <w:p w14:paraId="0397C4E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40.80053678</w:t>
                  </w:r>
                </w:p>
              </w:tc>
            </w:tr>
            <w:tr w14:paraId="0C46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519F3EF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N20</w:t>
                  </w:r>
                </w:p>
              </w:tc>
              <w:tc>
                <w:tcPr>
                  <w:tcW w:w="633" w:type="pct"/>
                  <w:vAlign w:val="center"/>
                </w:tcPr>
                <w:p w14:paraId="1F5BA8B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118.3558729</w:t>
                  </w:r>
                </w:p>
              </w:tc>
              <w:tc>
                <w:tcPr>
                  <w:tcW w:w="642" w:type="pct"/>
                  <w:vAlign w:val="center"/>
                </w:tcPr>
                <w:p w14:paraId="0F2DB88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40.98020787</w:t>
                  </w:r>
                </w:p>
              </w:tc>
              <w:tc>
                <w:tcPr>
                  <w:tcW w:w="387" w:type="pct"/>
                  <w:vAlign w:val="center"/>
                </w:tcPr>
                <w:p w14:paraId="44F39E9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XN54</w:t>
                  </w:r>
                </w:p>
              </w:tc>
              <w:tc>
                <w:tcPr>
                  <w:tcW w:w="633" w:type="pct"/>
                  <w:vAlign w:val="center"/>
                </w:tcPr>
                <w:p w14:paraId="44E1A5F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118.3364255</w:t>
                  </w:r>
                </w:p>
              </w:tc>
              <w:tc>
                <w:tcPr>
                  <w:tcW w:w="670" w:type="pct"/>
                  <w:vAlign w:val="center"/>
                </w:tcPr>
                <w:p w14:paraId="62CC3B9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40.87846679</w:t>
                  </w:r>
                </w:p>
              </w:tc>
              <w:tc>
                <w:tcPr>
                  <w:tcW w:w="340" w:type="pct"/>
                  <w:vAlign w:val="center"/>
                </w:tcPr>
                <w:p w14:paraId="772522E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N92</w:t>
                  </w:r>
                </w:p>
              </w:tc>
              <w:tc>
                <w:tcPr>
                  <w:tcW w:w="642" w:type="pct"/>
                  <w:vAlign w:val="center"/>
                </w:tcPr>
                <w:p w14:paraId="1B81D05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118.347538</w:t>
                  </w:r>
                </w:p>
              </w:tc>
              <w:tc>
                <w:tcPr>
                  <w:tcW w:w="661" w:type="pct"/>
                  <w:vAlign w:val="center"/>
                </w:tcPr>
                <w:p w14:paraId="57986C2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40.80577034</w:t>
                  </w:r>
                </w:p>
              </w:tc>
            </w:tr>
            <w:tr w14:paraId="5CAC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1EB973D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N21</w:t>
                  </w:r>
                </w:p>
              </w:tc>
              <w:tc>
                <w:tcPr>
                  <w:tcW w:w="633" w:type="pct"/>
                  <w:vAlign w:val="center"/>
                </w:tcPr>
                <w:p w14:paraId="2B8323F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118.3601464</w:t>
                  </w:r>
                </w:p>
              </w:tc>
              <w:tc>
                <w:tcPr>
                  <w:tcW w:w="642" w:type="pct"/>
                  <w:vAlign w:val="center"/>
                </w:tcPr>
                <w:p w14:paraId="39CE3A7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40.97776777</w:t>
                  </w:r>
                </w:p>
              </w:tc>
              <w:tc>
                <w:tcPr>
                  <w:tcW w:w="387" w:type="pct"/>
                  <w:vAlign w:val="center"/>
                </w:tcPr>
                <w:p w14:paraId="597EB1F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XN55</w:t>
                  </w:r>
                </w:p>
              </w:tc>
              <w:tc>
                <w:tcPr>
                  <w:tcW w:w="633" w:type="pct"/>
                  <w:vAlign w:val="center"/>
                </w:tcPr>
                <w:p w14:paraId="4E65EDD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118.3343511</w:t>
                  </w:r>
                </w:p>
              </w:tc>
              <w:tc>
                <w:tcPr>
                  <w:tcW w:w="670" w:type="pct"/>
                  <w:vAlign w:val="center"/>
                </w:tcPr>
                <w:p w14:paraId="7056CAB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40.87918587</w:t>
                  </w:r>
                </w:p>
              </w:tc>
              <w:tc>
                <w:tcPr>
                  <w:tcW w:w="340" w:type="pct"/>
                  <w:vAlign w:val="center"/>
                </w:tcPr>
                <w:p w14:paraId="2180EF4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N93</w:t>
                  </w:r>
                </w:p>
              </w:tc>
              <w:tc>
                <w:tcPr>
                  <w:tcW w:w="642" w:type="pct"/>
                  <w:vAlign w:val="center"/>
                </w:tcPr>
                <w:p w14:paraId="6177E64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118.3476829</w:t>
                  </w:r>
                </w:p>
              </w:tc>
              <w:tc>
                <w:tcPr>
                  <w:tcW w:w="661" w:type="pct"/>
                  <w:vAlign w:val="center"/>
                </w:tcPr>
                <w:p w14:paraId="04AD222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40.80428442</w:t>
                  </w:r>
                </w:p>
              </w:tc>
            </w:tr>
            <w:tr w14:paraId="16D2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1D806BD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N22</w:t>
                  </w:r>
                </w:p>
              </w:tc>
              <w:tc>
                <w:tcPr>
                  <w:tcW w:w="633" w:type="pct"/>
                  <w:vAlign w:val="center"/>
                </w:tcPr>
                <w:p w14:paraId="5FA7526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118.360661</w:t>
                  </w:r>
                </w:p>
              </w:tc>
              <w:tc>
                <w:tcPr>
                  <w:tcW w:w="642" w:type="pct"/>
                  <w:vAlign w:val="center"/>
                </w:tcPr>
                <w:p w14:paraId="735411A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40.97449512</w:t>
                  </w:r>
                </w:p>
              </w:tc>
              <w:tc>
                <w:tcPr>
                  <w:tcW w:w="387" w:type="pct"/>
                  <w:vAlign w:val="center"/>
                </w:tcPr>
                <w:p w14:paraId="3B61C27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N56</w:t>
                  </w:r>
                </w:p>
              </w:tc>
              <w:tc>
                <w:tcPr>
                  <w:tcW w:w="633" w:type="pct"/>
                  <w:vAlign w:val="center"/>
                </w:tcPr>
                <w:p w14:paraId="4FFD071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118.3324193</w:t>
                  </w:r>
                </w:p>
              </w:tc>
              <w:tc>
                <w:tcPr>
                  <w:tcW w:w="670" w:type="pct"/>
                  <w:vAlign w:val="center"/>
                </w:tcPr>
                <w:p w14:paraId="39AE09E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40.87856835</w:t>
                  </w:r>
                </w:p>
              </w:tc>
              <w:tc>
                <w:tcPr>
                  <w:tcW w:w="340" w:type="pct"/>
                  <w:vAlign w:val="center"/>
                </w:tcPr>
                <w:p w14:paraId="343AC0F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N95</w:t>
                  </w:r>
                </w:p>
              </w:tc>
              <w:tc>
                <w:tcPr>
                  <w:tcW w:w="642" w:type="pct"/>
                  <w:vAlign w:val="center"/>
                </w:tcPr>
                <w:p w14:paraId="6C60DBE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118.348249</w:t>
                  </w:r>
                </w:p>
              </w:tc>
              <w:tc>
                <w:tcPr>
                  <w:tcW w:w="661" w:type="pct"/>
                  <w:vAlign w:val="center"/>
                </w:tcPr>
                <w:p w14:paraId="659686C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40.79847292</w:t>
                  </w:r>
                </w:p>
              </w:tc>
            </w:tr>
            <w:tr w14:paraId="4383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5B679D8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N23</w:t>
                  </w:r>
                </w:p>
              </w:tc>
              <w:tc>
                <w:tcPr>
                  <w:tcW w:w="633" w:type="pct"/>
                  <w:vAlign w:val="center"/>
                </w:tcPr>
                <w:p w14:paraId="1289E93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118.3613368</w:t>
                  </w:r>
                </w:p>
              </w:tc>
              <w:tc>
                <w:tcPr>
                  <w:tcW w:w="642" w:type="pct"/>
                  <w:vAlign w:val="center"/>
                </w:tcPr>
                <w:p w14:paraId="78C6DFE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40.97019685</w:t>
                  </w:r>
                </w:p>
              </w:tc>
              <w:tc>
                <w:tcPr>
                  <w:tcW w:w="387" w:type="pct"/>
                  <w:vAlign w:val="center"/>
                </w:tcPr>
                <w:p w14:paraId="5D3D9B0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N57</w:t>
                  </w:r>
                </w:p>
              </w:tc>
              <w:tc>
                <w:tcPr>
                  <w:tcW w:w="633" w:type="pct"/>
                  <w:vAlign w:val="center"/>
                </w:tcPr>
                <w:p w14:paraId="1730300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118.3321687</w:t>
                  </w:r>
                </w:p>
              </w:tc>
              <w:tc>
                <w:tcPr>
                  <w:tcW w:w="670" w:type="pct"/>
                  <w:vAlign w:val="center"/>
                </w:tcPr>
                <w:p w14:paraId="06FAE88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40.87675189</w:t>
                  </w:r>
                </w:p>
              </w:tc>
              <w:tc>
                <w:tcPr>
                  <w:tcW w:w="340" w:type="pct"/>
                  <w:vAlign w:val="center"/>
                </w:tcPr>
                <w:p w14:paraId="1E140E9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N96</w:t>
                  </w:r>
                </w:p>
              </w:tc>
              <w:tc>
                <w:tcPr>
                  <w:tcW w:w="642" w:type="pct"/>
                  <w:vAlign w:val="center"/>
                </w:tcPr>
                <w:p w14:paraId="3E2AB84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118.3484145</w:t>
                  </w:r>
                </w:p>
              </w:tc>
              <w:tc>
                <w:tcPr>
                  <w:tcW w:w="661" w:type="pct"/>
                  <w:vAlign w:val="center"/>
                </w:tcPr>
                <w:p w14:paraId="15EF1B9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40.79677443</w:t>
                  </w:r>
                </w:p>
              </w:tc>
            </w:tr>
            <w:tr w14:paraId="61C7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432C009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N24</w:t>
                  </w:r>
                </w:p>
              </w:tc>
              <w:tc>
                <w:tcPr>
                  <w:tcW w:w="633" w:type="pct"/>
                  <w:vAlign w:val="center"/>
                </w:tcPr>
                <w:p w14:paraId="6BEFC38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118.3581701</w:t>
                  </w:r>
                </w:p>
              </w:tc>
              <w:tc>
                <w:tcPr>
                  <w:tcW w:w="642" w:type="pct"/>
                  <w:vAlign w:val="center"/>
                </w:tcPr>
                <w:p w14:paraId="6A9FABC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40.96722478</w:t>
                  </w:r>
                </w:p>
              </w:tc>
              <w:tc>
                <w:tcPr>
                  <w:tcW w:w="387" w:type="pct"/>
                  <w:vAlign w:val="center"/>
                </w:tcPr>
                <w:p w14:paraId="02031DF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N59</w:t>
                  </w:r>
                </w:p>
              </w:tc>
              <w:tc>
                <w:tcPr>
                  <w:tcW w:w="633" w:type="pct"/>
                  <w:vAlign w:val="center"/>
                </w:tcPr>
                <w:p w14:paraId="78393EE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118.3313653</w:t>
                  </w:r>
                </w:p>
              </w:tc>
              <w:tc>
                <w:tcPr>
                  <w:tcW w:w="670" w:type="pct"/>
                  <w:vAlign w:val="center"/>
                </w:tcPr>
                <w:p w14:paraId="141F140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40.87093095</w:t>
                  </w:r>
                </w:p>
              </w:tc>
              <w:tc>
                <w:tcPr>
                  <w:tcW w:w="340" w:type="pct"/>
                  <w:vAlign w:val="center"/>
                </w:tcPr>
                <w:p w14:paraId="19D003C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N97</w:t>
                  </w:r>
                </w:p>
              </w:tc>
              <w:tc>
                <w:tcPr>
                  <w:tcW w:w="642" w:type="pct"/>
                  <w:vAlign w:val="center"/>
                </w:tcPr>
                <w:p w14:paraId="41B2BFE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118.3485386</w:t>
                  </w:r>
                </w:p>
              </w:tc>
              <w:tc>
                <w:tcPr>
                  <w:tcW w:w="661" w:type="pct"/>
                  <w:vAlign w:val="center"/>
                </w:tcPr>
                <w:p w14:paraId="66698E9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40.79550036</w:t>
                  </w:r>
                </w:p>
              </w:tc>
            </w:tr>
            <w:tr w14:paraId="7B18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335DC56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XN26</w:t>
                  </w:r>
                </w:p>
              </w:tc>
              <w:tc>
                <w:tcPr>
                  <w:tcW w:w="633" w:type="pct"/>
                  <w:vAlign w:val="center"/>
                </w:tcPr>
                <w:p w14:paraId="5B5D054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118.3520621</w:t>
                  </w:r>
                </w:p>
              </w:tc>
              <w:tc>
                <w:tcPr>
                  <w:tcW w:w="642" w:type="pct"/>
                  <w:vAlign w:val="center"/>
                </w:tcPr>
                <w:p w14:paraId="71C209F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40.96149122</w:t>
                  </w:r>
                </w:p>
              </w:tc>
              <w:tc>
                <w:tcPr>
                  <w:tcW w:w="387" w:type="pct"/>
                  <w:vAlign w:val="center"/>
                </w:tcPr>
                <w:p w14:paraId="44844D1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N58</w:t>
                  </w:r>
                </w:p>
              </w:tc>
              <w:tc>
                <w:tcPr>
                  <w:tcW w:w="633" w:type="pct"/>
                  <w:vAlign w:val="center"/>
                </w:tcPr>
                <w:p w14:paraId="44C67DD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118.3316721</w:t>
                  </w:r>
                </w:p>
              </w:tc>
              <w:tc>
                <w:tcPr>
                  <w:tcW w:w="670" w:type="pct"/>
                  <w:vAlign w:val="center"/>
                </w:tcPr>
                <w:p w14:paraId="52B3ECE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40.87315421</w:t>
                  </w:r>
                </w:p>
              </w:tc>
              <w:tc>
                <w:tcPr>
                  <w:tcW w:w="340" w:type="pct"/>
                  <w:vAlign w:val="center"/>
                </w:tcPr>
                <w:p w14:paraId="573FD1F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N98</w:t>
                  </w:r>
                </w:p>
              </w:tc>
              <w:tc>
                <w:tcPr>
                  <w:tcW w:w="642" w:type="pct"/>
                  <w:vAlign w:val="center"/>
                </w:tcPr>
                <w:p w14:paraId="088FE94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118.3493524</w:t>
                  </w:r>
                </w:p>
              </w:tc>
              <w:tc>
                <w:tcPr>
                  <w:tcW w:w="661" w:type="pct"/>
                  <w:vAlign w:val="center"/>
                </w:tcPr>
                <w:p w14:paraId="477FB8D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40.79294642</w:t>
                  </w:r>
                </w:p>
              </w:tc>
            </w:tr>
            <w:tr w14:paraId="0FA6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369272E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N25</w:t>
                  </w:r>
                </w:p>
              </w:tc>
              <w:tc>
                <w:tcPr>
                  <w:tcW w:w="633" w:type="pct"/>
                  <w:vAlign w:val="center"/>
                </w:tcPr>
                <w:p w14:paraId="69965B7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118.3550546</w:t>
                  </w:r>
                </w:p>
              </w:tc>
              <w:tc>
                <w:tcPr>
                  <w:tcW w:w="642" w:type="pct"/>
                  <w:vAlign w:val="center"/>
                </w:tcPr>
                <w:p w14:paraId="57CDA81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40.96430055</w:t>
                  </w:r>
                </w:p>
              </w:tc>
              <w:tc>
                <w:tcPr>
                  <w:tcW w:w="387" w:type="pct"/>
                  <w:vAlign w:val="center"/>
                </w:tcPr>
                <w:p w14:paraId="0B86740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N60</w:t>
                  </w:r>
                </w:p>
              </w:tc>
              <w:tc>
                <w:tcPr>
                  <w:tcW w:w="633" w:type="pct"/>
                  <w:vAlign w:val="center"/>
                </w:tcPr>
                <w:p w14:paraId="72B2C7E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118.3312377</w:t>
                  </w:r>
                </w:p>
              </w:tc>
              <w:tc>
                <w:tcPr>
                  <w:tcW w:w="670" w:type="pct"/>
                  <w:vAlign w:val="center"/>
                </w:tcPr>
                <w:p w14:paraId="7EE05CC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40.87000721</w:t>
                  </w:r>
                </w:p>
              </w:tc>
              <w:tc>
                <w:tcPr>
                  <w:tcW w:w="340" w:type="pct"/>
                  <w:vAlign w:val="center"/>
                </w:tcPr>
                <w:p w14:paraId="7774F84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N99</w:t>
                  </w:r>
                </w:p>
              </w:tc>
              <w:tc>
                <w:tcPr>
                  <w:tcW w:w="642" w:type="pct"/>
                  <w:vAlign w:val="center"/>
                </w:tcPr>
                <w:p w14:paraId="1AFA7A7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118.3507982</w:t>
                  </w:r>
                </w:p>
              </w:tc>
              <w:tc>
                <w:tcPr>
                  <w:tcW w:w="661" w:type="pct"/>
                  <w:vAlign w:val="center"/>
                </w:tcPr>
                <w:p w14:paraId="314AC63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40.79167417</w:t>
                  </w:r>
                </w:p>
              </w:tc>
            </w:tr>
            <w:tr w14:paraId="7A60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5B65899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XN26+1</w:t>
                  </w:r>
                </w:p>
              </w:tc>
              <w:tc>
                <w:tcPr>
                  <w:tcW w:w="633" w:type="pct"/>
                  <w:vAlign w:val="center"/>
                </w:tcPr>
                <w:p w14:paraId="184446F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118.3542594</w:t>
                  </w:r>
                </w:p>
              </w:tc>
              <w:tc>
                <w:tcPr>
                  <w:tcW w:w="642" w:type="pct"/>
                  <w:vAlign w:val="center"/>
                </w:tcPr>
                <w:p w14:paraId="4D51630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40.95829085</w:t>
                  </w:r>
                </w:p>
              </w:tc>
              <w:tc>
                <w:tcPr>
                  <w:tcW w:w="387" w:type="pct"/>
                  <w:vAlign w:val="center"/>
                </w:tcPr>
                <w:p w14:paraId="36F8C9A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N61</w:t>
                  </w:r>
                </w:p>
              </w:tc>
              <w:tc>
                <w:tcPr>
                  <w:tcW w:w="633" w:type="pct"/>
                  <w:vAlign w:val="center"/>
                </w:tcPr>
                <w:p w14:paraId="6FC530D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118.3311699</w:t>
                  </w:r>
                </w:p>
              </w:tc>
              <w:tc>
                <w:tcPr>
                  <w:tcW w:w="670" w:type="pct"/>
                  <w:vAlign w:val="center"/>
                </w:tcPr>
                <w:p w14:paraId="06C0462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40.86951536</w:t>
                  </w:r>
                </w:p>
              </w:tc>
              <w:tc>
                <w:tcPr>
                  <w:tcW w:w="340" w:type="pct"/>
                  <w:vAlign w:val="center"/>
                </w:tcPr>
                <w:p w14:paraId="1E03D2F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N100</w:t>
                  </w:r>
                </w:p>
              </w:tc>
              <w:tc>
                <w:tcPr>
                  <w:tcW w:w="642" w:type="pct"/>
                  <w:vAlign w:val="center"/>
                </w:tcPr>
                <w:p w14:paraId="31DF6D0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118.350655</w:t>
                  </w:r>
                </w:p>
              </w:tc>
              <w:tc>
                <w:tcPr>
                  <w:tcW w:w="661" w:type="pct"/>
                  <w:vAlign w:val="center"/>
                </w:tcPr>
                <w:p w14:paraId="3314A98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40.78906659</w:t>
                  </w:r>
                </w:p>
              </w:tc>
            </w:tr>
            <w:tr w14:paraId="7A4C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00BD27D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XN26+2</w:t>
                  </w:r>
                </w:p>
              </w:tc>
              <w:tc>
                <w:tcPr>
                  <w:tcW w:w="633" w:type="pct"/>
                  <w:vAlign w:val="center"/>
                </w:tcPr>
                <w:p w14:paraId="7C090CA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118.3564734</w:t>
                  </w:r>
                </w:p>
              </w:tc>
              <w:tc>
                <w:tcPr>
                  <w:tcW w:w="642" w:type="pct"/>
                  <w:vAlign w:val="center"/>
                </w:tcPr>
                <w:p w14:paraId="24FEF6B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40.95506585</w:t>
                  </w:r>
                </w:p>
              </w:tc>
              <w:tc>
                <w:tcPr>
                  <w:tcW w:w="387" w:type="pct"/>
                  <w:vAlign w:val="center"/>
                </w:tcPr>
                <w:p w14:paraId="3E4CF51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N62</w:t>
                  </w:r>
                </w:p>
              </w:tc>
              <w:tc>
                <w:tcPr>
                  <w:tcW w:w="633" w:type="pct"/>
                  <w:vAlign w:val="center"/>
                </w:tcPr>
                <w:p w14:paraId="6225BAB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118.3297113</w:t>
                  </w:r>
                </w:p>
              </w:tc>
              <w:tc>
                <w:tcPr>
                  <w:tcW w:w="670" w:type="pct"/>
                  <w:vAlign w:val="center"/>
                </w:tcPr>
                <w:p w14:paraId="1C13493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40.86866217</w:t>
                  </w:r>
                </w:p>
              </w:tc>
              <w:tc>
                <w:tcPr>
                  <w:tcW w:w="340" w:type="pct"/>
                  <w:vAlign w:val="center"/>
                </w:tcPr>
                <w:p w14:paraId="3489780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N101</w:t>
                  </w:r>
                </w:p>
              </w:tc>
              <w:tc>
                <w:tcPr>
                  <w:tcW w:w="642" w:type="pct"/>
                  <w:vAlign w:val="center"/>
                </w:tcPr>
                <w:p w14:paraId="0B1943E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118.3498051</w:t>
                  </w:r>
                </w:p>
              </w:tc>
              <w:tc>
                <w:tcPr>
                  <w:tcW w:w="661" w:type="pct"/>
                  <w:vAlign w:val="center"/>
                </w:tcPr>
                <w:p w14:paraId="61D4210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40.78803992</w:t>
                  </w:r>
                </w:p>
              </w:tc>
            </w:tr>
            <w:tr w14:paraId="201F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42E43A2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XN28</w:t>
                  </w:r>
                </w:p>
              </w:tc>
              <w:tc>
                <w:tcPr>
                  <w:tcW w:w="633" w:type="pct"/>
                  <w:vAlign w:val="center"/>
                </w:tcPr>
                <w:p w14:paraId="11C6017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118.3594873</w:t>
                  </w:r>
                </w:p>
              </w:tc>
              <w:tc>
                <w:tcPr>
                  <w:tcW w:w="642" w:type="pct"/>
                  <w:vAlign w:val="center"/>
                </w:tcPr>
                <w:p w14:paraId="1164449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40.95497353</w:t>
                  </w:r>
                </w:p>
              </w:tc>
              <w:tc>
                <w:tcPr>
                  <w:tcW w:w="387" w:type="pct"/>
                  <w:vAlign w:val="center"/>
                </w:tcPr>
                <w:p w14:paraId="59A1416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N64</w:t>
                  </w:r>
                </w:p>
              </w:tc>
              <w:tc>
                <w:tcPr>
                  <w:tcW w:w="633" w:type="pct"/>
                  <w:vAlign w:val="center"/>
                </w:tcPr>
                <w:p w14:paraId="6C9F75E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118.3289604</w:t>
                  </w:r>
                </w:p>
              </w:tc>
              <w:tc>
                <w:tcPr>
                  <w:tcW w:w="670" w:type="pct"/>
                  <w:vAlign w:val="center"/>
                </w:tcPr>
                <w:p w14:paraId="6FD3DA3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40.86581262</w:t>
                  </w:r>
                </w:p>
              </w:tc>
              <w:tc>
                <w:tcPr>
                  <w:tcW w:w="340" w:type="pct"/>
                  <w:vAlign w:val="center"/>
                </w:tcPr>
                <w:p w14:paraId="16AED09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N102</w:t>
                  </w:r>
                </w:p>
              </w:tc>
              <w:tc>
                <w:tcPr>
                  <w:tcW w:w="642" w:type="pct"/>
                  <w:vAlign w:val="center"/>
                </w:tcPr>
                <w:p w14:paraId="6992D23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118.3475895</w:t>
                  </w:r>
                </w:p>
              </w:tc>
              <w:tc>
                <w:tcPr>
                  <w:tcW w:w="661" w:type="pct"/>
                  <w:vAlign w:val="center"/>
                </w:tcPr>
                <w:p w14:paraId="4309D07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40.78536354</w:t>
                  </w:r>
                </w:p>
              </w:tc>
            </w:tr>
            <w:tr w14:paraId="3285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679A9BB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XN27</w:t>
                  </w:r>
                </w:p>
              </w:tc>
              <w:tc>
                <w:tcPr>
                  <w:tcW w:w="633" w:type="pct"/>
                  <w:vAlign w:val="center"/>
                </w:tcPr>
                <w:p w14:paraId="1494395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118.3587865</w:t>
                  </w:r>
                </w:p>
              </w:tc>
              <w:tc>
                <w:tcPr>
                  <w:tcW w:w="642" w:type="pct"/>
                  <w:vAlign w:val="center"/>
                </w:tcPr>
                <w:p w14:paraId="5A7FA4A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40.95499503</w:t>
                  </w:r>
                </w:p>
              </w:tc>
              <w:tc>
                <w:tcPr>
                  <w:tcW w:w="387" w:type="pct"/>
                  <w:vAlign w:val="center"/>
                </w:tcPr>
                <w:p w14:paraId="343548B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N63</w:t>
                  </w:r>
                </w:p>
              </w:tc>
              <w:tc>
                <w:tcPr>
                  <w:tcW w:w="633" w:type="pct"/>
                  <w:vAlign w:val="center"/>
                </w:tcPr>
                <w:p w14:paraId="3D71B0D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118.3278484</w:t>
                  </w:r>
                </w:p>
              </w:tc>
              <w:tc>
                <w:tcPr>
                  <w:tcW w:w="670" w:type="pct"/>
                  <w:vAlign w:val="center"/>
                </w:tcPr>
                <w:p w14:paraId="63C980C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40.86757266</w:t>
                  </w:r>
                </w:p>
              </w:tc>
              <w:tc>
                <w:tcPr>
                  <w:tcW w:w="340" w:type="pct"/>
                  <w:vAlign w:val="center"/>
                </w:tcPr>
                <w:p w14:paraId="7B36B46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N103</w:t>
                  </w:r>
                </w:p>
              </w:tc>
              <w:tc>
                <w:tcPr>
                  <w:tcW w:w="642" w:type="pct"/>
                  <w:vAlign w:val="center"/>
                </w:tcPr>
                <w:p w14:paraId="32E758E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118.3484802</w:t>
                  </w:r>
                </w:p>
              </w:tc>
              <w:tc>
                <w:tcPr>
                  <w:tcW w:w="661" w:type="pct"/>
                  <w:vAlign w:val="center"/>
                </w:tcPr>
                <w:p w14:paraId="413D154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40.7834058</w:t>
                  </w:r>
                </w:p>
              </w:tc>
            </w:tr>
            <w:tr w14:paraId="69B6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5255DF4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XN29</w:t>
                  </w:r>
                </w:p>
              </w:tc>
              <w:tc>
                <w:tcPr>
                  <w:tcW w:w="633" w:type="pct"/>
                  <w:vAlign w:val="center"/>
                </w:tcPr>
                <w:p w14:paraId="17EA5E3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118.3603376</w:t>
                  </w:r>
                </w:p>
              </w:tc>
              <w:tc>
                <w:tcPr>
                  <w:tcW w:w="642" w:type="pct"/>
                  <w:vAlign w:val="center"/>
                </w:tcPr>
                <w:p w14:paraId="4B515E4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40.95475604</w:t>
                  </w:r>
                </w:p>
              </w:tc>
              <w:tc>
                <w:tcPr>
                  <w:tcW w:w="387" w:type="pct"/>
                  <w:vAlign w:val="center"/>
                </w:tcPr>
                <w:p w14:paraId="1529092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N65</w:t>
                  </w:r>
                </w:p>
              </w:tc>
              <w:tc>
                <w:tcPr>
                  <w:tcW w:w="633" w:type="pct"/>
                  <w:vAlign w:val="center"/>
                </w:tcPr>
                <w:p w14:paraId="6F0A878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118.3307054</w:t>
                  </w:r>
                </w:p>
              </w:tc>
              <w:tc>
                <w:tcPr>
                  <w:tcW w:w="670" w:type="pct"/>
                  <w:vAlign w:val="center"/>
                </w:tcPr>
                <w:p w14:paraId="3611E73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40.86305027</w:t>
                  </w:r>
                </w:p>
              </w:tc>
              <w:tc>
                <w:tcPr>
                  <w:tcW w:w="340" w:type="pct"/>
                  <w:vAlign w:val="center"/>
                </w:tcPr>
                <w:p w14:paraId="4719AB3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N104</w:t>
                  </w:r>
                </w:p>
              </w:tc>
              <w:tc>
                <w:tcPr>
                  <w:tcW w:w="642" w:type="pct"/>
                  <w:vAlign w:val="center"/>
                </w:tcPr>
                <w:p w14:paraId="3B5B450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118.3487727</w:t>
                  </w:r>
                </w:p>
              </w:tc>
              <w:tc>
                <w:tcPr>
                  <w:tcW w:w="661" w:type="pct"/>
                  <w:vAlign w:val="center"/>
                </w:tcPr>
                <w:p w14:paraId="107DB8B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40.7827627</w:t>
                  </w:r>
                </w:p>
              </w:tc>
            </w:tr>
            <w:tr w14:paraId="6BC9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5229AAE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XN30</w:t>
                  </w:r>
                </w:p>
              </w:tc>
              <w:tc>
                <w:tcPr>
                  <w:tcW w:w="633" w:type="pct"/>
                  <w:vAlign w:val="center"/>
                </w:tcPr>
                <w:p w14:paraId="1DDBA48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118.3607655</w:t>
                  </w:r>
                </w:p>
              </w:tc>
              <w:tc>
                <w:tcPr>
                  <w:tcW w:w="642" w:type="pct"/>
                  <w:vAlign w:val="center"/>
                </w:tcPr>
                <w:p w14:paraId="0DEC674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40.95442503</w:t>
                  </w:r>
                </w:p>
              </w:tc>
              <w:tc>
                <w:tcPr>
                  <w:tcW w:w="387" w:type="pct"/>
                  <w:vAlign w:val="center"/>
                </w:tcPr>
                <w:p w14:paraId="7FF444E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N66</w:t>
                  </w:r>
                </w:p>
              </w:tc>
              <w:tc>
                <w:tcPr>
                  <w:tcW w:w="633" w:type="pct"/>
                  <w:vAlign w:val="center"/>
                </w:tcPr>
                <w:p w14:paraId="2F80409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118.3321173</w:t>
                  </w:r>
                </w:p>
              </w:tc>
              <w:tc>
                <w:tcPr>
                  <w:tcW w:w="670" w:type="pct"/>
                  <w:vAlign w:val="center"/>
                </w:tcPr>
                <w:p w14:paraId="546F0EA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40.86081499</w:t>
                  </w:r>
                </w:p>
              </w:tc>
              <w:tc>
                <w:tcPr>
                  <w:tcW w:w="340" w:type="pct"/>
                  <w:vAlign w:val="center"/>
                </w:tcPr>
                <w:p w14:paraId="685378E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N105</w:t>
                  </w:r>
                </w:p>
              </w:tc>
              <w:tc>
                <w:tcPr>
                  <w:tcW w:w="642" w:type="pct"/>
                  <w:vAlign w:val="center"/>
                </w:tcPr>
                <w:p w14:paraId="2AF7F78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118.352463</w:t>
                  </w:r>
                </w:p>
              </w:tc>
              <w:tc>
                <w:tcPr>
                  <w:tcW w:w="661" w:type="pct"/>
                  <w:vAlign w:val="center"/>
                </w:tcPr>
                <w:p w14:paraId="3631737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40.78291364</w:t>
                  </w:r>
                </w:p>
              </w:tc>
            </w:tr>
            <w:tr w14:paraId="0EE3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4F1CCFB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XN32</w:t>
                  </w:r>
                </w:p>
              </w:tc>
              <w:tc>
                <w:tcPr>
                  <w:tcW w:w="633" w:type="pct"/>
                  <w:vAlign w:val="center"/>
                </w:tcPr>
                <w:p w14:paraId="1FED550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118.3654513</w:t>
                  </w:r>
                </w:p>
              </w:tc>
              <w:tc>
                <w:tcPr>
                  <w:tcW w:w="642" w:type="pct"/>
                  <w:vAlign w:val="center"/>
                </w:tcPr>
                <w:p w14:paraId="7A1E84B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40.94795583</w:t>
                  </w:r>
                </w:p>
              </w:tc>
              <w:tc>
                <w:tcPr>
                  <w:tcW w:w="387" w:type="pct"/>
                  <w:vAlign w:val="center"/>
                </w:tcPr>
                <w:p w14:paraId="325E4D5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N67</w:t>
                  </w:r>
                </w:p>
              </w:tc>
              <w:tc>
                <w:tcPr>
                  <w:tcW w:w="633" w:type="pct"/>
                  <w:vAlign w:val="center"/>
                </w:tcPr>
                <w:p w14:paraId="232F397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118.3292168</w:t>
                  </w:r>
                </w:p>
              </w:tc>
              <w:tc>
                <w:tcPr>
                  <w:tcW w:w="670" w:type="pct"/>
                  <w:vAlign w:val="center"/>
                </w:tcPr>
                <w:p w14:paraId="70DB100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40.85875482</w:t>
                  </w:r>
                </w:p>
              </w:tc>
              <w:tc>
                <w:tcPr>
                  <w:tcW w:w="340" w:type="pct"/>
                  <w:vAlign w:val="center"/>
                </w:tcPr>
                <w:p w14:paraId="4F0E60A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N107</w:t>
                  </w:r>
                </w:p>
              </w:tc>
              <w:tc>
                <w:tcPr>
                  <w:tcW w:w="642" w:type="pct"/>
                  <w:vAlign w:val="center"/>
                </w:tcPr>
                <w:p w14:paraId="1085AF5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118.3566892</w:t>
                  </w:r>
                </w:p>
              </w:tc>
              <w:tc>
                <w:tcPr>
                  <w:tcW w:w="661" w:type="pct"/>
                  <w:vAlign w:val="center"/>
                </w:tcPr>
                <w:p w14:paraId="776CA52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40.78142922</w:t>
                  </w:r>
                </w:p>
              </w:tc>
            </w:tr>
            <w:tr w14:paraId="4E2E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384F957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XN31</w:t>
                  </w:r>
                </w:p>
              </w:tc>
              <w:tc>
                <w:tcPr>
                  <w:tcW w:w="633" w:type="pct"/>
                  <w:vAlign w:val="center"/>
                </w:tcPr>
                <w:p w14:paraId="75DAC67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118.3632564</w:t>
                  </w:r>
                </w:p>
              </w:tc>
              <w:tc>
                <w:tcPr>
                  <w:tcW w:w="642" w:type="pct"/>
                  <w:vAlign w:val="center"/>
                </w:tcPr>
                <w:p w14:paraId="10685FF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40.95098629</w:t>
                  </w:r>
                </w:p>
              </w:tc>
              <w:tc>
                <w:tcPr>
                  <w:tcW w:w="387" w:type="pct"/>
                  <w:vAlign w:val="center"/>
                </w:tcPr>
                <w:p w14:paraId="33B7570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N68</w:t>
                  </w:r>
                </w:p>
              </w:tc>
              <w:tc>
                <w:tcPr>
                  <w:tcW w:w="633" w:type="pct"/>
                  <w:vAlign w:val="center"/>
                </w:tcPr>
                <w:p w14:paraId="0EED482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118.3263327</w:t>
                  </w:r>
                </w:p>
              </w:tc>
              <w:tc>
                <w:tcPr>
                  <w:tcW w:w="670" w:type="pct"/>
                  <w:vAlign w:val="center"/>
                </w:tcPr>
                <w:p w14:paraId="611DC22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40.85670609</w:t>
                  </w:r>
                </w:p>
              </w:tc>
              <w:tc>
                <w:tcPr>
                  <w:tcW w:w="340" w:type="pct"/>
                  <w:vAlign w:val="center"/>
                </w:tcPr>
                <w:p w14:paraId="031EEA6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N106</w:t>
                  </w:r>
                </w:p>
              </w:tc>
              <w:tc>
                <w:tcPr>
                  <w:tcW w:w="642" w:type="pct"/>
                  <w:vAlign w:val="center"/>
                </w:tcPr>
                <w:p w14:paraId="14AEF97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118.3556678</w:t>
                  </w:r>
                </w:p>
              </w:tc>
              <w:tc>
                <w:tcPr>
                  <w:tcW w:w="661" w:type="pct"/>
                  <w:vAlign w:val="center"/>
                </w:tcPr>
                <w:p w14:paraId="295847F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40.78304468</w:t>
                  </w:r>
                </w:p>
              </w:tc>
            </w:tr>
            <w:tr w14:paraId="4BBA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02D9F8C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XN33</w:t>
                  </w:r>
                </w:p>
              </w:tc>
              <w:tc>
                <w:tcPr>
                  <w:tcW w:w="633" w:type="pct"/>
                  <w:vAlign w:val="center"/>
                </w:tcPr>
                <w:p w14:paraId="696EB27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118.363656</w:t>
                  </w:r>
                </w:p>
              </w:tc>
              <w:tc>
                <w:tcPr>
                  <w:tcW w:w="642" w:type="pct"/>
                  <w:vAlign w:val="center"/>
                </w:tcPr>
                <w:p w14:paraId="3543578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40.94554689</w:t>
                  </w:r>
                </w:p>
              </w:tc>
              <w:tc>
                <w:tcPr>
                  <w:tcW w:w="387" w:type="pct"/>
                  <w:vAlign w:val="center"/>
                </w:tcPr>
                <w:p w14:paraId="249E360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N69</w:t>
                  </w:r>
                </w:p>
              </w:tc>
              <w:tc>
                <w:tcPr>
                  <w:tcW w:w="633" w:type="pct"/>
                  <w:vAlign w:val="center"/>
                </w:tcPr>
                <w:p w14:paraId="33FA378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118.3253626</w:t>
                  </w:r>
                </w:p>
              </w:tc>
              <w:tc>
                <w:tcPr>
                  <w:tcW w:w="670" w:type="pct"/>
                  <w:vAlign w:val="center"/>
                </w:tcPr>
                <w:p w14:paraId="7C171E8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40.85214025</w:t>
                  </w:r>
                </w:p>
              </w:tc>
              <w:tc>
                <w:tcPr>
                  <w:tcW w:w="340" w:type="pct"/>
                  <w:vAlign w:val="center"/>
                </w:tcPr>
                <w:p w14:paraId="2398C35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N108</w:t>
                  </w:r>
                </w:p>
              </w:tc>
              <w:tc>
                <w:tcPr>
                  <w:tcW w:w="642" w:type="pct"/>
                  <w:vAlign w:val="center"/>
                </w:tcPr>
                <w:p w14:paraId="2F3FFBE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118.3581162</w:t>
                  </w:r>
                </w:p>
              </w:tc>
              <w:tc>
                <w:tcPr>
                  <w:tcW w:w="661" w:type="pct"/>
                  <w:vAlign w:val="center"/>
                </w:tcPr>
                <w:p w14:paraId="6868527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40.77917254</w:t>
                  </w:r>
                </w:p>
              </w:tc>
            </w:tr>
            <w:tr w14:paraId="1190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 w:type="pct"/>
                  <w:vAlign w:val="center"/>
                </w:tcPr>
                <w:p w14:paraId="7BCEB6D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XN34</w:t>
                  </w:r>
                </w:p>
              </w:tc>
              <w:tc>
                <w:tcPr>
                  <w:tcW w:w="633" w:type="pct"/>
                  <w:vAlign w:val="center"/>
                </w:tcPr>
                <w:p w14:paraId="22D2726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118.36236</w:t>
                  </w:r>
                </w:p>
              </w:tc>
              <w:tc>
                <w:tcPr>
                  <w:tcW w:w="642" w:type="pct"/>
                  <w:vAlign w:val="center"/>
                </w:tcPr>
                <w:p w14:paraId="0B5555E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themeColor="text1"/>
                      <w:kern w:val="0"/>
                      <w:sz w:val="15"/>
                      <w:szCs w:val="15"/>
                      <w:lang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40.94380799</w:t>
                  </w:r>
                </w:p>
              </w:tc>
              <w:tc>
                <w:tcPr>
                  <w:tcW w:w="387" w:type="pct"/>
                  <w:vAlign w:val="center"/>
                </w:tcPr>
                <w:p w14:paraId="29DAEE9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N70</w:t>
                  </w:r>
                </w:p>
              </w:tc>
              <w:tc>
                <w:tcPr>
                  <w:tcW w:w="633" w:type="pct"/>
                  <w:vAlign w:val="center"/>
                </w:tcPr>
                <w:p w14:paraId="0E26512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118.3248486</w:t>
                  </w:r>
                </w:p>
              </w:tc>
              <w:tc>
                <w:tcPr>
                  <w:tcW w:w="670" w:type="pct"/>
                  <w:vAlign w:val="center"/>
                </w:tcPr>
                <w:p w14:paraId="2C873E5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40.84972088</w:t>
                  </w:r>
                </w:p>
              </w:tc>
              <w:tc>
                <w:tcPr>
                  <w:tcW w:w="340" w:type="pct"/>
                  <w:vAlign w:val="center"/>
                </w:tcPr>
                <w:p w14:paraId="445C4F3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N109</w:t>
                  </w:r>
                </w:p>
              </w:tc>
              <w:tc>
                <w:tcPr>
                  <w:tcW w:w="642" w:type="pct"/>
                  <w:vAlign w:val="center"/>
                </w:tcPr>
                <w:p w14:paraId="4EECBCF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118.3598172</w:t>
                  </w:r>
                </w:p>
              </w:tc>
              <w:tc>
                <w:tcPr>
                  <w:tcW w:w="661" w:type="pct"/>
                  <w:vAlign w:val="center"/>
                </w:tcPr>
                <w:p w14:paraId="5632A00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lang w:val="en-US" w:eastAsia="zh-CN" w:bidi="ar"/>
                      <w14:textFill>
                        <w14:solidFill>
                          <w14:schemeClr w14:val="tx1"/>
                        </w14:solidFill>
                      </w14:textFill>
                    </w:rPr>
                    <w:t>40.77964074</w:t>
                  </w:r>
                </w:p>
              </w:tc>
            </w:tr>
          </w:tbl>
          <w:p w14:paraId="522BD2F4">
            <w:pPr>
              <w:pStyle w:val="17"/>
              <w:spacing w:line="480" w:lineRule="exact"/>
              <w:ind w:left="0" w:firstLine="422" w:firstLineChars="200"/>
              <w:rPr>
                <w:color w:val="000000" w:themeColor="text1"/>
                <w:kern w:val="2"/>
                <w:szCs w:val="21"/>
                <w14:textFill>
                  <w14:solidFill>
                    <w14:schemeClr w14:val="tx1"/>
                  </w14:solidFill>
                </w14:textFill>
              </w:rPr>
            </w:pPr>
            <w:r>
              <w:rPr>
                <w:rFonts w:hint="eastAsia"/>
                <w:b/>
                <w:bCs/>
                <w:color w:val="000000" w:themeColor="text1"/>
                <w:kern w:val="2"/>
                <w:szCs w:val="21"/>
                <w14:textFill>
                  <w14:solidFill>
                    <w14:schemeClr w14:val="tx1"/>
                  </w14:solidFill>
                </w14:textFill>
              </w:rPr>
              <w:t>四、主要建设内容</w:t>
            </w:r>
          </w:p>
          <w:p w14:paraId="31955F74">
            <w:pPr>
              <w:pStyle w:val="17"/>
              <w:spacing w:line="480" w:lineRule="exact"/>
              <w:ind w:left="0" w:firstLine="422" w:firstLineChars="200"/>
              <w:rPr>
                <w:b/>
                <w:bCs/>
                <w:color w:val="000000" w:themeColor="text1"/>
                <w:kern w:val="2"/>
                <w:szCs w:val="21"/>
                <w14:textFill>
                  <w14:solidFill>
                    <w14:schemeClr w14:val="tx1"/>
                  </w14:solidFill>
                </w14:textFill>
              </w:rPr>
            </w:pPr>
            <w:r>
              <w:rPr>
                <w:rFonts w:hint="eastAsia"/>
                <w:b/>
                <w:bCs/>
                <w:color w:val="000000" w:themeColor="text1"/>
                <w:kern w:val="2"/>
                <w:szCs w:val="21"/>
                <w14:textFill>
                  <w14:solidFill>
                    <w14:schemeClr w14:val="tx1"/>
                  </w14:solidFill>
                </w14:textFill>
              </w:rPr>
              <w:t>1、杆塔</w:t>
            </w:r>
          </w:p>
          <w:p w14:paraId="36A8890C">
            <w:pPr>
              <w:pStyle w:val="17"/>
              <w:spacing w:line="480" w:lineRule="exact"/>
              <w:ind w:left="0" w:firstLine="420" w:firstLineChars="200"/>
              <w:rPr>
                <w:rFonts w:hint="eastAsia" w:eastAsia="宋体"/>
                <w:color w:val="000000" w:themeColor="text1"/>
                <w:szCs w:val="21"/>
                <w:lang w:val="en-US" w:eastAsia="zh-CN"/>
                <w14:textFill>
                  <w14:solidFill>
                    <w14:schemeClr w14:val="tx1"/>
                  </w14:solidFill>
                </w14:textFill>
              </w:rPr>
            </w:pPr>
            <w:r>
              <w:rPr>
                <w:rFonts w:hint="eastAsia"/>
                <w:color w:val="000000" w:themeColor="text1"/>
                <w:kern w:val="2"/>
                <w:szCs w:val="21"/>
                <w14:textFill>
                  <w14:solidFill>
                    <w14:schemeClr w14:val="tx1"/>
                  </w14:solidFill>
                </w14:textFill>
              </w:rPr>
              <w:t>本项目</w:t>
            </w:r>
            <w:r>
              <w:rPr>
                <w:rFonts w:hint="eastAsia"/>
                <w:color w:val="000000" w:themeColor="text1"/>
                <w:szCs w:val="21"/>
                <w14:textFill>
                  <w14:solidFill>
                    <w14:schemeClr w14:val="tx1"/>
                  </w14:solidFill>
                </w14:textFill>
              </w:rPr>
              <w:t>新建铁塔共</w:t>
            </w:r>
            <w:r>
              <w:rPr>
                <w:rFonts w:hint="eastAsia"/>
                <w:color w:val="000000" w:themeColor="text1"/>
                <w:szCs w:val="21"/>
                <w:lang w:val="en-US" w:eastAsia="zh-CN"/>
                <w14:textFill>
                  <w14:solidFill>
                    <w14:schemeClr w14:val="tx1"/>
                  </w14:solidFill>
                </w14:textFill>
              </w:rPr>
              <w:t>114</w:t>
            </w:r>
            <w:r>
              <w:rPr>
                <w:rFonts w:hint="eastAsia"/>
                <w:color w:val="000000" w:themeColor="text1"/>
                <w:szCs w:val="21"/>
                <w14:textFill>
                  <w14:solidFill>
                    <w14:schemeClr w14:val="tx1"/>
                  </w14:solidFill>
                </w14:textFill>
              </w:rPr>
              <w:t>基，其中直线塔</w:t>
            </w:r>
            <w:r>
              <w:rPr>
                <w:rFonts w:hint="eastAsia"/>
                <w:color w:val="000000" w:themeColor="text1"/>
                <w:szCs w:val="21"/>
                <w:lang w:val="en-US" w:eastAsia="zh-CN"/>
                <w14:textFill>
                  <w14:solidFill>
                    <w14:schemeClr w14:val="tx1"/>
                  </w14:solidFill>
                </w14:textFill>
              </w:rPr>
              <w:t>57</w:t>
            </w:r>
            <w:r>
              <w:rPr>
                <w:rFonts w:hint="eastAsia"/>
                <w:color w:val="000000" w:themeColor="text1"/>
                <w:szCs w:val="21"/>
                <w14:textFill>
                  <w14:solidFill>
                    <w14:schemeClr w14:val="tx1"/>
                  </w14:solidFill>
                </w14:textFill>
              </w:rPr>
              <w:t>基，转角塔</w:t>
            </w:r>
            <w:r>
              <w:rPr>
                <w:rFonts w:hint="eastAsia"/>
                <w:color w:val="000000" w:themeColor="text1"/>
                <w:szCs w:val="21"/>
                <w:lang w:val="en-US" w:eastAsia="zh-CN"/>
                <w14:textFill>
                  <w14:solidFill>
                    <w14:schemeClr w14:val="tx1"/>
                  </w14:solidFill>
                </w14:textFill>
              </w:rPr>
              <w:t>57</w:t>
            </w:r>
            <w:r>
              <w:rPr>
                <w:rFonts w:hint="eastAsia"/>
                <w:color w:val="000000" w:themeColor="text1"/>
                <w:szCs w:val="21"/>
                <w14:textFill>
                  <w14:solidFill>
                    <w14:schemeClr w14:val="tx1"/>
                  </w14:solidFill>
                </w14:textFill>
              </w:rPr>
              <w:t>基，综合分析比较各类塔形的技术条件、经济指标后，</w:t>
            </w:r>
            <w:r>
              <w:rPr>
                <w:rFonts w:hint="eastAsia"/>
                <w:color w:val="000000" w:themeColor="text1"/>
                <w:szCs w:val="21"/>
                <w:lang w:val="en-US" w:eastAsia="zh-CN"/>
                <w14:textFill>
                  <w14:solidFill>
                    <w14:schemeClr w14:val="tx1"/>
                  </w14:solidFill>
                </w14:textFill>
              </w:rPr>
              <w:t>全线共采取13</w:t>
            </w:r>
            <w:r>
              <w:rPr>
                <w:rFonts w:hint="eastAsia"/>
                <w:color w:val="000000" w:themeColor="text1"/>
                <w:szCs w:val="21"/>
                <w:lang w:eastAsia="zh-CN"/>
                <w14:textFill>
                  <w14:solidFill>
                    <w14:schemeClr w14:val="tx1"/>
                  </w14:solidFill>
                </w14:textFill>
              </w:rPr>
              <w:t>种</w:t>
            </w:r>
            <w:r>
              <w:rPr>
                <w:rFonts w:hint="eastAsia"/>
                <w:color w:val="000000" w:themeColor="text1"/>
                <w:szCs w:val="21"/>
                <w14:textFill>
                  <w14:solidFill>
                    <w14:schemeClr w14:val="tx1"/>
                  </w14:solidFill>
                </w14:textFill>
              </w:rPr>
              <w:t>塔型，</w:t>
            </w:r>
            <w:r>
              <w:rPr>
                <w:rFonts w:hint="eastAsia"/>
                <w:color w:val="000000" w:themeColor="text1"/>
                <w:szCs w:val="21"/>
                <w:lang w:val="en-US" w:eastAsia="zh-CN"/>
                <w14:textFill>
                  <w14:solidFill>
                    <w14:schemeClr w14:val="tx1"/>
                  </w14:solidFill>
                </w14:textFill>
              </w:rPr>
              <w:t>其中单回路直线塔4种，单回路转角塔6种、单回路钻越塔1种，单回路耐张跨越塔1种，双回路终端塔1种。</w:t>
            </w:r>
          </w:p>
          <w:p w14:paraId="73E1D600">
            <w:pPr>
              <w:pStyle w:val="17"/>
              <w:spacing w:line="480" w:lineRule="exact"/>
              <w:ind w:left="422" w:hanging="422"/>
              <w:jc w:val="center"/>
              <w:rPr>
                <w:rFonts w:hint="eastAsia"/>
                <w:b/>
                <w:bCs/>
                <w:color w:val="000000" w:themeColor="text1"/>
                <w:szCs w:val="21"/>
                <w14:textFill>
                  <w14:solidFill>
                    <w14:schemeClr w14:val="tx1"/>
                  </w14:solidFill>
                </w14:textFill>
              </w:rPr>
            </w:pPr>
          </w:p>
          <w:p w14:paraId="3F22B094">
            <w:pPr>
              <w:pStyle w:val="17"/>
              <w:spacing w:line="480" w:lineRule="exact"/>
              <w:ind w:left="422" w:hanging="422"/>
              <w:jc w:val="center"/>
              <w:rPr>
                <w:rFonts w:hint="eastAsia"/>
                <w:b/>
                <w:bCs/>
                <w:color w:val="000000" w:themeColor="text1"/>
                <w:szCs w:val="21"/>
                <w14:textFill>
                  <w14:solidFill>
                    <w14:schemeClr w14:val="tx1"/>
                  </w14:solidFill>
                </w14:textFill>
              </w:rPr>
            </w:pPr>
          </w:p>
          <w:p w14:paraId="3F068DB7">
            <w:pPr>
              <w:pStyle w:val="17"/>
              <w:spacing w:line="480" w:lineRule="exact"/>
              <w:ind w:left="422" w:hanging="422"/>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w:t>
            </w:r>
            <w:r>
              <w:rPr>
                <w:b/>
                <w:bCs/>
                <w:color w:val="000000" w:themeColor="text1"/>
                <w:szCs w:val="21"/>
                <w14:textFill>
                  <w14:solidFill>
                    <w14:schemeClr w14:val="tx1"/>
                  </w14:solidFill>
                </w14:textFill>
              </w:rPr>
              <w:t>2-</w:t>
            </w:r>
            <w:r>
              <w:rPr>
                <w:rFonts w:hint="eastAsia"/>
                <w:b/>
                <w:bCs/>
                <w:color w:val="000000" w:themeColor="text1"/>
                <w:szCs w:val="21"/>
                <w:lang w:val="en-US" w:eastAsia="zh-CN"/>
                <w14:textFill>
                  <w14:solidFill>
                    <w14:schemeClr w14:val="tx1"/>
                  </w14:solidFill>
                </w14:textFill>
              </w:rPr>
              <w:t>3</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项目杆塔选型表</w:t>
            </w:r>
          </w:p>
          <w:tbl>
            <w:tblPr>
              <w:tblStyle w:val="24"/>
              <w:tblW w:w="7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237"/>
              <w:gridCol w:w="964"/>
              <w:gridCol w:w="1971"/>
              <w:gridCol w:w="1971"/>
            </w:tblGrid>
            <w:tr w14:paraId="7395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Align w:val="center"/>
                </w:tcPr>
                <w:p w14:paraId="2C03E60F">
                  <w:pPr>
                    <w:pStyle w:val="50"/>
                    <w:keepNext w:val="0"/>
                    <w:keepLines w:val="0"/>
                    <w:pageBreakBefore w:val="0"/>
                    <w:widowControl w:val="0"/>
                    <w:kinsoku/>
                    <w:wordWrap/>
                    <w:overflowPunct/>
                    <w:topLinePunct w:val="0"/>
                    <w:autoSpaceDE/>
                    <w:autoSpaceDN/>
                    <w:bidi w:val="0"/>
                    <w:spacing w:beforeLines="0" w:afterLines="0" w:line="320" w:lineRule="exact"/>
                    <w:ind w:left="0" w:firstLine="0" w:firstLineChars="0"/>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编号</w:t>
                  </w:r>
                </w:p>
              </w:tc>
              <w:tc>
                <w:tcPr>
                  <w:tcW w:w="1237" w:type="dxa"/>
                  <w:vAlign w:val="center"/>
                </w:tcPr>
                <w:p w14:paraId="7EA36C2F">
                  <w:pPr>
                    <w:pStyle w:val="50"/>
                    <w:keepNext w:val="0"/>
                    <w:keepLines w:val="0"/>
                    <w:pageBreakBefore w:val="0"/>
                    <w:widowControl w:val="0"/>
                    <w:kinsoku/>
                    <w:wordWrap/>
                    <w:overflowPunct/>
                    <w:topLinePunct w:val="0"/>
                    <w:autoSpaceDE/>
                    <w:autoSpaceDN/>
                    <w:bidi w:val="0"/>
                    <w:spacing w:beforeLines="0" w:afterLines="0" w:line="320" w:lineRule="exact"/>
                    <w:ind w:left="0" w:firstLine="0" w:firstLineChars="0"/>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杆塔型号</w:t>
                  </w:r>
                </w:p>
              </w:tc>
              <w:tc>
                <w:tcPr>
                  <w:tcW w:w="964" w:type="dxa"/>
                  <w:vAlign w:val="center"/>
                </w:tcPr>
                <w:p w14:paraId="6B85E885">
                  <w:pPr>
                    <w:pStyle w:val="50"/>
                    <w:keepNext w:val="0"/>
                    <w:keepLines w:val="0"/>
                    <w:pageBreakBefore w:val="0"/>
                    <w:widowControl w:val="0"/>
                    <w:kinsoku/>
                    <w:wordWrap/>
                    <w:overflowPunct/>
                    <w:topLinePunct w:val="0"/>
                    <w:autoSpaceDE/>
                    <w:autoSpaceDN/>
                    <w:bidi w:val="0"/>
                    <w:spacing w:beforeLines="0" w:afterLines="0" w:line="320" w:lineRule="exact"/>
                    <w:ind w:left="0"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塔型</w:t>
                  </w:r>
                </w:p>
              </w:tc>
              <w:tc>
                <w:tcPr>
                  <w:tcW w:w="1971" w:type="dxa"/>
                  <w:vAlign w:val="center"/>
                </w:tcPr>
                <w:p w14:paraId="218A39BD">
                  <w:pPr>
                    <w:pStyle w:val="50"/>
                    <w:keepNext w:val="0"/>
                    <w:keepLines w:val="0"/>
                    <w:pageBreakBefore w:val="0"/>
                    <w:widowControl w:val="0"/>
                    <w:kinsoku/>
                    <w:wordWrap/>
                    <w:overflowPunct/>
                    <w:topLinePunct w:val="0"/>
                    <w:autoSpaceDE/>
                    <w:autoSpaceDN/>
                    <w:bidi w:val="0"/>
                    <w:spacing w:beforeLines="0" w:afterLines="0" w:line="320" w:lineRule="exact"/>
                    <w:ind w:left="0" w:firstLine="0" w:firstLineChars="0"/>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呼称高</w:t>
                  </w:r>
                </w:p>
              </w:tc>
              <w:tc>
                <w:tcPr>
                  <w:tcW w:w="1971" w:type="dxa"/>
                  <w:vAlign w:val="center"/>
                </w:tcPr>
                <w:p w14:paraId="1DCC8F51">
                  <w:pPr>
                    <w:pStyle w:val="50"/>
                    <w:keepNext w:val="0"/>
                    <w:keepLines w:val="0"/>
                    <w:pageBreakBefore w:val="0"/>
                    <w:widowControl w:val="0"/>
                    <w:kinsoku/>
                    <w:wordWrap/>
                    <w:overflowPunct/>
                    <w:topLinePunct w:val="0"/>
                    <w:autoSpaceDE/>
                    <w:autoSpaceDN/>
                    <w:bidi w:val="0"/>
                    <w:spacing w:beforeLines="0" w:afterLines="0" w:line="320" w:lineRule="exact"/>
                    <w:ind w:left="0" w:firstLine="0" w:firstLineChars="0"/>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w:t>
                  </w:r>
                </w:p>
              </w:tc>
            </w:tr>
            <w:tr w14:paraId="1821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restart"/>
                  <w:vAlign w:val="center"/>
                </w:tcPr>
                <w:p w14:paraId="5993775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1237" w:type="dxa"/>
                  <w:vMerge w:val="restart"/>
                  <w:vAlign w:val="center"/>
                </w:tcPr>
                <w:p w14:paraId="2B2E7B2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2K1-ZMC2</w:t>
                  </w:r>
                </w:p>
              </w:tc>
              <w:tc>
                <w:tcPr>
                  <w:tcW w:w="964" w:type="dxa"/>
                  <w:vMerge w:val="restart"/>
                  <w:vAlign w:val="center"/>
                </w:tcPr>
                <w:p w14:paraId="1055C74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单回路直线塔</w:t>
                  </w:r>
                </w:p>
              </w:tc>
              <w:tc>
                <w:tcPr>
                  <w:tcW w:w="1971" w:type="dxa"/>
                  <w:vAlign w:val="center"/>
                </w:tcPr>
                <w:p w14:paraId="03D8852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手称高21米</w:t>
                  </w:r>
                </w:p>
              </w:tc>
              <w:tc>
                <w:tcPr>
                  <w:tcW w:w="1971" w:type="dxa"/>
                  <w:vAlign w:val="center"/>
                </w:tcPr>
                <w:p w14:paraId="31A9702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07A8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7ABC923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60508B8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336049F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39A32B0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手称高24米</w:t>
                  </w:r>
                </w:p>
              </w:tc>
              <w:tc>
                <w:tcPr>
                  <w:tcW w:w="1971" w:type="dxa"/>
                  <w:vAlign w:val="center"/>
                </w:tcPr>
                <w:p w14:paraId="772E92C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w:t>
                  </w:r>
                </w:p>
              </w:tc>
            </w:tr>
            <w:tr w14:paraId="3555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2BEC22C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37227C4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56FC39B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219528D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手称高27米</w:t>
                  </w:r>
                </w:p>
              </w:tc>
              <w:tc>
                <w:tcPr>
                  <w:tcW w:w="1971" w:type="dxa"/>
                  <w:vAlign w:val="center"/>
                </w:tcPr>
                <w:p w14:paraId="39EF15E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w:t>
                  </w:r>
                </w:p>
              </w:tc>
            </w:tr>
            <w:tr w14:paraId="41CB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07E0A39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0A6BB53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6B9C5DD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5E41CDC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手称高30米</w:t>
                  </w:r>
                </w:p>
              </w:tc>
              <w:tc>
                <w:tcPr>
                  <w:tcW w:w="1971" w:type="dxa"/>
                  <w:vAlign w:val="center"/>
                </w:tcPr>
                <w:p w14:paraId="454CB43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r>
            <w:tr w14:paraId="3B7D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12BFAD2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19A0C5B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461945D1">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65D6A9F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手称高33米</w:t>
                  </w:r>
                </w:p>
              </w:tc>
              <w:tc>
                <w:tcPr>
                  <w:tcW w:w="1971" w:type="dxa"/>
                  <w:vAlign w:val="center"/>
                </w:tcPr>
                <w:p w14:paraId="5E568C3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2D36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6146FFE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369377B1">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226376F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1144DA6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手称高36米</w:t>
                  </w:r>
                </w:p>
              </w:tc>
              <w:tc>
                <w:tcPr>
                  <w:tcW w:w="1971" w:type="dxa"/>
                  <w:vAlign w:val="center"/>
                </w:tcPr>
                <w:p w14:paraId="33789C8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1986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restart"/>
                  <w:vAlign w:val="center"/>
                </w:tcPr>
                <w:p w14:paraId="3D3D65E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1237" w:type="dxa"/>
                  <w:vMerge w:val="restart"/>
                  <w:vAlign w:val="center"/>
                </w:tcPr>
                <w:p w14:paraId="10535FC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2K1-ZMC3</w:t>
                  </w:r>
                </w:p>
              </w:tc>
              <w:tc>
                <w:tcPr>
                  <w:tcW w:w="964" w:type="dxa"/>
                  <w:vMerge w:val="continue"/>
                  <w:vAlign w:val="center"/>
                </w:tcPr>
                <w:p w14:paraId="62FF254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971" w:type="dxa"/>
                  <w:vAlign w:val="center"/>
                </w:tcPr>
                <w:p w14:paraId="34C53DE4">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手称高30米</w:t>
                  </w:r>
                </w:p>
              </w:tc>
              <w:tc>
                <w:tcPr>
                  <w:tcW w:w="1971" w:type="dxa"/>
                  <w:vAlign w:val="center"/>
                </w:tcPr>
                <w:p w14:paraId="233D0EE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w:t>
                  </w:r>
                </w:p>
              </w:tc>
            </w:tr>
            <w:tr w14:paraId="017D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3366DE6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4CC1B46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3039211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7374FF4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呼称高33米</w:t>
                  </w:r>
                </w:p>
              </w:tc>
              <w:tc>
                <w:tcPr>
                  <w:tcW w:w="1971" w:type="dxa"/>
                  <w:vAlign w:val="center"/>
                </w:tcPr>
                <w:p w14:paraId="44BE798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r>
            <w:tr w14:paraId="4469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7CEA58C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58D61D74">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7AFF9BD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180D25E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手称高36米</w:t>
                  </w:r>
                </w:p>
              </w:tc>
              <w:tc>
                <w:tcPr>
                  <w:tcW w:w="1971" w:type="dxa"/>
                  <w:vAlign w:val="center"/>
                </w:tcPr>
                <w:p w14:paraId="3C16BCB4">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317C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6837D4D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4E0B06A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1316F87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054C389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呼称高39米</w:t>
                  </w:r>
                </w:p>
              </w:tc>
              <w:tc>
                <w:tcPr>
                  <w:tcW w:w="1971" w:type="dxa"/>
                  <w:vAlign w:val="center"/>
                </w:tcPr>
                <w:p w14:paraId="6CEC255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75DE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2162FEB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72A3E15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0ABA880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1857FCA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手称高42米</w:t>
                  </w:r>
                </w:p>
              </w:tc>
              <w:tc>
                <w:tcPr>
                  <w:tcW w:w="1971" w:type="dxa"/>
                  <w:vAlign w:val="center"/>
                </w:tcPr>
                <w:p w14:paraId="120C0E08">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7893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0890B02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6CBEA96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2C975F6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4A4DE1C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手称高45米</w:t>
                  </w:r>
                </w:p>
              </w:tc>
              <w:tc>
                <w:tcPr>
                  <w:tcW w:w="1971" w:type="dxa"/>
                  <w:vAlign w:val="center"/>
                </w:tcPr>
                <w:p w14:paraId="2C880A0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7FDB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06580924">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705A8E7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5905DB5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0F5D0CD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呼称高48米</w:t>
                  </w:r>
                </w:p>
              </w:tc>
              <w:tc>
                <w:tcPr>
                  <w:tcW w:w="1971" w:type="dxa"/>
                  <w:vAlign w:val="center"/>
                </w:tcPr>
                <w:p w14:paraId="6CA11B8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7BEE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Align w:val="center"/>
                </w:tcPr>
                <w:p w14:paraId="4160994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1237" w:type="dxa"/>
                  <w:vAlign w:val="center"/>
                </w:tcPr>
                <w:p w14:paraId="2BAD7CD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2K1-ZMC4</w:t>
                  </w:r>
                </w:p>
              </w:tc>
              <w:tc>
                <w:tcPr>
                  <w:tcW w:w="964" w:type="dxa"/>
                  <w:vMerge w:val="continue"/>
                  <w:vAlign w:val="center"/>
                </w:tcPr>
                <w:p w14:paraId="54CDCFC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971" w:type="dxa"/>
                  <w:vAlign w:val="center"/>
                </w:tcPr>
                <w:p w14:paraId="20AF5CF0">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呼称高54米</w:t>
                  </w:r>
                </w:p>
              </w:tc>
              <w:tc>
                <w:tcPr>
                  <w:tcW w:w="1971" w:type="dxa"/>
                  <w:vAlign w:val="center"/>
                </w:tcPr>
                <w:p w14:paraId="7D8C419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6378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restart"/>
                  <w:vAlign w:val="center"/>
                </w:tcPr>
                <w:p w14:paraId="242CCAB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1237" w:type="dxa"/>
                  <w:vMerge w:val="restart"/>
                  <w:vAlign w:val="center"/>
                </w:tcPr>
                <w:p w14:paraId="5B75180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2B5-ZMC4</w:t>
                  </w:r>
                </w:p>
              </w:tc>
              <w:tc>
                <w:tcPr>
                  <w:tcW w:w="964" w:type="dxa"/>
                  <w:vMerge w:val="continue"/>
                  <w:vAlign w:val="center"/>
                </w:tcPr>
                <w:p w14:paraId="5394165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971" w:type="dxa"/>
                  <w:vAlign w:val="center"/>
                </w:tcPr>
                <w:p w14:paraId="134A347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呼称高24米</w:t>
                  </w:r>
                </w:p>
              </w:tc>
              <w:tc>
                <w:tcPr>
                  <w:tcW w:w="1971" w:type="dxa"/>
                  <w:vAlign w:val="center"/>
                </w:tcPr>
                <w:p w14:paraId="1C378C0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5388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5D6264E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21A5573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3F56DC5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7DB2945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手称高27米</w:t>
                  </w:r>
                </w:p>
              </w:tc>
              <w:tc>
                <w:tcPr>
                  <w:tcW w:w="1971" w:type="dxa"/>
                  <w:vAlign w:val="center"/>
                </w:tcPr>
                <w:p w14:paraId="4F54AA1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0A17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74832A6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2C956E08">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6955287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2FAE0E5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呼称高30米</w:t>
                  </w:r>
                </w:p>
              </w:tc>
              <w:tc>
                <w:tcPr>
                  <w:tcW w:w="1971" w:type="dxa"/>
                  <w:vAlign w:val="center"/>
                </w:tcPr>
                <w:p w14:paraId="7303826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3AEC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6D69533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4EF26B38">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2FD8E04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3B083590">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呼称高45米</w:t>
                  </w:r>
                </w:p>
              </w:tc>
              <w:tc>
                <w:tcPr>
                  <w:tcW w:w="1971" w:type="dxa"/>
                  <w:vAlign w:val="center"/>
                </w:tcPr>
                <w:p w14:paraId="469F446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71D3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restart"/>
                  <w:vAlign w:val="center"/>
                </w:tcPr>
                <w:p w14:paraId="48415E7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w:t>
                  </w:r>
                </w:p>
              </w:tc>
              <w:tc>
                <w:tcPr>
                  <w:tcW w:w="1237" w:type="dxa"/>
                  <w:vMerge w:val="restart"/>
                  <w:vAlign w:val="center"/>
                </w:tcPr>
                <w:p w14:paraId="58EAC35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2B6-JC4K</w:t>
                  </w:r>
                </w:p>
              </w:tc>
              <w:tc>
                <w:tcPr>
                  <w:tcW w:w="964" w:type="dxa"/>
                  <w:vAlign w:val="center"/>
                </w:tcPr>
                <w:p w14:paraId="7A36529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直线塔</w:t>
                  </w:r>
                </w:p>
              </w:tc>
              <w:tc>
                <w:tcPr>
                  <w:tcW w:w="1971" w:type="dxa"/>
                  <w:vAlign w:val="center"/>
                </w:tcPr>
                <w:p w14:paraId="5BA8093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呼称高42米</w:t>
                  </w:r>
                </w:p>
              </w:tc>
              <w:tc>
                <w:tcPr>
                  <w:tcW w:w="1971" w:type="dxa"/>
                  <w:vAlign w:val="center"/>
                </w:tcPr>
                <w:p w14:paraId="6BD281D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22CA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282A6F0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66A0703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Align w:val="center"/>
                </w:tcPr>
                <w:p w14:paraId="6C2DFC3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耐张跨越塔</w:t>
                  </w:r>
                </w:p>
              </w:tc>
              <w:tc>
                <w:tcPr>
                  <w:tcW w:w="1971" w:type="dxa"/>
                  <w:vAlign w:val="center"/>
                </w:tcPr>
                <w:p w14:paraId="3BFF1F9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呼称高45米</w:t>
                  </w:r>
                </w:p>
              </w:tc>
              <w:tc>
                <w:tcPr>
                  <w:tcW w:w="1971" w:type="dxa"/>
                  <w:vAlign w:val="center"/>
                </w:tcPr>
                <w:p w14:paraId="52E875F1">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7C99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restart"/>
                  <w:vAlign w:val="center"/>
                </w:tcPr>
                <w:p w14:paraId="5D3F22F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w:t>
                  </w:r>
                </w:p>
              </w:tc>
              <w:tc>
                <w:tcPr>
                  <w:tcW w:w="1237" w:type="dxa"/>
                  <w:vMerge w:val="restart"/>
                  <w:vAlign w:val="center"/>
                </w:tcPr>
                <w:p w14:paraId="2F283A7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2K1-JC1</w:t>
                  </w:r>
                </w:p>
              </w:tc>
              <w:tc>
                <w:tcPr>
                  <w:tcW w:w="964" w:type="dxa"/>
                  <w:vMerge w:val="restart"/>
                  <w:vAlign w:val="center"/>
                </w:tcPr>
                <w:p w14:paraId="1B4F5F14">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直线塔</w:t>
                  </w:r>
                </w:p>
              </w:tc>
              <w:tc>
                <w:tcPr>
                  <w:tcW w:w="1971" w:type="dxa"/>
                  <w:vAlign w:val="center"/>
                </w:tcPr>
                <w:p w14:paraId="049AB3E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呼称高18米</w:t>
                  </w:r>
                </w:p>
              </w:tc>
              <w:tc>
                <w:tcPr>
                  <w:tcW w:w="1971" w:type="dxa"/>
                  <w:vAlign w:val="center"/>
                </w:tcPr>
                <w:p w14:paraId="2028D3C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280F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6CF177B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433EE78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0F17B300">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2CDC2648">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呼称高24米</w:t>
                  </w:r>
                </w:p>
              </w:tc>
              <w:tc>
                <w:tcPr>
                  <w:tcW w:w="1971" w:type="dxa"/>
                  <w:vAlign w:val="center"/>
                </w:tcPr>
                <w:p w14:paraId="109ADED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2A15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3FB0DC6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28D4EA0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28F82831">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21E96768">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呼称高27米</w:t>
                  </w:r>
                </w:p>
              </w:tc>
              <w:tc>
                <w:tcPr>
                  <w:tcW w:w="1971" w:type="dxa"/>
                  <w:vAlign w:val="center"/>
                </w:tcPr>
                <w:p w14:paraId="0E25513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w:t>
                  </w:r>
                </w:p>
              </w:tc>
            </w:tr>
            <w:tr w14:paraId="47E3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7F3B033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2042425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700BE1B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49BCFC9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呼称高30米</w:t>
                  </w:r>
                </w:p>
              </w:tc>
              <w:tc>
                <w:tcPr>
                  <w:tcW w:w="1971" w:type="dxa"/>
                  <w:vAlign w:val="center"/>
                </w:tcPr>
                <w:p w14:paraId="45A41D9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1245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restart"/>
                  <w:vAlign w:val="center"/>
                </w:tcPr>
                <w:p w14:paraId="5BB1570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w:t>
                  </w:r>
                </w:p>
              </w:tc>
              <w:tc>
                <w:tcPr>
                  <w:tcW w:w="1237" w:type="dxa"/>
                  <w:vMerge w:val="restart"/>
                  <w:vAlign w:val="center"/>
                </w:tcPr>
                <w:p w14:paraId="3794211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2K1-JC2</w:t>
                  </w:r>
                </w:p>
              </w:tc>
              <w:tc>
                <w:tcPr>
                  <w:tcW w:w="964" w:type="dxa"/>
                  <w:vMerge w:val="restart"/>
                  <w:vAlign w:val="center"/>
                </w:tcPr>
                <w:p w14:paraId="63246774">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转角塔</w:t>
                  </w:r>
                </w:p>
              </w:tc>
              <w:tc>
                <w:tcPr>
                  <w:tcW w:w="1971" w:type="dxa"/>
                  <w:vAlign w:val="center"/>
                </w:tcPr>
                <w:p w14:paraId="69FFDC2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呼称高18米</w:t>
                  </w:r>
                </w:p>
              </w:tc>
              <w:tc>
                <w:tcPr>
                  <w:tcW w:w="1971" w:type="dxa"/>
                  <w:vAlign w:val="center"/>
                </w:tcPr>
                <w:p w14:paraId="01E28D7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373C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4F261A0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27C5BBE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67CFF1F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3706755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呼称高21米</w:t>
                  </w:r>
                </w:p>
              </w:tc>
              <w:tc>
                <w:tcPr>
                  <w:tcW w:w="1971" w:type="dxa"/>
                  <w:vAlign w:val="center"/>
                </w:tcPr>
                <w:p w14:paraId="1EAB750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64B2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1BEF824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32F9C96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5A5F4238">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32A6B1E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呼称高24米</w:t>
                  </w:r>
                </w:p>
              </w:tc>
              <w:tc>
                <w:tcPr>
                  <w:tcW w:w="1971" w:type="dxa"/>
                  <w:vAlign w:val="center"/>
                </w:tcPr>
                <w:p w14:paraId="181929A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w:t>
                  </w:r>
                </w:p>
              </w:tc>
            </w:tr>
            <w:tr w14:paraId="1E02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74BBC63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5BF101C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4A6BA71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0AF832C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呼称高27米</w:t>
                  </w:r>
                </w:p>
              </w:tc>
              <w:tc>
                <w:tcPr>
                  <w:tcW w:w="1971" w:type="dxa"/>
                  <w:vAlign w:val="center"/>
                </w:tcPr>
                <w:p w14:paraId="14A5648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6B76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0EB5E548">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6A5AE89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1777A3D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1537D9C1">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呼称高30米</w:t>
                  </w:r>
                </w:p>
              </w:tc>
              <w:tc>
                <w:tcPr>
                  <w:tcW w:w="1971" w:type="dxa"/>
                  <w:vAlign w:val="center"/>
                </w:tcPr>
                <w:p w14:paraId="58E2A87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5AC4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restart"/>
                  <w:vAlign w:val="center"/>
                </w:tcPr>
                <w:p w14:paraId="1116BD8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w:t>
                  </w:r>
                </w:p>
              </w:tc>
              <w:tc>
                <w:tcPr>
                  <w:tcW w:w="1237" w:type="dxa"/>
                  <w:vMerge w:val="restart"/>
                  <w:vAlign w:val="center"/>
                </w:tcPr>
                <w:p w14:paraId="14F0BC3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2K1-JC3</w:t>
                  </w:r>
                </w:p>
              </w:tc>
              <w:tc>
                <w:tcPr>
                  <w:tcW w:w="964" w:type="dxa"/>
                  <w:vMerge w:val="continue"/>
                  <w:vAlign w:val="center"/>
                </w:tcPr>
                <w:p w14:paraId="26A727E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971" w:type="dxa"/>
                  <w:vAlign w:val="center"/>
                </w:tcPr>
                <w:p w14:paraId="1CA512D4">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呼称高18米</w:t>
                  </w:r>
                </w:p>
              </w:tc>
              <w:tc>
                <w:tcPr>
                  <w:tcW w:w="1971" w:type="dxa"/>
                  <w:vAlign w:val="center"/>
                </w:tcPr>
                <w:p w14:paraId="710230B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224D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663291E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5645821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55A94ED1">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0CA9879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呼称高21米</w:t>
                  </w:r>
                </w:p>
              </w:tc>
              <w:tc>
                <w:tcPr>
                  <w:tcW w:w="1971" w:type="dxa"/>
                  <w:vAlign w:val="center"/>
                </w:tcPr>
                <w:p w14:paraId="6EDEFC8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576C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2863602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10DE230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650BDF5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66E6966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呼称高24米</w:t>
                  </w:r>
                </w:p>
              </w:tc>
              <w:tc>
                <w:tcPr>
                  <w:tcW w:w="1971" w:type="dxa"/>
                  <w:vAlign w:val="center"/>
                </w:tcPr>
                <w:p w14:paraId="38D289D8">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4B97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57AF6210">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3257E72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05077D34">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68104BF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呼称高27米</w:t>
                  </w:r>
                </w:p>
              </w:tc>
              <w:tc>
                <w:tcPr>
                  <w:tcW w:w="1971" w:type="dxa"/>
                  <w:vAlign w:val="center"/>
                </w:tcPr>
                <w:p w14:paraId="1648A454">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2441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53247B5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4B9944C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35D6A51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6F2F63A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呼称高30米</w:t>
                  </w:r>
                </w:p>
              </w:tc>
              <w:tc>
                <w:tcPr>
                  <w:tcW w:w="1971" w:type="dxa"/>
                  <w:vAlign w:val="center"/>
                </w:tcPr>
                <w:p w14:paraId="29C3CFC0">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1821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restart"/>
                  <w:vAlign w:val="center"/>
                </w:tcPr>
                <w:p w14:paraId="6BED175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9</w:t>
                  </w:r>
                </w:p>
              </w:tc>
              <w:tc>
                <w:tcPr>
                  <w:tcW w:w="1237" w:type="dxa"/>
                  <w:vMerge w:val="restart"/>
                  <w:vAlign w:val="center"/>
                </w:tcPr>
                <w:p w14:paraId="634663F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2K1-JC4</w:t>
                  </w:r>
                </w:p>
              </w:tc>
              <w:tc>
                <w:tcPr>
                  <w:tcW w:w="964" w:type="dxa"/>
                  <w:vMerge w:val="continue"/>
                  <w:vAlign w:val="center"/>
                </w:tcPr>
                <w:p w14:paraId="01D38081">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971" w:type="dxa"/>
                  <w:vAlign w:val="center"/>
                </w:tcPr>
                <w:p w14:paraId="6D4DDF5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呼称高18米</w:t>
                  </w:r>
                </w:p>
              </w:tc>
              <w:tc>
                <w:tcPr>
                  <w:tcW w:w="1971" w:type="dxa"/>
                  <w:vAlign w:val="center"/>
                </w:tcPr>
                <w:p w14:paraId="7A0EA9E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19BD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4036729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7D48EB1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50DC7DE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13D4453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呼称高21米</w:t>
                  </w:r>
                </w:p>
              </w:tc>
              <w:tc>
                <w:tcPr>
                  <w:tcW w:w="1971" w:type="dxa"/>
                  <w:vAlign w:val="center"/>
                </w:tcPr>
                <w:p w14:paraId="5FAAE14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6086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2872004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39AA746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51FD577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05BAA5C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呼称高24米</w:t>
                  </w:r>
                </w:p>
              </w:tc>
              <w:tc>
                <w:tcPr>
                  <w:tcW w:w="1971" w:type="dxa"/>
                  <w:vAlign w:val="center"/>
                </w:tcPr>
                <w:p w14:paraId="31C530B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47C8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567C6C1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6C634564">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17A83340">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500A5FB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呼称高27米</w:t>
                  </w:r>
                </w:p>
              </w:tc>
              <w:tc>
                <w:tcPr>
                  <w:tcW w:w="1971" w:type="dxa"/>
                  <w:vAlign w:val="center"/>
                </w:tcPr>
                <w:p w14:paraId="79831EE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7113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1D747E1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237" w:type="dxa"/>
                  <w:vMerge w:val="continue"/>
                  <w:vAlign w:val="center"/>
                </w:tcPr>
                <w:p w14:paraId="15B3265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6D974D3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3D5CD510">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呼称高30米</w:t>
                  </w:r>
                </w:p>
              </w:tc>
              <w:tc>
                <w:tcPr>
                  <w:tcW w:w="1971" w:type="dxa"/>
                  <w:vAlign w:val="center"/>
                </w:tcPr>
                <w:p w14:paraId="2F2F54E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5551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restart"/>
                  <w:vAlign w:val="center"/>
                </w:tcPr>
                <w:p w14:paraId="7C071BD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10</w:t>
                  </w:r>
                </w:p>
              </w:tc>
              <w:tc>
                <w:tcPr>
                  <w:tcW w:w="1237" w:type="dxa"/>
                  <w:vMerge w:val="restart"/>
                  <w:vAlign w:val="center"/>
                </w:tcPr>
                <w:p w14:paraId="7B7B014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2K1-DJC</w:t>
                  </w:r>
                </w:p>
              </w:tc>
              <w:tc>
                <w:tcPr>
                  <w:tcW w:w="964" w:type="dxa"/>
                  <w:vMerge w:val="continue"/>
                  <w:vAlign w:val="center"/>
                </w:tcPr>
                <w:p w14:paraId="6991465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971" w:type="dxa"/>
                  <w:vAlign w:val="center"/>
                </w:tcPr>
                <w:p w14:paraId="74985F56">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呼称高18米</w:t>
                  </w:r>
                </w:p>
              </w:tc>
              <w:tc>
                <w:tcPr>
                  <w:tcW w:w="1971" w:type="dxa"/>
                  <w:vAlign w:val="center"/>
                </w:tcPr>
                <w:p w14:paraId="6DDB9B1D">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1D40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5D20420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p>
              </w:tc>
              <w:tc>
                <w:tcPr>
                  <w:tcW w:w="1237" w:type="dxa"/>
                  <w:vMerge w:val="continue"/>
                  <w:vAlign w:val="center"/>
                </w:tcPr>
                <w:p w14:paraId="7C13ED0C">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0CE01DEE">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6628DEC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呼称高21米</w:t>
                  </w:r>
                </w:p>
              </w:tc>
              <w:tc>
                <w:tcPr>
                  <w:tcW w:w="1971" w:type="dxa"/>
                  <w:vAlign w:val="center"/>
                </w:tcPr>
                <w:p w14:paraId="660D0FB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092E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Merge w:val="continue"/>
                  <w:vAlign w:val="center"/>
                </w:tcPr>
                <w:p w14:paraId="3C730AA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p>
              </w:tc>
              <w:tc>
                <w:tcPr>
                  <w:tcW w:w="1237" w:type="dxa"/>
                  <w:vMerge w:val="continue"/>
                  <w:vAlign w:val="center"/>
                </w:tcPr>
                <w:p w14:paraId="32D0F91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964" w:type="dxa"/>
                  <w:vMerge w:val="continue"/>
                  <w:vAlign w:val="center"/>
                </w:tcPr>
                <w:p w14:paraId="682B02B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p>
              </w:tc>
              <w:tc>
                <w:tcPr>
                  <w:tcW w:w="1971" w:type="dxa"/>
                  <w:vAlign w:val="center"/>
                </w:tcPr>
                <w:p w14:paraId="079F198A">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呼称高24米</w:t>
                  </w:r>
                </w:p>
              </w:tc>
              <w:tc>
                <w:tcPr>
                  <w:tcW w:w="1971" w:type="dxa"/>
                  <w:vAlign w:val="center"/>
                </w:tcPr>
                <w:p w14:paraId="7BCFC1C1">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21B3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Align w:val="center"/>
                </w:tcPr>
                <w:p w14:paraId="1A632E7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11</w:t>
                  </w:r>
                </w:p>
              </w:tc>
              <w:tc>
                <w:tcPr>
                  <w:tcW w:w="1237" w:type="dxa"/>
                  <w:vAlign w:val="center"/>
                </w:tcPr>
                <w:p w14:paraId="2680EAF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2B5-DJC</w:t>
                  </w:r>
                </w:p>
              </w:tc>
              <w:tc>
                <w:tcPr>
                  <w:tcW w:w="964" w:type="dxa"/>
                  <w:vMerge w:val="continue"/>
                  <w:vAlign w:val="center"/>
                </w:tcPr>
                <w:p w14:paraId="5135793B">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971" w:type="dxa"/>
                  <w:vAlign w:val="center"/>
                </w:tcPr>
                <w:p w14:paraId="24D7436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呼称高21米</w:t>
                  </w:r>
                </w:p>
              </w:tc>
              <w:tc>
                <w:tcPr>
                  <w:tcW w:w="1971" w:type="dxa"/>
                  <w:vAlign w:val="center"/>
                </w:tcPr>
                <w:p w14:paraId="221E5AE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r w14:paraId="15C6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Align w:val="center"/>
                </w:tcPr>
                <w:p w14:paraId="12C2C148">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12</w:t>
                  </w:r>
                </w:p>
              </w:tc>
              <w:tc>
                <w:tcPr>
                  <w:tcW w:w="1237" w:type="dxa"/>
                  <w:vAlign w:val="center"/>
                </w:tcPr>
                <w:p w14:paraId="6A96FC49">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JB11</w:t>
                  </w:r>
                </w:p>
              </w:tc>
              <w:tc>
                <w:tcPr>
                  <w:tcW w:w="964" w:type="dxa"/>
                  <w:vAlign w:val="center"/>
                </w:tcPr>
                <w:p w14:paraId="27098957">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单回路钻越塔</w:t>
                  </w:r>
                </w:p>
              </w:tc>
              <w:tc>
                <w:tcPr>
                  <w:tcW w:w="1971" w:type="dxa"/>
                  <w:vAlign w:val="center"/>
                </w:tcPr>
                <w:p w14:paraId="61867C62">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呼称高12米</w:t>
                  </w:r>
                </w:p>
              </w:tc>
              <w:tc>
                <w:tcPr>
                  <w:tcW w:w="1971" w:type="dxa"/>
                  <w:vAlign w:val="center"/>
                </w:tcPr>
                <w:p w14:paraId="4B82B923">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r>
            <w:tr w14:paraId="20A2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7" w:type="dxa"/>
                  <w:vAlign w:val="center"/>
                </w:tcPr>
                <w:p w14:paraId="2B9601B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13</w:t>
                  </w:r>
                </w:p>
              </w:tc>
              <w:tc>
                <w:tcPr>
                  <w:tcW w:w="1237" w:type="dxa"/>
                  <w:vAlign w:val="center"/>
                </w:tcPr>
                <w:p w14:paraId="08A111B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2E5-SDJC</w:t>
                  </w:r>
                </w:p>
              </w:tc>
              <w:tc>
                <w:tcPr>
                  <w:tcW w:w="964" w:type="dxa"/>
                  <w:vAlign w:val="center"/>
                </w:tcPr>
                <w:p w14:paraId="3067D208">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双回塔</w:t>
                  </w:r>
                </w:p>
              </w:tc>
              <w:tc>
                <w:tcPr>
                  <w:tcW w:w="1971" w:type="dxa"/>
                  <w:vAlign w:val="center"/>
                </w:tcPr>
                <w:p w14:paraId="096D124F">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呼称高18米</w:t>
                  </w:r>
                </w:p>
              </w:tc>
              <w:tc>
                <w:tcPr>
                  <w:tcW w:w="1971" w:type="dxa"/>
                  <w:vAlign w:val="center"/>
                </w:tcPr>
                <w:p w14:paraId="4269CBF5">
                  <w:pPr>
                    <w:pStyle w:val="17"/>
                    <w:keepNext w:val="0"/>
                    <w:keepLines w:val="0"/>
                    <w:pageBreakBefore w:val="0"/>
                    <w:widowControl w:val="0"/>
                    <w:kinsoku/>
                    <w:wordWrap/>
                    <w:overflowPunct/>
                    <w:topLinePunct w:val="0"/>
                    <w:autoSpaceDE/>
                    <w:autoSpaceDN/>
                    <w:bidi w:val="0"/>
                    <w:spacing w:line="320" w:lineRule="exact"/>
                    <w:ind w:lef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r>
          </w:tbl>
          <w:p w14:paraId="3634D9AD">
            <w:pPr>
              <w:pStyle w:val="17"/>
              <w:spacing w:line="480" w:lineRule="exact"/>
              <w:ind w:left="422" w:hanging="422"/>
              <w:jc w:val="center"/>
              <w:rPr>
                <w:rFonts w:hint="eastAsia"/>
                <w:b/>
                <w:bCs/>
                <w:color w:val="000000" w:themeColor="text1"/>
                <w:szCs w:val="21"/>
                <w14:textFill>
                  <w14:solidFill>
                    <w14:schemeClr w14:val="tx1"/>
                  </w14:solidFill>
                </w14:textFill>
              </w:rPr>
            </w:pPr>
          </w:p>
          <w:p w14:paraId="349F3691">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本项目所有杆塔结构的钢材均应满足B级钢及以上的质量等级要求，即采用Q</w:t>
            </w:r>
            <w:r>
              <w:rPr>
                <w:rFonts w:hint="eastAsia"/>
                <w:color w:val="000000" w:themeColor="text1"/>
                <w:kern w:val="2"/>
                <w:szCs w:val="21"/>
                <w:lang w:val="en-US" w:eastAsia="zh-CN"/>
                <w14:textFill>
                  <w14:solidFill>
                    <w14:schemeClr w14:val="tx1"/>
                  </w14:solidFill>
                </w14:textFill>
              </w:rPr>
              <w:t>235</w:t>
            </w:r>
            <w:r>
              <w:rPr>
                <w:rFonts w:hint="eastAsia"/>
                <w:color w:val="000000" w:themeColor="text1"/>
                <w:kern w:val="2"/>
                <w:szCs w:val="21"/>
                <w14:textFill>
                  <w14:solidFill>
                    <w14:schemeClr w14:val="tx1"/>
                  </w14:solidFill>
                </w14:textFill>
              </w:rPr>
              <w:t>B高强钢、Q355B和Q</w:t>
            </w:r>
            <w:r>
              <w:rPr>
                <w:rFonts w:hint="eastAsia"/>
                <w:color w:val="000000" w:themeColor="text1"/>
                <w:kern w:val="2"/>
                <w:szCs w:val="21"/>
                <w:lang w:val="en-US" w:eastAsia="zh-CN"/>
                <w14:textFill>
                  <w14:solidFill>
                    <w14:schemeClr w14:val="tx1"/>
                  </w14:solidFill>
                </w14:textFill>
              </w:rPr>
              <w:t>420</w:t>
            </w:r>
            <w:r>
              <w:rPr>
                <w:rFonts w:hint="eastAsia"/>
                <w:color w:val="000000" w:themeColor="text1"/>
                <w:kern w:val="2"/>
                <w:szCs w:val="21"/>
                <w14:textFill>
                  <w14:solidFill>
                    <w14:schemeClr w14:val="tx1"/>
                  </w14:solidFill>
                </w14:textFill>
              </w:rPr>
              <w:t>B热轧等边角钢。本工程铁塔连接螺栓采用6.8级和8.8级螺栓，焊条采用E55型、E50型、E43型焊条三种。</w:t>
            </w:r>
          </w:p>
          <w:p w14:paraId="76D2FA46">
            <w:pPr>
              <w:pStyle w:val="17"/>
              <w:spacing w:line="480" w:lineRule="exact"/>
              <w:ind w:left="0" w:firstLine="422" w:firstLineChars="200"/>
              <w:rPr>
                <w:b/>
                <w:bCs/>
                <w:color w:val="000000" w:themeColor="text1"/>
                <w:kern w:val="2"/>
                <w:szCs w:val="21"/>
                <w14:textFill>
                  <w14:solidFill>
                    <w14:schemeClr w14:val="tx1"/>
                  </w14:solidFill>
                </w14:textFill>
              </w:rPr>
            </w:pPr>
            <w:r>
              <w:rPr>
                <w:rFonts w:hint="eastAsia"/>
                <w:b/>
                <w:bCs/>
                <w:color w:val="000000" w:themeColor="text1"/>
                <w:kern w:val="2"/>
                <w:szCs w:val="21"/>
                <w14:textFill>
                  <w14:solidFill>
                    <w14:schemeClr w14:val="tx1"/>
                  </w14:solidFill>
                </w14:textFill>
              </w:rPr>
              <w:t>2、导线和地线</w:t>
            </w:r>
          </w:p>
          <w:p w14:paraId="7ADAAF88">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①导线的选择</w:t>
            </w:r>
          </w:p>
          <w:p w14:paraId="2E1940C2">
            <w:pPr>
              <w:pStyle w:val="17"/>
              <w:spacing w:line="480" w:lineRule="exact"/>
              <w:ind w:left="0" w:firstLine="420" w:firstLineChars="200"/>
              <w:rPr>
                <w:color w:val="000000" w:themeColor="text1"/>
                <w:kern w:val="2"/>
                <w:szCs w:val="21"/>
                <w14:textFill>
                  <w14:solidFill>
                    <w14:schemeClr w14:val="tx1"/>
                  </w14:solidFill>
                </w14:textFill>
              </w:rPr>
            </w:pPr>
            <w:r>
              <w:rPr>
                <w:color w:val="000000" w:themeColor="text1"/>
                <w:kern w:val="2"/>
                <w:szCs w:val="21"/>
                <w14:textFill>
                  <w14:solidFill>
                    <w14:schemeClr w14:val="tx1"/>
                  </w14:solidFill>
                </w14:textFill>
              </w:rPr>
              <w:t>根据系统设计提供的资料，本工程220kV送出线路每相导线采用</w:t>
            </w:r>
            <w:r>
              <w:rPr>
                <w:rFonts w:hint="eastAsia"/>
                <w:color w:val="000000" w:themeColor="text1"/>
                <w:kern w:val="2"/>
                <w:szCs w:val="21"/>
                <w14:textFill>
                  <w14:solidFill>
                    <w14:schemeClr w14:val="tx1"/>
                  </w14:solidFill>
                </w14:textFill>
              </w:rPr>
              <w:t>JL/G1A-</w:t>
            </w:r>
            <w:r>
              <w:rPr>
                <w:rFonts w:hint="eastAsia"/>
                <w:color w:val="000000" w:themeColor="text1"/>
                <w:kern w:val="2"/>
                <w:szCs w:val="21"/>
                <w:lang w:val="en-US" w:eastAsia="zh-CN"/>
                <w14:textFill>
                  <w14:solidFill>
                    <w14:schemeClr w14:val="tx1"/>
                  </w14:solidFill>
                </w14:textFill>
              </w:rPr>
              <w:t>240</w:t>
            </w:r>
            <w:r>
              <w:rPr>
                <w:rFonts w:hint="eastAsia"/>
                <w:color w:val="000000" w:themeColor="text1"/>
                <w:kern w:val="2"/>
                <w:szCs w:val="21"/>
                <w14:textFill>
                  <w14:solidFill>
                    <w14:schemeClr w14:val="tx1"/>
                  </w14:solidFill>
                </w14:textFill>
              </w:rPr>
              <w:t>/</w:t>
            </w:r>
            <w:r>
              <w:rPr>
                <w:rFonts w:hint="eastAsia"/>
                <w:color w:val="000000" w:themeColor="text1"/>
                <w:kern w:val="2"/>
                <w:szCs w:val="21"/>
                <w:lang w:val="en-US" w:eastAsia="zh-CN"/>
                <w14:textFill>
                  <w14:solidFill>
                    <w14:schemeClr w14:val="tx1"/>
                  </w14:solidFill>
                </w14:textFill>
              </w:rPr>
              <w:t>30</w:t>
            </w:r>
            <w:r>
              <w:rPr>
                <w:rFonts w:hint="eastAsia"/>
                <w:color w:val="000000" w:themeColor="text1"/>
                <w:kern w:val="2"/>
                <w:szCs w:val="21"/>
                <w14:textFill>
                  <w14:solidFill>
                    <w14:schemeClr w14:val="tx1"/>
                  </w14:solidFill>
                </w14:textFill>
              </w:rPr>
              <w:t xml:space="preserve"> 钢芯铝绞线</w:t>
            </w:r>
            <w:r>
              <w:rPr>
                <w:color w:val="000000" w:themeColor="text1"/>
                <w:kern w:val="2"/>
                <w:szCs w:val="21"/>
                <w14:textFill>
                  <w14:solidFill>
                    <w14:schemeClr w14:val="tx1"/>
                  </w14:solidFill>
                </w14:textFill>
              </w:rPr>
              <w:t>。</w:t>
            </w:r>
          </w:p>
          <w:p w14:paraId="2EDF5247">
            <w:pPr>
              <w:pStyle w:val="17"/>
              <w:spacing w:line="480" w:lineRule="exact"/>
              <w:ind w:left="422" w:hanging="422"/>
              <w:jc w:val="center"/>
              <w:rPr>
                <w:color w:val="000000" w:themeColor="text1"/>
                <w:kern w:val="2"/>
                <w:szCs w:val="21"/>
                <w14:textFill>
                  <w14:solidFill>
                    <w14:schemeClr w14:val="tx1"/>
                  </w14:solidFill>
                </w14:textFill>
              </w:rPr>
            </w:pPr>
            <w:r>
              <w:rPr>
                <w:rFonts w:hint="eastAsia"/>
                <w:b/>
                <w:bCs/>
                <w:color w:val="000000" w:themeColor="text1"/>
                <w:szCs w:val="21"/>
                <w14:textFill>
                  <w14:solidFill>
                    <w14:schemeClr w14:val="tx1"/>
                  </w14:solidFill>
                </w14:textFill>
              </w:rPr>
              <w:t>表</w:t>
            </w:r>
            <w:r>
              <w:rPr>
                <w:b/>
                <w:bCs/>
                <w:color w:val="000000" w:themeColor="text1"/>
                <w:szCs w:val="21"/>
                <w14:textFill>
                  <w14:solidFill>
                    <w14:schemeClr w14:val="tx1"/>
                  </w14:solidFill>
                </w14:textFill>
              </w:rPr>
              <w:t>2-</w:t>
            </w:r>
            <w:r>
              <w:rPr>
                <w:rFonts w:hint="eastAsia"/>
                <w:b/>
                <w:bCs/>
                <w:color w:val="000000" w:themeColor="text1"/>
                <w:szCs w:val="21"/>
                <w:lang w:val="en-US" w:eastAsia="zh-CN"/>
                <w14:textFill>
                  <w14:solidFill>
                    <w14:schemeClr w14:val="tx1"/>
                  </w14:solidFill>
                </w14:textFill>
              </w:rPr>
              <w:t>4</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本工程导线的物理性质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3"/>
              <w:gridCol w:w="2624"/>
              <w:gridCol w:w="2626"/>
            </w:tblGrid>
            <w:tr w14:paraId="2AFE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7" w:type="dxa"/>
                  <w:gridSpan w:val="2"/>
                  <w:vAlign w:val="center"/>
                </w:tcPr>
                <w:p w14:paraId="6FDD2B99">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导线型号</w:t>
                  </w:r>
                </w:p>
              </w:tc>
              <w:tc>
                <w:tcPr>
                  <w:tcW w:w="2626" w:type="dxa"/>
                  <w:vMerge w:val="restart"/>
                  <w:vAlign w:val="center"/>
                </w:tcPr>
                <w:p w14:paraId="06BDD0C4">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kern w:val="2"/>
                      <w:szCs w:val="21"/>
                      <w14:textFill>
                        <w14:solidFill>
                          <w14:schemeClr w14:val="tx1"/>
                        </w14:solidFill>
                      </w14:textFill>
                    </w:rPr>
                    <w:t>JL/G1A-</w:t>
                  </w:r>
                  <w:r>
                    <w:rPr>
                      <w:rFonts w:hint="eastAsia"/>
                      <w:color w:val="000000" w:themeColor="text1"/>
                      <w:kern w:val="2"/>
                      <w:szCs w:val="21"/>
                      <w:lang w:val="en-US" w:eastAsia="zh-CN"/>
                      <w14:textFill>
                        <w14:solidFill>
                          <w14:schemeClr w14:val="tx1"/>
                        </w14:solidFill>
                      </w14:textFill>
                    </w:rPr>
                    <w:t>240</w:t>
                  </w:r>
                  <w:r>
                    <w:rPr>
                      <w:rFonts w:hint="eastAsia"/>
                      <w:color w:val="000000" w:themeColor="text1"/>
                      <w:kern w:val="2"/>
                      <w:szCs w:val="21"/>
                      <w14:textFill>
                        <w14:solidFill>
                          <w14:schemeClr w14:val="tx1"/>
                        </w14:solidFill>
                      </w14:textFill>
                    </w:rPr>
                    <w:t>/</w:t>
                  </w:r>
                  <w:r>
                    <w:rPr>
                      <w:rFonts w:hint="eastAsia"/>
                      <w:color w:val="000000" w:themeColor="text1"/>
                      <w:kern w:val="2"/>
                      <w:szCs w:val="21"/>
                      <w:lang w:val="en-US" w:eastAsia="zh-CN"/>
                      <w14:textFill>
                        <w14:solidFill>
                          <w14:schemeClr w14:val="tx1"/>
                        </w14:solidFill>
                      </w14:textFill>
                    </w:rPr>
                    <w:t>30</w:t>
                  </w:r>
                  <w:r>
                    <w:rPr>
                      <w:rFonts w:hint="eastAsia"/>
                      <w:color w:val="000000" w:themeColor="text1"/>
                      <w:kern w:val="2"/>
                      <w:szCs w:val="21"/>
                      <w14:textFill>
                        <w14:solidFill>
                          <w14:schemeClr w14:val="tx1"/>
                        </w14:solidFill>
                      </w14:textFill>
                    </w:rPr>
                    <w:t xml:space="preserve"> 钢芯铝绞线</w:t>
                  </w:r>
                </w:p>
              </w:tc>
            </w:tr>
            <w:tr w14:paraId="2910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7" w:type="dxa"/>
                  <w:gridSpan w:val="2"/>
                  <w:vAlign w:val="center"/>
                </w:tcPr>
                <w:p w14:paraId="34776529">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项目</w:t>
                  </w:r>
                </w:p>
              </w:tc>
              <w:tc>
                <w:tcPr>
                  <w:tcW w:w="2626" w:type="dxa"/>
                  <w:vMerge w:val="continue"/>
                  <w:vAlign w:val="center"/>
                </w:tcPr>
                <w:p w14:paraId="52DAE9AB">
                  <w:pPr>
                    <w:pStyle w:val="17"/>
                    <w:spacing w:line="320" w:lineRule="exact"/>
                    <w:ind w:left="0" w:firstLine="0" w:firstLineChars="0"/>
                    <w:jc w:val="center"/>
                    <w:rPr>
                      <w:color w:val="000000" w:themeColor="text1"/>
                      <w:szCs w:val="21"/>
                      <w14:textFill>
                        <w14:solidFill>
                          <w14:schemeClr w14:val="tx1"/>
                        </w14:solidFill>
                      </w14:textFill>
                    </w:rPr>
                  </w:pPr>
                </w:p>
              </w:tc>
            </w:tr>
            <w:tr w14:paraId="339E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23" w:type="dxa"/>
                  <w:vMerge w:val="restart"/>
                  <w:vAlign w:val="center"/>
                </w:tcPr>
                <w:p w14:paraId="5C0BF51E">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股数/股径（mm）</w:t>
                  </w:r>
                </w:p>
              </w:tc>
              <w:tc>
                <w:tcPr>
                  <w:tcW w:w="2624" w:type="dxa"/>
                  <w:vAlign w:val="center"/>
                </w:tcPr>
                <w:p w14:paraId="1E5C065C">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铝单线</w:t>
                  </w:r>
                </w:p>
              </w:tc>
              <w:tc>
                <w:tcPr>
                  <w:tcW w:w="2626" w:type="dxa"/>
                  <w:vAlign w:val="center"/>
                </w:tcPr>
                <w:p w14:paraId="57246E0A">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24/3.6</w:t>
                  </w:r>
                </w:p>
              </w:tc>
            </w:tr>
            <w:tr w14:paraId="0AD0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23" w:type="dxa"/>
                  <w:vMerge w:val="continue"/>
                  <w:vAlign w:val="center"/>
                </w:tcPr>
                <w:p w14:paraId="316F668D">
                  <w:pPr>
                    <w:pStyle w:val="17"/>
                    <w:spacing w:line="320" w:lineRule="exact"/>
                    <w:ind w:left="0" w:firstLine="0" w:firstLineChars="0"/>
                    <w:jc w:val="center"/>
                    <w:rPr>
                      <w:b/>
                      <w:bCs/>
                      <w:color w:val="000000" w:themeColor="text1"/>
                      <w:szCs w:val="21"/>
                      <w14:textFill>
                        <w14:solidFill>
                          <w14:schemeClr w14:val="tx1"/>
                        </w14:solidFill>
                      </w14:textFill>
                    </w:rPr>
                  </w:pPr>
                </w:p>
              </w:tc>
              <w:tc>
                <w:tcPr>
                  <w:tcW w:w="2624" w:type="dxa"/>
                  <w:vAlign w:val="center"/>
                </w:tcPr>
                <w:p w14:paraId="1556DB4D">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镀锌钢线</w:t>
                  </w:r>
                </w:p>
              </w:tc>
              <w:tc>
                <w:tcPr>
                  <w:tcW w:w="2626" w:type="dxa"/>
                  <w:vAlign w:val="center"/>
                </w:tcPr>
                <w:p w14:paraId="5E710BA3">
                  <w:pPr>
                    <w:pStyle w:val="17"/>
                    <w:spacing w:line="320" w:lineRule="exact"/>
                    <w:ind w:left="0"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7/2.</w:t>
                  </w:r>
                  <w:r>
                    <w:rPr>
                      <w:rFonts w:hint="eastAsia"/>
                      <w:color w:val="000000" w:themeColor="text1"/>
                      <w:szCs w:val="21"/>
                      <w:lang w:val="en-US" w:eastAsia="zh-CN"/>
                      <w14:textFill>
                        <w14:solidFill>
                          <w14:schemeClr w14:val="tx1"/>
                        </w14:solidFill>
                      </w14:textFill>
                    </w:rPr>
                    <w:t>4</w:t>
                  </w:r>
                </w:p>
              </w:tc>
            </w:tr>
            <w:tr w14:paraId="3343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23" w:type="dxa"/>
                  <w:vMerge w:val="restart"/>
                  <w:vAlign w:val="center"/>
                </w:tcPr>
                <w:p w14:paraId="63CF60F5">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截面积（mm</w:t>
                  </w:r>
                  <w:r>
                    <w:rPr>
                      <w:rFonts w:hint="eastAsia"/>
                      <w:b/>
                      <w:bCs/>
                      <w:color w:val="000000" w:themeColor="text1"/>
                      <w:szCs w:val="21"/>
                      <w:vertAlign w:val="superscript"/>
                      <w14:textFill>
                        <w14:solidFill>
                          <w14:schemeClr w14:val="tx1"/>
                        </w14:solidFill>
                      </w14:textFill>
                    </w:rPr>
                    <w:t>2</w:t>
                  </w:r>
                  <w:r>
                    <w:rPr>
                      <w:rFonts w:hint="eastAsia"/>
                      <w:b/>
                      <w:bCs/>
                      <w:color w:val="000000" w:themeColor="text1"/>
                      <w:szCs w:val="21"/>
                      <w14:textFill>
                        <w14:solidFill>
                          <w14:schemeClr w14:val="tx1"/>
                        </w14:solidFill>
                      </w14:textFill>
                    </w:rPr>
                    <w:t>）</w:t>
                  </w:r>
                </w:p>
              </w:tc>
              <w:tc>
                <w:tcPr>
                  <w:tcW w:w="2624" w:type="dxa"/>
                  <w:vAlign w:val="center"/>
                </w:tcPr>
                <w:p w14:paraId="75144387">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铝</w:t>
                  </w:r>
                </w:p>
              </w:tc>
              <w:tc>
                <w:tcPr>
                  <w:tcW w:w="2626" w:type="dxa"/>
                  <w:vAlign w:val="center"/>
                </w:tcPr>
                <w:p w14:paraId="11A23078">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244</w:t>
                  </w:r>
                </w:p>
              </w:tc>
            </w:tr>
            <w:tr w14:paraId="046A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23" w:type="dxa"/>
                  <w:vMerge w:val="continue"/>
                  <w:vAlign w:val="center"/>
                </w:tcPr>
                <w:p w14:paraId="7E945D08">
                  <w:pPr>
                    <w:pStyle w:val="17"/>
                    <w:spacing w:line="320" w:lineRule="exact"/>
                    <w:ind w:left="0" w:firstLine="0" w:firstLineChars="0"/>
                    <w:jc w:val="center"/>
                    <w:rPr>
                      <w:b/>
                      <w:bCs/>
                      <w:color w:val="000000" w:themeColor="text1"/>
                      <w:szCs w:val="21"/>
                      <w14:textFill>
                        <w14:solidFill>
                          <w14:schemeClr w14:val="tx1"/>
                        </w14:solidFill>
                      </w14:textFill>
                    </w:rPr>
                  </w:pPr>
                </w:p>
              </w:tc>
              <w:tc>
                <w:tcPr>
                  <w:tcW w:w="2624" w:type="dxa"/>
                  <w:vAlign w:val="center"/>
                </w:tcPr>
                <w:p w14:paraId="563C14F8">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钢</w:t>
                  </w:r>
                </w:p>
              </w:tc>
              <w:tc>
                <w:tcPr>
                  <w:tcW w:w="2626" w:type="dxa"/>
                  <w:vAlign w:val="center"/>
                </w:tcPr>
                <w:p w14:paraId="46AD3947">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31.7</w:t>
                  </w:r>
                </w:p>
              </w:tc>
            </w:tr>
            <w:tr w14:paraId="3E05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23" w:type="dxa"/>
                  <w:vMerge w:val="continue"/>
                  <w:vAlign w:val="center"/>
                </w:tcPr>
                <w:p w14:paraId="524FE16F">
                  <w:pPr>
                    <w:pStyle w:val="17"/>
                    <w:spacing w:line="320" w:lineRule="exact"/>
                    <w:ind w:left="0" w:firstLine="0" w:firstLineChars="0"/>
                    <w:jc w:val="center"/>
                    <w:rPr>
                      <w:b/>
                      <w:bCs/>
                      <w:color w:val="000000" w:themeColor="text1"/>
                      <w:szCs w:val="21"/>
                      <w14:textFill>
                        <w14:solidFill>
                          <w14:schemeClr w14:val="tx1"/>
                        </w14:solidFill>
                      </w14:textFill>
                    </w:rPr>
                  </w:pPr>
                </w:p>
              </w:tc>
              <w:tc>
                <w:tcPr>
                  <w:tcW w:w="2624" w:type="dxa"/>
                  <w:vAlign w:val="center"/>
                </w:tcPr>
                <w:p w14:paraId="52DAFE40">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总面积</w:t>
                  </w:r>
                </w:p>
              </w:tc>
              <w:tc>
                <w:tcPr>
                  <w:tcW w:w="2626" w:type="dxa"/>
                  <w:vAlign w:val="center"/>
                </w:tcPr>
                <w:p w14:paraId="025000D6">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276</w:t>
                  </w:r>
                </w:p>
              </w:tc>
            </w:tr>
            <w:tr w14:paraId="57CE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7" w:type="dxa"/>
                  <w:gridSpan w:val="2"/>
                  <w:vAlign w:val="center"/>
                </w:tcPr>
                <w:p w14:paraId="425EEDC6">
                  <w:pPr>
                    <w:pStyle w:val="17"/>
                    <w:spacing w:line="320" w:lineRule="exact"/>
                    <w:ind w:lef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外径（mm）</w:t>
                  </w:r>
                </w:p>
              </w:tc>
              <w:tc>
                <w:tcPr>
                  <w:tcW w:w="2626" w:type="dxa"/>
                  <w:vAlign w:val="center"/>
                </w:tcPr>
                <w:p w14:paraId="5514EB11">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21.6</w:t>
                  </w:r>
                </w:p>
              </w:tc>
            </w:tr>
            <w:tr w14:paraId="7878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7" w:type="dxa"/>
                  <w:gridSpan w:val="2"/>
                  <w:vAlign w:val="center"/>
                </w:tcPr>
                <w:p w14:paraId="4BADC359">
                  <w:pPr>
                    <w:pStyle w:val="17"/>
                    <w:spacing w:line="320" w:lineRule="exact"/>
                    <w:ind w:lef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单位重量（kg/km）</w:t>
                  </w:r>
                </w:p>
              </w:tc>
              <w:tc>
                <w:tcPr>
                  <w:tcW w:w="2626" w:type="dxa"/>
                  <w:vAlign w:val="center"/>
                </w:tcPr>
                <w:p w14:paraId="7E8D45BA">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921.5</w:t>
                  </w:r>
                </w:p>
              </w:tc>
            </w:tr>
            <w:tr w14:paraId="069B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7" w:type="dxa"/>
                  <w:gridSpan w:val="2"/>
                  <w:vAlign w:val="center"/>
                </w:tcPr>
                <w:p w14:paraId="728E35D1">
                  <w:pPr>
                    <w:pStyle w:val="17"/>
                    <w:spacing w:line="320" w:lineRule="exact"/>
                    <w:ind w:lef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线膨胀系数（1/℃）</w:t>
                  </w:r>
                </w:p>
              </w:tc>
              <w:tc>
                <w:tcPr>
                  <w:tcW w:w="2626" w:type="dxa"/>
                  <w:vAlign w:val="center"/>
                </w:tcPr>
                <w:p w14:paraId="6001A545">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19.4</w:t>
                  </w:r>
                  <w:r>
                    <w:rPr>
                      <w:rFonts w:hint="eastAsia"/>
                      <w:color w:val="000000" w:themeColor="text1"/>
                      <w:szCs w:val="21"/>
                      <w14:textFill>
                        <w14:solidFill>
                          <w14:schemeClr w14:val="tx1"/>
                        </w14:solidFill>
                      </w14:textFill>
                    </w:rPr>
                    <w:t>×10</w:t>
                  </w:r>
                  <w:r>
                    <w:rPr>
                      <w:rFonts w:hint="eastAsia"/>
                      <w:color w:val="000000" w:themeColor="text1"/>
                      <w:szCs w:val="21"/>
                      <w:vertAlign w:val="superscript"/>
                      <w14:textFill>
                        <w14:solidFill>
                          <w14:schemeClr w14:val="tx1"/>
                        </w14:solidFill>
                      </w14:textFill>
                    </w:rPr>
                    <w:t>-6</w:t>
                  </w:r>
                </w:p>
              </w:tc>
            </w:tr>
            <w:tr w14:paraId="6BF2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247" w:type="dxa"/>
                  <w:gridSpan w:val="2"/>
                  <w:vAlign w:val="center"/>
                </w:tcPr>
                <w:p w14:paraId="46B27DE5">
                  <w:pPr>
                    <w:pStyle w:val="17"/>
                    <w:spacing w:line="320" w:lineRule="exact"/>
                    <w:ind w:lef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弹性模量（N/mm</w:t>
                  </w:r>
                  <w:r>
                    <w:rPr>
                      <w:b/>
                      <w:bCs/>
                      <w:color w:val="000000" w:themeColor="text1"/>
                      <w:szCs w:val="21"/>
                      <w:vertAlign w:val="superscript"/>
                      <w14:textFill>
                        <w14:solidFill>
                          <w14:schemeClr w14:val="tx1"/>
                        </w14:solidFill>
                      </w14:textFill>
                    </w:rPr>
                    <w:t>2</w:t>
                  </w:r>
                  <w:r>
                    <w:rPr>
                      <w:b/>
                      <w:bCs/>
                      <w:color w:val="000000" w:themeColor="text1"/>
                      <w:szCs w:val="21"/>
                      <w14:textFill>
                        <w14:solidFill>
                          <w14:schemeClr w14:val="tx1"/>
                        </w14:solidFill>
                      </w14:textFill>
                    </w:rPr>
                    <w:t>）</w:t>
                  </w:r>
                </w:p>
              </w:tc>
              <w:tc>
                <w:tcPr>
                  <w:tcW w:w="2626" w:type="dxa"/>
                  <w:vAlign w:val="center"/>
                </w:tcPr>
                <w:p w14:paraId="7861E615">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70500</w:t>
                  </w:r>
                </w:p>
              </w:tc>
            </w:tr>
            <w:tr w14:paraId="4B4B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7" w:type="dxa"/>
                  <w:gridSpan w:val="2"/>
                  <w:vAlign w:val="center"/>
                </w:tcPr>
                <w:p w14:paraId="3E410836">
                  <w:pPr>
                    <w:pStyle w:val="17"/>
                    <w:spacing w:line="320" w:lineRule="exact"/>
                    <w:ind w:lef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计算拉断力（KN）</w:t>
                  </w:r>
                </w:p>
              </w:tc>
              <w:tc>
                <w:tcPr>
                  <w:tcW w:w="2626" w:type="dxa"/>
                  <w:vAlign w:val="center"/>
                </w:tcPr>
                <w:p w14:paraId="12B53A08">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75190</w:t>
                  </w:r>
                </w:p>
              </w:tc>
            </w:tr>
          </w:tbl>
          <w:p w14:paraId="113A693D">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②地线的选择</w:t>
            </w:r>
          </w:p>
          <w:p w14:paraId="3568B21F">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本工程全线架设双地线，根据系统通信规划，两根地线架设</w:t>
            </w:r>
            <w:r>
              <w:rPr>
                <w:rFonts w:hint="default"/>
                <w:color w:val="000000" w:themeColor="text1"/>
                <w:szCs w:val="21"/>
                <w:lang w:val="en-US" w:eastAsia="zh-CN"/>
                <w14:textFill>
                  <w14:solidFill>
                    <w14:schemeClr w14:val="tx1"/>
                  </w14:solidFill>
                </w14:textFill>
              </w:rPr>
              <w:t>24</w:t>
            </w:r>
            <w:r>
              <w:rPr>
                <w:rFonts w:hint="eastAsia"/>
                <w:color w:val="000000" w:themeColor="text1"/>
                <w:szCs w:val="21"/>
                <w:lang w:val="en-US" w:eastAsia="zh-CN"/>
                <w14:textFill>
                  <w14:solidFill>
                    <w14:schemeClr w14:val="tx1"/>
                  </w14:solidFill>
                </w14:textFill>
              </w:rPr>
              <w:t>芯</w:t>
            </w:r>
            <w:r>
              <w:rPr>
                <w:rFonts w:hint="default"/>
                <w:color w:val="000000" w:themeColor="text1"/>
                <w:szCs w:val="21"/>
                <w:lang w:val="en-US" w:eastAsia="zh-CN"/>
                <w14:textFill>
                  <w14:solidFill>
                    <w14:schemeClr w14:val="tx1"/>
                  </w14:solidFill>
                </w14:textFill>
              </w:rPr>
              <w:t>OPGW</w:t>
            </w:r>
            <w:r>
              <w:rPr>
                <w:rFonts w:hint="eastAsia"/>
                <w:color w:val="000000" w:themeColor="text1"/>
                <w:szCs w:val="21"/>
                <w:lang w:val="en-US" w:eastAsia="zh-CN"/>
                <w14:textFill>
                  <w14:solidFill>
                    <w14:schemeClr w14:val="tx1"/>
                  </w14:solidFill>
                </w14:textFill>
              </w:rPr>
              <w:t>光缆，形成光纤通路。</w:t>
            </w:r>
          </w:p>
          <w:p w14:paraId="14544B4D">
            <w:pPr>
              <w:pStyle w:val="17"/>
              <w:spacing w:line="480" w:lineRule="exact"/>
              <w:ind w:left="422" w:hanging="422"/>
              <w:jc w:val="center"/>
              <w:rPr>
                <w:color w:val="000000" w:themeColor="text1"/>
                <w:kern w:val="2"/>
                <w:szCs w:val="21"/>
                <w14:textFill>
                  <w14:solidFill>
                    <w14:schemeClr w14:val="tx1"/>
                  </w14:solidFill>
                </w14:textFill>
              </w:rPr>
            </w:pPr>
            <w:r>
              <w:rPr>
                <w:rFonts w:hint="eastAsia"/>
                <w:b/>
                <w:bCs/>
                <w:color w:val="000000" w:themeColor="text1"/>
                <w:szCs w:val="21"/>
                <w14:textFill>
                  <w14:solidFill>
                    <w14:schemeClr w14:val="tx1"/>
                  </w14:solidFill>
                </w14:textFill>
              </w:rPr>
              <w:t>表</w:t>
            </w:r>
            <w:r>
              <w:rPr>
                <w:b/>
                <w:bCs/>
                <w:color w:val="000000" w:themeColor="text1"/>
                <w:szCs w:val="21"/>
                <w14:textFill>
                  <w14:solidFill>
                    <w14:schemeClr w14:val="tx1"/>
                  </w14:solidFill>
                </w14:textFill>
              </w:rPr>
              <w:t>2-</w:t>
            </w:r>
            <w:r>
              <w:rPr>
                <w:rFonts w:hint="eastAsia"/>
                <w:b/>
                <w:bCs/>
                <w:color w:val="000000" w:themeColor="text1"/>
                <w:szCs w:val="21"/>
                <w:lang w:val="en-US" w:eastAsia="zh-CN"/>
                <w14:textFill>
                  <w14:solidFill>
                    <w14:schemeClr w14:val="tx1"/>
                  </w14:solidFill>
                </w14:textFill>
              </w:rPr>
              <w:t>5</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本工程</w:t>
            </w:r>
            <w:r>
              <w:rPr>
                <w:rFonts w:hint="eastAsia"/>
                <w:b/>
                <w:bCs/>
                <w:color w:val="000000" w:themeColor="text1"/>
                <w:szCs w:val="21"/>
                <w:lang w:val="en-US" w:eastAsia="zh-CN"/>
                <w14:textFill>
                  <w14:solidFill>
                    <w14:schemeClr w14:val="tx1"/>
                  </w14:solidFill>
                </w14:textFill>
              </w:rPr>
              <w:t>地</w:t>
            </w:r>
            <w:r>
              <w:rPr>
                <w:rFonts w:hint="eastAsia"/>
                <w:b/>
                <w:bCs/>
                <w:color w:val="000000" w:themeColor="text1"/>
                <w:szCs w:val="21"/>
                <w14:textFill>
                  <w14:solidFill>
                    <w14:schemeClr w14:val="tx1"/>
                  </w14:solidFill>
                </w14:textFill>
              </w:rPr>
              <w:t>线的物理性质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3285"/>
              <w:gridCol w:w="1410"/>
              <w:gridCol w:w="1744"/>
            </w:tblGrid>
            <w:tr w14:paraId="0A44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74DE67CE">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序号</w:t>
                  </w:r>
                </w:p>
              </w:tc>
              <w:tc>
                <w:tcPr>
                  <w:tcW w:w="3285" w:type="dxa"/>
                  <w:vAlign w:val="center"/>
                </w:tcPr>
                <w:p w14:paraId="679263FA">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技术参数项目</w:t>
                  </w:r>
                </w:p>
              </w:tc>
              <w:tc>
                <w:tcPr>
                  <w:tcW w:w="1410" w:type="dxa"/>
                  <w:vAlign w:val="center"/>
                </w:tcPr>
                <w:p w14:paraId="5AA549E7">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单位</w:t>
                  </w:r>
                </w:p>
              </w:tc>
              <w:tc>
                <w:tcPr>
                  <w:tcW w:w="1744" w:type="dxa"/>
                  <w:vAlign w:val="center"/>
                </w:tcPr>
                <w:p w14:paraId="7552F369">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技术参数值</w:t>
                  </w:r>
                </w:p>
              </w:tc>
            </w:tr>
            <w:tr w14:paraId="60F6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35522C61">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3285" w:type="dxa"/>
                  <w:vAlign w:val="center"/>
                </w:tcPr>
                <w:p w14:paraId="55144107">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型号</w:t>
                  </w:r>
                </w:p>
              </w:tc>
              <w:tc>
                <w:tcPr>
                  <w:tcW w:w="1410" w:type="dxa"/>
                  <w:vAlign w:val="center"/>
                </w:tcPr>
                <w:p w14:paraId="052253D2">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744" w:type="dxa"/>
                  <w:vAlign w:val="center"/>
                </w:tcPr>
                <w:p w14:paraId="734F30A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OPGW-13-100-1</w:t>
                  </w:r>
                </w:p>
              </w:tc>
            </w:tr>
            <w:tr w14:paraId="4A83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709ADED4">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p>
              </w:tc>
              <w:tc>
                <w:tcPr>
                  <w:tcW w:w="3285" w:type="dxa"/>
                  <w:vAlign w:val="center"/>
                </w:tcPr>
                <w:p w14:paraId="5D2E9402">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光纤类型</w:t>
                  </w:r>
                </w:p>
              </w:tc>
              <w:tc>
                <w:tcPr>
                  <w:tcW w:w="1410" w:type="dxa"/>
                  <w:vAlign w:val="center"/>
                </w:tcPr>
                <w:p w14:paraId="5572AF01">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G.652</w:t>
                  </w:r>
                </w:p>
              </w:tc>
              <w:tc>
                <w:tcPr>
                  <w:tcW w:w="1744" w:type="dxa"/>
                  <w:vAlign w:val="center"/>
                </w:tcPr>
                <w:p w14:paraId="24B2E7D3">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G.652</w:t>
                  </w:r>
                </w:p>
              </w:tc>
            </w:tr>
            <w:tr w14:paraId="318E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5254EC32">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p>
              </w:tc>
              <w:tc>
                <w:tcPr>
                  <w:tcW w:w="3285" w:type="dxa"/>
                  <w:vAlign w:val="center"/>
                </w:tcPr>
                <w:p w14:paraId="24BE6EC1">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光纤芯数</w:t>
                  </w:r>
                </w:p>
              </w:tc>
              <w:tc>
                <w:tcPr>
                  <w:tcW w:w="1410" w:type="dxa"/>
                  <w:vAlign w:val="center"/>
                </w:tcPr>
                <w:p w14:paraId="5F68578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芯</w:t>
                  </w:r>
                </w:p>
              </w:tc>
              <w:tc>
                <w:tcPr>
                  <w:tcW w:w="1744" w:type="dxa"/>
                  <w:vAlign w:val="center"/>
                </w:tcPr>
                <w:p w14:paraId="23678A66">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24</w:t>
                  </w:r>
                </w:p>
              </w:tc>
            </w:tr>
            <w:tr w14:paraId="010E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1F00D7B3">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p>
              </w:tc>
              <w:tc>
                <w:tcPr>
                  <w:tcW w:w="3285" w:type="dxa"/>
                  <w:vAlign w:val="center"/>
                </w:tcPr>
                <w:p w14:paraId="38B041AA">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直径</w:t>
                  </w:r>
                </w:p>
              </w:tc>
              <w:tc>
                <w:tcPr>
                  <w:tcW w:w="1410" w:type="dxa"/>
                  <w:vAlign w:val="center"/>
                </w:tcPr>
                <w:p w14:paraId="3F7BB9B9">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mm</w:t>
                  </w:r>
                </w:p>
              </w:tc>
              <w:tc>
                <w:tcPr>
                  <w:tcW w:w="1744" w:type="dxa"/>
                  <w:vAlign w:val="center"/>
                </w:tcPr>
                <w:p w14:paraId="12B5CF6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13.2</w:t>
                  </w:r>
                </w:p>
              </w:tc>
            </w:tr>
            <w:tr w14:paraId="0550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7E11076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p>
              </w:tc>
              <w:tc>
                <w:tcPr>
                  <w:tcW w:w="3285" w:type="dxa"/>
                  <w:vAlign w:val="center"/>
                </w:tcPr>
                <w:p w14:paraId="158B8E19">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承载截面积</w:t>
                  </w:r>
                </w:p>
              </w:tc>
              <w:tc>
                <w:tcPr>
                  <w:tcW w:w="1410" w:type="dxa"/>
                  <w:vAlign w:val="center"/>
                </w:tcPr>
                <w:p w14:paraId="42D8136A">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mm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p>
              </w:tc>
              <w:tc>
                <w:tcPr>
                  <w:tcW w:w="1744" w:type="dxa"/>
                  <w:vAlign w:val="center"/>
                </w:tcPr>
                <w:p w14:paraId="5C035B62">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100</w:t>
                  </w:r>
                </w:p>
              </w:tc>
            </w:tr>
            <w:tr w14:paraId="65FF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486F620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w:t>
                  </w:r>
                </w:p>
              </w:tc>
              <w:tc>
                <w:tcPr>
                  <w:tcW w:w="3285" w:type="dxa"/>
                  <w:vAlign w:val="center"/>
                </w:tcPr>
                <w:p w14:paraId="77AAC11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单位重量</w:t>
                  </w:r>
                </w:p>
              </w:tc>
              <w:tc>
                <w:tcPr>
                  <w:tcW w:w="1410" w:type="dxa"/>
                  <w:vAlign w:val="center"/>
                </w:tcPr>
                <w:p w14:paraId="3EF73C1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kg/km</w:t>
                  </w:r>
                </w:p>
              </w:tc>
              <w:tc>
                <w:tcPr>
                  <w:tcW w:w="1744" w:type="dxa"/>
                  <w:vAlign w:val="center"/>
                </w:tcPr>
                <w:p w14:paraId="60AB3EA9">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674</w:t>
                  </w:r>
                </w:p>
              </w:tc>
            </w:tr>
            <w:tr w14:paraId="1D56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6BC5FC8B">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w:t>
                  </w:r>
                </w:p>
              </w:tc>
              <w:tc>
                <w:tcPr>
                  <w:tcW w:w="3285" w:type="dxa"/>
                  <w:vAlign w:val="center"/>
                </w:tcPr>
                <w:p w14:paraId="17EC3F97">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抗拉强度（RTS）</w:t>
                  </w:r>
                </w:p>
              </w:tc>
              <w:tc>
                <w:tcPr>
                  <w:tcW w:w="1410" w:type="dxa"/>
                  <w:vAlign w:val="center"/>
                </w:tcPr>
                <w:p w14:paraId="716C2C12">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kN</w:t>
                  </w:r>
                </w:p>
              </w:tc>
              <w:tc>
                <w:tcPr>
                  <w:tcW w:w="1744" w:type="dxa"/>
                  <w:vAlign w:val="center"/>
                </w:tcPr>
                <w:p w14:paraId="5791B1F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112.67</w:t>
                  </w:r>
                </w:p>
              </w:tc>
            </w:tr>
            <w:tr w14:paraId="6AAE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4A433F3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w:t>
                  </w:r>
                </w:p>
              </w:tc>
              <w:tc>
                <w:tcPr>
                  <w:tcW w:w="3285" w:type="dxa"/>
                  <w:vAlign w:val="center"/>
                </w:tcPr>
                <w:p w14:paraId="6D2C7CB6">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20℃直流电阻</w:t>
                  </w:r>
                </w:p>
              </w:tc>
              <w:tc>
                <w:tcPr>
                  <w:tcW w:w="1410" w:type="dxa"/>
                  <w:vAlign w:val="center"/>
                </w:tcPr>
                <w:p w14:paraId="13B226E1">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Ω/km</w:t>
                  </w:r>
                </w:p>
              </w:tc>
              <w:tc>
                <w:tcPr>
                  <w:tcW w:w="1744" w:type="dxa"/>
                  <w:vAlign w:val="center"/>
                </w:tcPr>
                <w:p w14:paraId="15B62635">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≤0.93</w:t>
                  </w:r>
                </w:p>
              </w:tc>
            </w:tr>
            <w:tr w14:paraId="362E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7EDCC42B">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9</w:t>
                  </w:r>
                </w:p>
              </w:tc>
              <w:tc>
                <w:tcPr>
                  <w:tcW w:w="3285" w:type="dxa"/>
                  <w:vAlign w:val="center"/>
                </w:tcPr>
                <w:p w14:paraId="617705F2">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短路电流容量（40~200℃，0.25s）</w:t>
                  </w:r>
                </w:p>
              </w:tc>
              <w:tc>
                <w:tcPr>
                  <w:tcW w:w="1410" w:type="dxa"/>
                  <w:vAlign w:val="center"/>
                </w:tcPr>
                <w:p w14:paraId="0AC78F9E">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kA2·s</w:t>
                  </w:r>
                </w:p>
              </w:tc>
              <w:tc>
                <w:tcPr>
                  <w:tcW w:w="1744" w:type="dxa"/>
                  <w:vAlign w:val="center"/>
                </w:tcPr>
                <w:p w14:paraId="4F9020A7">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≥50</w:t>
                  </w:r>
                </w:p>
              </w:tc>
            </w:tr>
            <w:tr w14:paraId="0E4A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118C7C4A">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w:t>
                  </w:r>
                </w:p>
              </w:tc>
              <w:tc>
                <w:tcPr>
                  <w:tcW w:w="3285" w:type="dxa"/>
                  <w:vAlign w:val="center"/>
                </w:tcPr>
                <w:p w14:paraId="3397EDC1">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最大使用张力</w:t>
                  </w:r>
                </w:p>
              </w:tc>
              <w:tc>
                <w:tcPr>
                  <w:tcW w:w="1410" w:type="dxa"/>
                  <w:vAlign w:val="center"/>
                </w:tcPr>
                <w:p w14:paraId="1B66FED6">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kN</w:t>
                  </w:r>
                </w:p>
              </w:tc>
              <w:tc>
                <w:tcPr>
                  <w:tcW w:w="1744" w:type="dxa"/>
                  <w:vAlign w:val="center"/>
                </w:tcPr>
                <w:p w14:paraId="61234EF8">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3129</w:t>
                  </w:r>
                </w:p>
              </w:tc>
            </w:tr>
            <w:tr w14:paraId="7F17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2" w:type="dxa"/>
                  <w:vAlign w:val="center"/>
                </w:tcPr>
                <w:p w14:paraId="5E83229E">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w:t>
                  </w:r>
                </w:p>
              </w:tc>
              <w:tc>
                <w:tcPr>
                  <w:tcW w:w="3285" w:type="dxa"/>
                  <w:vAlign w:val="center"/>
                </w:tcPr>
                <w:p w14:paraId="59B3E9FB">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安全系数</w:t>
                  </w:r>
                </w:p>
              </w:tc>
              <w:tc>
                <w:tcPr>
                  <w:tcW w:w="1410" w:type="dxa"/>
                  <w:vAlign w:val="center"/>
                </w:tcPr>
                <w:p w14:paraId="4197E58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44" w:type="dxa"/>
                  <w:vAlign w:val="center"/>
                </w:tcPr>
                <w:p w14:paraId="073BC83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3.6</w:t>
                  </w:r>
                </w:p>
              </w:tc>
            </w:tr>
          </w:tbl>
          <w:p w14:paraId="20116E24">
            <w:pPr>
              <w:pStyle w:val="17"/>
              <w:spacing w:line="480" w:lineRule="exact"/>
              <w:ind w:left="0" w:firstLine="422" w:firstLineChars="200"/>
              <w:rPr>
                <w:b/>
                <w:bCs/>
                <w:color w:val="000000" w:themeColor="text1"/>
                <w:kern w:val="2"/>
                <w:szCs w:val="21"/>
                <w14:textFill>
                  <w14:solidFill>
                    <w14:schemeClr w14:val="tx1"/>
                  </w14:solidFill>
                </w14:textFill>
              </w:rPr>
            </w:pPr>
            <w:r>
              <w:rPr>
                <w:rFonts w:hint="eastAsia"/>
                <w:b/>
                <w:bCs/>
                <w:color w:val="000000" w:themeColor="text1"/>
                <w:kern w:val="2"/>
                <w:szCs w:val="21"/>
                <w14:textFill>
                  <w14:solidFill>
                    <w14:schemeClr w14:val="tx1"/>
                  </w14:solidFill>
                </w14:textFill>
              </w:rPr>
              <w:t>3、交叉跨越</w:t>
            </w:r>
          </w:p>
          <w:p w14:paraId="4F068639">
            <w:pPr>
              <w:pStyle w:val="17"/>
              <w:spacing w:line="480" w:lineRule="exact"/>
              <w:ind w:left="0"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根据建设单位提供的资料，本项目线路交叉跨越的离地高度均高于6.5m，故本项目仅考虑非居民区6.5m导线对地距离情况，本工程线路交叉跨越情况如下表：</w:t>
            </w:r>
          </w:p>
          <w:p w14:paraId="6C6325BC">
            <w:pPr>
              <w:pStyle w:val="17"/>
              <w:spacing w:line="480" w:lineRule="exact"/>
              <w:ind w:left="422" w:hanging="422"/>
              <w:jc w:val="center"/>
              <w:rPr>
                <w:color w:val="000000" w:themeColor="text1"/>
                <w:kern w:val="2"/>
                <w:szCs w:val="21"/>
                <w14:textFill>
                  <w14:solidFill>
                    <w14:schemeClr w14:val="tx1"/>
                  </w14:solidFill>
                </w14:textFill>
              </w:rPr>
            </w:pPr>
            <w:r>
              <w:rPr>
                <w:rFonts w:hint="eastAsia"/>
                <w:b/>
                <w:bCs/>
                <w:color w:val="000000" w:themeColor="text1"/>
                <w:szCs w:val="21"/>
                <w14:textFill>
                  <w14:solidFill>
                    <w14:schemeClr w14:val="tx1"/>
                  </w14:solidFill>
                </w14:textFill>
              </w:rPr>
              <w:t>表</w:t>
            </w:r>
            <w:r>
              <w:rPr>
                <w:b/>
                <w:bCs/>
                <w:color w:val="000000" w:themeColor="text1"/>
                <w:szCs w:val="21"/>
                <w14:textFill>
                  <w14:solidFill>
                    <w14:schemeClr w14:val="tx1"/>
                  </w14:solidFill>
                </w14:textFill>
              </w:rPr>
              <w:t>2-</w:t>
            </w:r>
            <w:r>
              <w:rPr>
                <w:rFonts w:hint="eastAsia"/>
                <w:b/>
                <w:bCs/>
                <w:color w:val="000000" w:themeColor="text1"/>
                <w:szCs w:val="21"/>
                <w:lang w:val="en-US" w:eastAsia="zh-CN"/>
                <w14:textFill>
                  <w14:solidFill>
                    <w14:schemeClr w14:val="tx1"/>
                  </w14:solidFill>
                </w14:textFill>
              </w:rPr>
              <w:t>6</w:t>
            </w:r>
            <w:r>
              <w:rPr>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线路主要交叉跨越情况一览表</w:t>
            </w:r>
          </w:p>
          <w:tbl>
            <w:tblPr>
              <w:tblStyle w:val="24"/>
              <w:tblW w:w="7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2985"/>
              <w:gridCol w:w="1620"/>
              <w:gridCol w:w="1971"/>
            </w:tblGrid>
            <w:tr w14:paraId="7921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1A21B302">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b/>
                      <w:bCs/>
                      <w:color w:val="000000" w:themeColor="text1"/>
                      <w:szCs w:val="21"/>
                      <w:vertAlign w:val="baseline"/>
                      <w:lang w:val="en-US" w:eastAsia="zh-CN"/>
                      <w14:textFill>
                        <w14:solidFill>
                          <w14:schemeClr w14:val="tx1"/>
                        </w14:solidFill>
                      </w14:textFill>
                    </w:rPr>
                  </w:pPr>
                  <w:r>
                    <w:rPr>
                      <w:rFonts w:hint="eastAsia"/>
                      <w:b/>
                      <w:bCs/>
                      <w:color w:val="000000" w:themeColor="text1"/>
                      <w:szCs w:val="21"/>
                      <w:vertAlign w:val="baseline"/>
                      <w:lang w:val="en-US" w:eastAsia="zh-CN"/>
                      <w14:textFill>
                        <w14:solidFill>
                          <w14:schemeClr w14:val="tx1"/>
                        </w14:solidFill>
                      </w14:textFill>
                    </w:rPr>
                    <w:t>序号</w:t>
                  </w:r>
                </w:p>
              </w:tc>
              <w:tc>
                <w:tcPr>
                  <w:tcW w:w="2985" w:type="dxa"/>
                  <w:vAlign w:val="center"/>
                </w:tcPr>
                <w:p w14:paraId="0BDD5B82">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b/>
                      <w:bCs/>
                      <w:color w:val="000000" w:themeColor="text1"/>
                      <w:szCs w:val="21"/>
                      <w:vertAlign w:val="baseline"/>
                      <w:lang w:val="en-US" w:eastAsia="zh-CN"/>
                      <w14:textFill>
                        <w14:solidFill>
                          <w14:schemeClr w14:val="tx1"/>
                        </w14:solidFill>
                      </w14:textFill>
                    </w:rPr>
                  </w:pPr>
                  <w:r>
                    <w:rPr>
                      <w:rFonts w:hint="eastAsia"/>
                      <w:b/>
                      <w:bCs/>
                      <w:color w:val="000000" w:themeColor="text1"/>
                      <w:szCs w:val="21"/>
                      <w:vertAlign w:val="baseline"/>
                      <w:lang w:val="en-US" w:eastAsia="zh-CN"/>
                      <w14:textFill>
                        <w14:solidFill>
                          <w14:schemeClr w14:val="tx1"/>
                        </w14:solidFill>
                      </w14:textFill>
                    </w:rPr>
                    <w:t>名称</w:t>
                  </w:r>
                </w:p>
              </w:tc>
              <w:tc>
                <w:tcPr>
                  <w:tcW w:w="1620" w:type="dxa"/>
                  <w:vAlign w:val="center"/>
                </w:tcPr>
                <w:p w14:paraId="00E7A4A5">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b/>
                      <w:bCs/>
                      <w:color w:val="000000" w:themeColor="text1"/>
                      <w:szCs w:val="21"/>
                      <w:vertAlign w:val="baseline"/>
                      <w:lang w:val="en-US" w:eastAsia="zh-CN"/>
                      <w14:textFill>
                        <w14:solidFill>
                          <w14:schemeClr w14:val="tx1"/>
                        </w14:solidFill>
                      </w14:textFill>
                    </w:rPr>
                  </w:pPr>
                  <w:r>
                    <w:rPr>
                      <w:rFonts w:hint="eastAsia"/>
                      <w:b/>
                      <w:bCs/>
                      <w:color w:val="000000" w:themeColor="text1"/>
                      <w:szCs w:val="21"/>
                      <w:vertAlign w:val="baseline"/>
                      <w:lang w:val="en-US" w:eastAsia="zh-CN"/>
                      <w14:textFill>
                        <w14:solidFill>
                          <w14:schemeClr w14:val="tx1"/>
                        </w14:solidFill>
                      </w14:textFill>
                    </w:rPr>
                    <w:t>次数</w:t>
                  </w:r>
                </w:p>
              </w:tc>
              <w:tc>
                <w:tcPr>
                  <w:tcW w:w="1971" w:type="dxa"/>
                  <w:vAlign w:val="center"/>
                </w:tcPr>
                <w:p w14:paraId="43981275">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b/>
                      <w:bCs/>
                      <w:color w:val="000000" w:themeColor="text1"/>
                      <w:szCs w:val="21"/>
                      <w:vertAlign w:val="baseline"/>
                      <w:lang w:val="en-US" w:eastAsia="zh-CN"/>
                      <w14:textFill>
                        <w14:solidFill>
                          <w14:schemeClr w14:val="tx1"/>
                        </w14:solidFill>
                      </w14:textFill>
                    </w:rPr>
                  </w:pPr>
                  <w:r>
                    <w:rPr>
                      <w:rFonts w:hint="eastAsia"/>
                      <w:b/>
                      <w:bCs/>
                      <w:color w:val="000000" w:themeColor="text1"/>
                      <w:szCs w:val="21"/>
                      <w:vertAlign w:val="baseline"/>
                      <w:lang w:val="en-US" w:eastAsia="zh-CN"/>
                      <w14:textFill>
                        <w14:solidFill>
                          <w14:schemeClr w14:val="tx1"/>
                        </w14:solidFill>
                      </w14:textFill>
                    </w:rPr>
                    <w:t>备注</w:t>
                  </w:r>
                </w:p>
              </w:tc>
            </w:tr>
            <w:tr w14:paraId="235C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5634C1F1">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2985" w:type="dxa"/>
                  <w:vAlign w:val="center"/>
                </w:tcPr>
                <w:p w14:paraId="2D0C8BB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±800kV鲁固线</w:t>
                  </w:r>
                </w:p>
              </w:tc>
              <w:tc>
                <w:tcPr>
                  <w:tcW w:w="1620" w:type="dxa"/>
                  <w:vAlign w:val="center"/>
                </w:tcPr>
                <w:p w14:paraId="4F54F0CE">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3</w:t>
                  </w:r>
                </w:p>
              </w:tc>
              <w:tc>
                <w:tcPr>
                  <w:tcW w:w="1971" w:type="dxa"/>
                  <w:vAlign w:val="center"/>
                </w:tcPr>
                <w:p w14:paraId="43071D11">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钻越</w:t>
                  </w:r>
                </w:p>
              </w:tc>
            </w:tr>
            <w:tr w14:paraId="796E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2DEB6BBA">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2</w:t>
                  </w:r>
                </w:p>
              </w:tc>
              <w:tc>
                <w:tcPr>
                  <w:tcW w:w="2985" w:type="dxa"/>
                  <w:vAlign w:val="center"/>
                </w:tcPr>
                <w:p w14:paraId="1B814175">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承宽500kV双回线路</w:t>
                  </w:r>
                </w:p>
              </w:tc>
              <w:tc>
                <w:tcPr>
                  <w:tcW w:w="1620" w:type="dxa"/>
                  <w:vAlign w:val="center"/>
                </w:tcPr>
                <w:p w14:paraId="7590CB98">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6552D9F6">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钻越</w:t>
                  </w:r>
                </w:p>
              </w:tc>
            </w:tr>
            <w:tr w14:paraId="7E65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47281B1A">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3</w:t>
                  </w:r>
                </w:p>
              </w:tc>
              <w:tc>
                <w:tcPr>
                  <w:tcW w:w="2985" w:type="dxa"/>
                  <w:vAlign w:val="center"/>
                </w:tcPr>
                <w:p w14:paraId="08EA3A69">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规划牌楼500kV线路</w:t>
                  </w:r>
                </w:p>
              </w:tc>
              <w:tc>
                <w:tcPr>
                  <w:tcW w:w="1620" w:type="dxa"/>
                  <w:vAlign w:val="center"/>
                </w:tcPr>
                <w:p w14:paraId="4CBED46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2</w:t>
                  </w:r>
                </w:p>
              </w:tc>
              <w:tc>
                <w:tcPr>
                  <w:tcW w:w="1971" w:type="dxa"/>
                  <w:vAlign w:val="center"/>
                </w:tcPr>
                <w:p w14:paraId="319896EE">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钻越</w:t>
                  </w:r>
                </w:p>
              </w:tc>
            </w:tr>
            <w:tr w14:paraId="680F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4B51A52A">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4</w:t>
                  </w:r>
                </w:p>
              </w:tc>
              <w:tc>
                <w:tcPr>
                  <w:tcW w:w="2985" w:type="dxa"/>
                  <w:vAlign w:val="center"/>
                </w:tcPr>
                <w:p w14:paraId="25D27F70">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承建220kV双回线路</w:t>
                  </w:r>
                </w:p>
              </w:tc>
              <w:tc>
                <w:tcPr>
                  <w:tcW w:w="1620" w:type="dxa"/>
                  <w:vAlign w:val="center"/>
                </w:tcPr>
                <w:p w14:paraId="662138B4">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41A8DAFA">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钻越</w:t>
                  </w:r>
                </w:p>
              </w:tc>
            </w:tr>
            <w:tr w14:paraId="4207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1116BD30">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5</w:t>
                  </w:r>
                </w:p>
              </w:tc>
              <w:tc>
                <w:tcPr>
                  <w:tcW w:w="2985" w:type="dxa"/>
                  <w:vAlign w:val="center"/>
                </w:tcPr>
                <w:p w14:paraId="1F33217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承榆I线220kV单回线路</w:t>
                  </w:r>
                </w:p>
              </w:tc>
              <w:tc>
                <w:tcPr>
                  <w:tcW w:w="1620" w:type="dxa"/>
                  <w:vAlign w:val="center"/>
                </w:tcPr>
                <w:p w14:paraId="2B27A717">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5F31DA6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钻越</w:t>
                  </w:r>
                </w:p>
              </w:tc>
            </w:tr>
            <w:tr w14:paraId="06FC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7B9BDC37">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6</w:t>
                  </w:r>
                </w:p>
              </w:tc>
              <w:tc>
                <w:tcPr>
                  <w:tcW w:w="2985" w:type="dxa"/>
                  <w:vAlign w:val="center"/>
                </w:tcPr>
                <w:p w14:paraId="785E5E9D">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承榆I线220kV单回线路</w:t>
                  </w:r>
                </w:p>
              </w:tc>
              <w:tc>
                <w:tcPr>
                  <w:tcW w:w="1620" w:type="dxa"/>
                  <w:vAlign w:val="center"/>
                </w:tcPr>
                <w:p w14:paraId="1A0FE980">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7E60434B">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钻越</w:t>
                  </w:r>
                </w:p>
              </w:tc>
            </w:tr>
            <w:tr w14:paraId="5E1C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79C0CAA9">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7</w:t>
                  </w:r>
                </w:p>
              </w:tc>
              <w:tc>
                <w:tcPr>
                  <w:tcW w:w="2985" w:type="dxa"/>
                  <w:vAlign w:val="center"/>
                </w:tcPr>
                <w:p w14:paraId="741A5D5A">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高六110kV双回线路</w:t>
                  </w:r>
                </w:p>
              </w:tc>
              <w:tc>
                <w:tcPr>
                  <w:tcW w:w="1620" w:type="dxa"/>
                  <w:vAlign w:val="center"/>
                </w:tcPr>
                <w:p w14:paraId="0BE12771">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5DFE1414">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跨越</w:t>
                  </w:r>
                </w:p>
              </w:tc>
            </w:tr>
            <w:tr w14:paraId="1B20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0FAE8870">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8</w:t>
                  </w:r>
                </w:p>
              </w:tc>
              <w:tc>
                <w:tcPr>
                  <w:tcW w:w="2985" w:type="dxa"/>
                  <w:vAlign w:val="center"/>
                </w:tcPr>
                <w:p w14:paraId="33618001">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榆工I、II线110kV双回线路</w:t>
                  </w:r>
                </w:p>
              </w:tc>
              <w:tc>
                <w:tcPr>
                  <w:tcW w:w="1620" w:type="dxa"/>
                  <w:vAlign w:val="center"/>
                </w:tcPr>
                <w:p w14:paraId="29DB56C0">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370C03D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跨越</w:t>
                  </w:r>
                </w:p>
              </w:tc>
            </w:tr>
            <w:tr w14:paraId="6A33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4DC2BA43">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9</w:t>
                  </w:r>
                </w:p>
              </w:tc>
              <w:tc>
                <w:tcPr>
                  <w:tcW w:w="2985" w:type="dxa"/>
                  <w:vAlign w:val="center"/>
                </w:tcPr>
                <w:p w14:paraId="4AF572B9">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榆康I、I线110kV双回线路</w:t>
                  </w:r>
                </w:p>
              </w:tc>
              <w:tc>
                <w:tcPr>
                  <w:tcW w:w="1620" w:type="dxa"/>
                  <w:vAlign w:val="center"/>
                </w:tcPr>
                <w:p w14:paraId="68C27375">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28518D08">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跨越</w:t>
                  </w:r>
                </w:p>
              </w:tc>
            </w:tr>
            <w:tr w14:paraId="57C4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6420371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10</w:t>
                  </w:r>
                </w:p>
              </w:tc>
              <w:tc>
                <w:tcPr>
                  <w:tcW w:w="2985" w:type="dxa"/>
                  <w:vAlign w:val="center"/>
                </w:tcPr>
                <w:p w14:paraId="6A9A46C0">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袁八110kV单回线路</w:t>
                  </w:r>
                </w:p>
              </w:tc>
              <w:tc>
                <w:tcPr>
                  <w:tcW w:w="1620" w:type="dxa"/>
                  <w:vAlign w:val="center"/>
                </w:tcPr>
                <w:p w14:paraId="5BB37475">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72CAB1B6">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跨越</w:t>
                  </w:r>
                </w:p>
              </w:tc>
            </w:tr>
            <w:tr w14:paraId="09E9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299A669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11</w:t>
                  </w:r>
                </w:p>
              </w:tc>
              <w:tc>
                <w:tcPr>
                  <w:tcW w:w="2985" w:type="dxa"/>
                  <w:vAlign w:val="center"/>
                </w:tcPr>
                <w:p w14:paraId="5744C171">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10kV线路</w:t>
                  </w:r>
                </w:p>
              </w:tc>
              <w:tc>
                <w:tcPr>
                  <w:tcW w:w="1620" w:type="dxa"/>
                  <w:vAlign w:val="center"/>
                </w:tcPr>
                <w:p w14:paraId="017CAD16">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17</w:t>
                  </w:r>
                </w:p>
              </w:tc>
              <w:tc>
                <w:tcPr>
                  <w:tcW w:w="1971" w:type="dxa"/>
                  <w:vAlign w:val="center"/>
                </w:tcPr>
                <w:p w14:paraId="317BDCC7">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跨越</w:t>
                  </w:r>
                </w:p>
              </w:tc>
            </w:tr>
            <w:tr w14:paraId="49DF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53BC2C6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12</w:t>
                  </w:r>
                </w:p>
              </w:tc>
              <w:tc>
                <w:tcPr>
                  <w:tcW w:w="2985" w:type="dxa"/>
                  <w:vAlign w:val="center"/>
                </w:tcPr>
                <w:p w14:paraId="34C4AFE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通信线及380V线路</w:t>
                  </w:r>
                </w:p>
              </w:tc>
              <w:tc>
                <w:tcPr>
                  <w:tcW w:w="1620" w:type="dxa"/>
                  <w:vAlign w:val="center"/>
                </w:tcPr>
                <w:p w14:paraId="6491FEA0">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30</w:t>
                  </w:r>
                </w:p>
              </w:tc>
              <w:tc>
                <w:tcPr>
                  <w:tcW w:w="1971" w:type="dxa"/>
                  <w:vAlign w:val="center"/>
                </w:tcPr>
                <w:p w14:paraId="1647040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跨越</w:t>
                  </w:r>
                </w:p>
              </w:tc>
            </w:tr>
            <w:tr w14:paraId="6D63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2C35F59B">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13</w:t>
                  </w:r>
                </w:p>
              </w:tc>
              <w:tc>
                <w:tcPr>
                  <w:tcW w:w="2985" w:type="dxa"/>
                  <w:vAlign w:val="center"/>
                </w:tcPr>
                <w:p w14:paraId="22F7CDC4">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京沈高铁</w:t>
                  </w:r>
                </w:p>
              </w:tc>
              <w:tc>
                <w:tcPr>
                  <w:tcW w:w="1620" w:type="dxa"/>
                  <w:vAlign w:val="center"/>
                </w:tcPr>
                <w:p w14:paraId="0CC865DD">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2317474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跨越</w:t>
                  </w:r>
                  <w:r>
                    <w:rPr>
                      <w:rFonts w:hint="eastAsia" w:cs="Times New Roman"/>
                      <w:color w:val="000000" w:themeColor="text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隧道</w:t>
                  </w:r>
                  <w:r>
                    <w:rPr>
                      <w:rFonts w:hint="eastAsia" w:cs="Times New Roman"/>
                      <w:color w:val="000000" w:themeColor="text1"/>
                      <w:szCs w:val="21"/>
                      <w:vertAlign w:val="baseline"/>
                      <w:lang w:val="en-US" w:eastAsia="zh-CN"/>
                      <w14:textFill>
                        <w14:solidFill>
                          <w14:schemeClr w14:val="tx1"/>
                        </w14:solidFill>
                      </w14:textFill>
                    </w:rPr>
                    <w:t>）</w:t>
                  </w:r>
                </w:p>
              </w:tc>
            </w:tr>
            <w:tr w14:paraId="6A68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4448C5C9">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14</w:t>
                  </w:r>
                </w:p>
              </w:tc>
              <w:tc>
                <w:tcPr>
                  <w:tcW w:w="2985" w:type="dxa"/>
                  <w:vAlign w:val="center"/>
                </w:tcPr>
                <w:p w14:paraId="7F7C4080">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锦承铁路</w:t>
                  </w:r>
                </w:p>
              </w:tc>
              <w:tc>
                <w:tcPr>
                  <w:tcW w:w="1620" w:type="dxa"/>
                  <w:vAlign w:val="center"/>
                </w:tcPr>
                <w:p w14:paraId="12682E3F">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3E8B4405">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跨越</w:t>
                  </w:r>
                </w:p>
              </w:tc>
            </w:tr>
            <w:tr w14:paraId="6E5A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752A656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15</w:t>
                  </w:r>
                </w:p>
              </w:tc>
              <w:tc>
                <w:tcPr>
                  <w:tcW w:w="2985" w:type="dxa"/>
                  <w:vAlign w:val="center"/>
                </w:tcPr>
                <w:p w14:paraId="41E47538">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长深高速</w:t>
                  </w:r>
                </w:p>
              </w:tc>
              <w:tc>
                <w:tcPr>
                  <w:tcW w:w="1620" w:type="dxa"/>
                  <w:vAlign w:val="center"/>
                </w:tcPr>
                <w:p w14:paraId="29376313">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2</w:t>
                  </w:r>
                </w:p>
              </w:tc>
              <w:tc>
                <w:tcPr>
                  <w:tcW w:w="1971" w:type="dxa"/>
                  <w:vAlign w:val="center"/>
                </w:tcPr>
                <w:p w14:paraId="54687ED7">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跨越</w:t>
                  </w:r>
                  <w:r>
                    <w:rPr>
                      <w:rFonts w:hint="eastAsia" w:cs="Times New Roman"/>
                      <w:color w:val="000000" w:themeColor="text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隧道</w:t>
                  </w:r>
                  <w:r>
                    <w:rPr>
                      <w:rFonts w:hint="eastAsia" w:cs="Times New Roman"/>
                      <w:color w:val="000000" w:themeColor="text1"/>
                      <w:szCs w:val="21"/>
                      <w:vertAlign w:val="baseline"/>
                      <w:lang w:val="en-US" w:eastAsia="zh-CN"/>
                      <w14:textFill>
                        <w14:solidFill>
                          <w14:schemeClr w14:val="tx1"/>
                        </w14:solidFill>
                      </w14:textFill>
                    </w:rPr>
                    <w:t>）</w:t>
                  </w:r>
                </w:p>
              </w:tc>
            </w:tr>
            <w:tr w14:paraId="20B0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18AC1A57">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16</w:t>
                  </w:r>
                </w:p>
              </w:tc>
              <w:tc>
                <w:tcPr>
                  <w:tcW w:w="2985" w:type="dxa"/>
                  <w:vAlign w:val="center"/>
                </w:tcPr>
                <w:p w14:paraId="6D1D942E">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承秦高速</w:t>
                  </w:r>
                </w:p>
              </w:tc>
              <w:tc>
                <w:tcPr>
                  <w:tcW w:w="1620" w:type="dxa"/>
                  <w:vAlign w:val="center"/>
                </w:tcPr>
                <w:p w14:paraId="0D4DA48E">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784CD046">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跨越</w:t>
                  </w:r>
                </w:p>
              </w:tc>
            </w:tr>
            <w:tr w14:paraId="145E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7" w:type="dxa"/>
                  <w:vAlign w:val="center"/>
                </w:tcPr>
                <w:p w14:paraId="34282095">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17</w:t>
                  </w:r>
                </w:p>
              </w:tc>
              <w:tc>
                <w:tcPr>
                  <w:tcW w:w="2985" w:type="dxa"/>
                  <w:vAlign w:val="center"/>
                </w:tcPr>
                <w:p w14:paraId="3D966BDC">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承秦高速匝道</w:t>
                  </w:r>
                </w:p>
              </w:tc>
              <w:tc>
                <w:tcPr>
                  <w:tcW w:w="1620" w:type="dxa"/>
                  <w:vAlign w:val="center"/>
                </w:tcPr>
                <w:p w14:paraId="4908EA7A">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1971" w:type="dxa"/>
                  <w:vAlign w:val="center"/>
                </w:tcPr>
                <w:p w14:paraId="0A6BB9B1">
                  <w:pPr>
                    <w:pStyle w:val="17"/>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跨越</w:t>
                  </w:r>
                </w:p>
              </w:tc>
            </w:tr>
          </w:tbl>
          <w:p w14:paraId="1A112B54">
            <w:pPr>
              <w:pStyle w:val="17"/>
              <w:spacing w:line="480" w:lineRule="exact"/>
              <w:ind w:left="0" w:leftChars="0" w:firstLine="0" w:firstLineChars="0"/>
              <w:rPr>
                <w:color w:val="000000" w:themeColor="text1"/>
                <w:szCs w:val="21"/>
                <w14:textFill>
                  <w14:solidFill>
                    <w14:schemeClr w14:val="tx1"/>
                  </w14:solidFill>
                </w14:textFill>
              </w:rPr>
            </w:pPr>
            <w:r>
              <w:rPr>
                <w:rFonts w:hint="eastAsia"/>
                <w:b/>
                <w:bCs/>
                <w:color w:val="000000" w:themeColor="text1"/>
                <w:kern w:val="2"/>
                <w:szCs w:val="21"/>
                <w14:textFill>
                  <w14:solidFill>
                    <w14:schemeClr w14:val="tx1"/>
                  </w14:solidFill>
                </w14:textFill>
              </w:rPr>
              <w:t>五、公用工程</w:t>
            </w:r>
          </w:p>
          <w:p w14:paraId="10F2DC49">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1、供电</w:t>
            </w:r>
          </w:p>
          <w:p w14:paraId="2DE89F5B">
            <w:pPr>
              <w:pStyle w:val="17"/>
              <w:spacing w:line="480" w:lineRule="exact"/>
              <w:ind w:left="0"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本项目为电力输送项目，由京能国际220kV升压站出线供电，接入丰晟220kV升压站。</w:t>
            </w:r>
          </w:p>
          <w:p w14:paraId="144600B2">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2、供水、排水</w:t>
            </w:r>
          </w:p>
          <w:p w14:paraId="65CC4629">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项目运营不用水，不涉及供水工程和排水工程。</w:t>
            </w:r>
          </w:p>
          <w:p w14:paraId="107D20E5">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3、供暖</w:t>
            </w:r>
          </w:p>
          <w:p w14:paraId="1CF0E64E">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项目为输电线路工程，不涉及供暖。</w:t>
            </w:r>
          </w:p>
        </w:tc>
      </w:tr>
      <w:tr w14:paraId="14E0A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8" w:type="pct"/>
            <w:vAlign w:val="center"/>
          </w:tcPr>
          <w:p w14:paraId="25B6E51E">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总平面及现场布置</w:t>
            </w:r>
          </w:p>
        </w:tc>
        <w:tc>
          <w:tcPr>
            <w:tcW w:w="4751" w:type="pct"/>
            <w:vAlign w:val="center"/>
          </w:tcPr>
          <w:p w14:paraId="541FEC21">
            <w:pPr>
              <w:pStyle w:val="53"/>
              <w:snapToGrid w:val="0"/>
              <w:spacing w:line="480" w:lineRule="atLeast"/>
              <w:ind w:firstLine="48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一、施工临时道路</w:t>
            </w:r>
          </w:p>
          <w:p w14:paraId="0F4613B0">
            <w:pPr>
              <w:pStyle w:val="53"/>
              <w:snapToGrid w:val="0"/>
              <w:spacing w:line="480" w:lineRule="atLeast"/>
              <w:ind w:firstLine="48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本项目线路工程施工，交通尽量利用项目沿线已有道路，在已有的乡道和村道不能满足运输要求时设置临时施工道路。</w:t>
            </w:r>
          </w:p>
          <w:p w14:paraId="344CF8B5">
            <w:pPr>
              <w:pStyle w:val="53"/>
              <w:snapToGrid w:val="0"/>
              <w:spacing w:line="480" w:lineRule="atLeast"/>
              <w:ind w:firstLine="48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二、项目占地</w:t>
            </w:r>
          </w:p>
          <w:p w14:paraId="49F3B8F3">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1、永久占地和临时占地</w:t>
            </w:r>
          </w:p>
          <w:p w14:paraId="7ED15C88">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（1）永久占地</w:t>
            </w:r>
          </w:p>
          <w:p w14:paraId="2C8E7E3F">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本项目永久占地为塔基占地，每个塔基占地为100m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，占地面积为</w:t>
            </w:r>
            <w:r>
              <w:rPr>
                <w:rFonts w:hint="eastAsia"/>
                <w:color w:val="000000" w:themeColor="text1"/>
                <w:szCs w:val="21"/>
                <w:lang w:val="en-US" w:eastAsia="zh-CN"/>
                <w14:textFill>
                  <w14:solidFill>
                    <w14:schemeClr w14:val="tx1"/>
                  </w14:solidFill>
                </w14:textFill>
              </w:rPr>
              <w:t>11400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p w14:paraId="44353143">
            <w:pPr>
              <w:pStyle w:val="17"/>
              <w:spacing w:line="480" w:lineRule="exact"/>
              <w:ind w:left="0"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根据</w:t>
            </w:r>
            <w:r>
              <w:rPr>
                <w:rFonts w:hint="eastAsia"/>
                <w:color w:val="000000" w:themeColor="text1"/>
                <w:kern w:val="0"/>
                <w:szCs w:val="21"/>
                <w:lang w:val="en-US" w:eastAsia="zh-CN"/>
                <w14:textFill>
                  <w14:solidFill>
                    <w14:schemeClr w14:val="tx1"/>
                  </w14:solidFill>
                </w14:textFill>
              </w:rPr>
              <w:t>承德县自然资源和规划局出具的《关于京能国际承德县200MW光伏项目220千伏送出线路路径用地的回函》指出本项目不占用基本农田、生态保护红线。</w:t>
            </w:r>
          </w:p>
          <w:p w14:paraId="4707FE96">
            <w:pPr>
              <w:pStyle w:val="17"/>
              <w:spacing w:line="480" w:lineRule="exact"/>
              <w:ind w:left="0"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塔基占地类型主要为林地及其他草地，线路跨越生态保护红线2处。</w:t>
            </w:r>
          </w:p>
          <w:p w14:paraId="03CBE7FF">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（2）临时占地</w:t>
            </w:r>
          </w:p>
          <w:p w14:paraId="31F48B52">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项目临时用地</w:t>
            </w:r>
            <w:r>
              <w:rPr>
                <w:rFonts w:hint="eastAsia"/>
                <w:color w:val="000000" w:themeColor="text1"/>
                <w:szCs w:val="21"/>
                <w:lang w:val="en-US" w:eastAsia="zh-CN"/>
                <w14:textFill>
                  <w14:solidFill>
                    <w14:schemeClr w14:val="tx1"/>
                  </w14:solidFill>
                </w14:textFill>
              </w:rPr>
              <w:t>2.88</w:t>
            </w:r>
            <w:r>
              <w:rPr>
                <w:rFonts w:hint="eastAsia"/>
                <w:color w:val="000000" w:themeColor="text1"/>
                <w:szCs w:val="21"/>
                <w14:textFill>
                  <w14:solidFill>
                    <w14:schemeClr w14:val="tx1"/>
                  </w14:solidFill>
                </w14:textFill>
              </w:rPr>
              <w:t>公顷，主要为施工期临时牵张场、施工场地用地。工程施工前，施工范围内表土使用推土机进行表土剥离，剥离表土就近堆存于各个功能区一侧。表土堆用密目网苫盖，并用编织袋装土围挡，防止表土被吹蚀与污染。编织袋压覆高度约为表土堆高的1/4，可有效保证表土堆的稳定性。表土堆周围三面设计排水沟，防止表土堆被雨水冲刷。</w:t>
            </w:r>
          </w:p>
          <w:p w14:paraId="21D69F5E">
            <w:pPr>
              <w:pStyle w:val="17"/>
              <w:spacing w:line="480" w:lineRule="exact"/>
              <w:ind w:left="0"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临时占地选址原则如下：施工临时占地应永临结合，优先利用荒地、劣地。避免施工临时占地进入自然保护区、风景名胜区、饮用水水源保护区等环境敏感区域。</w:t>
            </w:r>
          </w:p>
          <w:p w14:paraId="37096337">
            <w:pPr>
              <w:pStyle w:val="53"/>
              <w:snapToGrid w:val="0"/>
              <w:spacing w:line="480" w:lineRule="atLeast"/>
              <w:ind w:firstLine="48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①牵张场</w:t>
            </w:r>
          </w:p>
          <w:p w14:paraId="69F5BFE6">
            <w:pPr>
              <w:pStyle w:val="53"/>
              <w:snapToGrid w:val="0"/>
              <w:spacing w:line="480" w:lineRule="atLeast"/>
              <w:ind w:firstLine="48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为满足施工放线需要，输电线路沿线需设置牵张场，牵张场应满足牵引机、张力机能直接运达到位。牵张场平面布置包括通道、机械布置区、导线集放区、锚线区、工具集放区、工棚布置区、休息区和标志牌布置区等。本项目线路较长，考虑设置10处牵张场地，每个牵张场占地面积约为1740m</w:t>
            </w:r>
            <w:r>
              <w:rPr>
                <w:rFonts w:hint="eastAsia" w:ascii="Times New Roman" w:hAnsi="Times New Roman"/>
                <w:color w:val="000000" w:themeColor="text1"/>
                <w:sz w:val="21"/>
                <w:szCs w:val="21"/>
                <w:vertAlign w:val="superscript"/>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w:t>
            </w:r>
          </w:p>
          <w:p w14:paraId="50C6266B">
            <w:pPr>
              <w:pStyle w:val="53"/>
              <w:snapToGrid w:val="0"/>
              <w:spacing w:line="480" w:lineRule="atLeast"/>
              <w:ind w:firstLine="48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牵张场地环境保护选址原则：</w:t>
            </w:r>
          </w:p>
          <w:p w14:paraId="704FC6C8">
            <w:pPr>
              <w:pStyle w:val="53"/>
              <w:snapToGrid w:val="0"/>
              <w:spacing w:line="480" w:lineRule="atLeast"/>
              <w:ind w:firstLine="48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（1）牵张场地禁止设置在生态保护红线范围</w:t>
            </w:r>
            <w:r>
              <w:rPr>
                <w:rFonts w:hint="eastAsia" w:ascii="Times New Roman" w:hAnsi="Times New Roman"/>
                <w:color w:val="000000" w:themeColor="text1"/>
                <w:sz w:val="21"/>
                <w:szCs w:val="21"/>
                <w:lang w:eastAsia="zh-CN"/>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饮用水水源保护地</w:t>
            </w:r>
            <w:r>
              <w:rPr>
                <w:rFonts w:hint="eastAsia" w:ascii="Times New Roman" w:hAnsi="Times New Roman"/>
                <w:color w:val="000000" w:themeColor="text1"/>
                <w:sz w:val="21"/>
                <w:szCs w:val="21"/>
                <w14:textFill>
                  <w14:solidFill>
                    <w14:schemeClr w14:val="tx1"/>
                  </w14:solidFill>
                </w14:textFill>
              </w:rPr>
              <w:t>内；</w:t>
            </w:r>
          </w:p>
          <w:p w14:paraId="2A66FFC3">
            <w:pPr>
              <w:pStyle w:val="53"/>
              <w:snapToGrid w:val="0"/>
              <w:spacing w:line="480" w:lineRule="atLeast"/>
              <w:ind w:firstLine="48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（2）避开耕地、园地等作物种植区域；</w:t>
            </w:r>
          </w:p>
          <w:p w14:paraId="7B091C40">
            <w:pPr>
              <w:pStyle w:val="53"/>
              <w:snapToGrid w:val="0"/>
              <w:spacing w:line="480" w:lineRule="atLeast"/>
              <w:ind w:firstLine="48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（3）优先选择地面植被覆盖度低的平坦区域，降低对地表植被的破坏。</w:t>
            </w:r>
          </w:p>
          <w:p w14:paraId="29707191">
            <w:pPr>
              <w:pStyle w:val="53"/>
              <w:snapToGrid w:val="0"/>
              <w:spacing w:line="480" w:lineRule="atLeast"/>
              <w:ind w:firstLine="48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②塔基施工临时场地</w:t>
            </w:r>
          </w:p>
          <w:p w14:paraId="38E8F070">
            <w:pPr>
              <w:pStyle w:val="53"/>
              <w:snapToGrid w:val="0"/>
              <w:spacing w:line="480" w:lineRule="atLeast"/>
              <w:ind w:firstLine="48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塔基基础施工临时场地以单个塔基为单位零星布置。在塔基施工过程中每处塔基都有一处施工临时占地作为施工场地，用来临时堆置土方、砂石料、水、材料和工具等。本项目施工期共设置</w:t>
            </w:r>
            <w:r>
              <w:rPr>
                <w:rFonts w:hint="eastAsia" w:ascii="Times New Roman" w:hAnsi="Times New Roman"/>
                <w:color w:val="000000" w:themeColor="text1"/>
                <w:sz w:val="21"/>
                <w:szCs w:val="21"/>
                <w:lang w:val="en-US" w:eastAsia="zh-CN"/>
                <w14:textFill>
                  <w14:solidFill>
                    <w14:schemeClr w14:val="tx1"/>
                  </w14:solidFill>
                </w14:textFill>
              </w:rPr>
              <w:t>114</w:t>
            </w:r>
            <w:r>
              <w:rPr>
                <w:rFonts w:hint="eastAsia" w:ascii="Times New Roman" w:hAnsi="Times New Roman"/>
                <w:color w:val="000000" w:themeColor="text1"/>
                <w:sz w:val="21"/>
                <w:szCs w:val="21"/>
                <w14:textFill>
                  <w14:solidFill>
                    <w14:schemeClr w14:val="tx1"/>
                  </w14:solidFill>
                </w14:textFill>
              </w:rPr>
              <w:t>处铁塔施工临时场地，每处占地约</w:t>
            </w:r>
            <w:r>
              <w:rPr>
                <w:rFonts w:hint="eastAsia" w:ascii="Times New Roman" w:hAnsi="Times New Roman"/>
                <w:color w:val="000000" w:themeColor="text1"/>
                <w:sz w:val="21"/>
                <w:szCs w:val="21"/>
                <w:lang w:val="en-US" w:eastAsia="zh-CN"/>
                <w14:textFill>
                  <w14:solidFill>
                    <w14:schemeClr w14:val="tx1"/>
                  </w14:solidFill>
                </w14:textFill>
              </w:rPr>
              <w:t>150</w:t>
            </w:r>
            <w:r>
              <w:rPr>
                <w:rFonts w:hint="eastAsia" w:ascii="Times New Roman" w:hAnsi="Times New Roman"/>
                <w:color w:val="000000" w:themeColor="text1"/>
                <w:sz w:val="21"/>
                <w:szCs w:val="21"/>
                <w14:textFill>
                  <w14:solidFill>
                    <w14:schemeClr w14:val="tx1"/>
                  </w14:solidFill>
                </w14:textFill>
              </w:rPr>
              <w:t>m</w:t>
            </w:r>
            <w:r>
              <w:rPr>
                <w:rFonts w:hint="eastAsia" w:ascii="Times New Roman" w:hAnsi="Times New Roman"/>
                <w:color w:val="000000" w:themeColor="text1"/>
                <w:sz w:val="21"/>
                <w:szCs w:val="21"/>
                <w:vertAlign w:val="superscript"/>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，扣除塔基永久占地100m</w:t>
            </w:r>
            <w:r>
              <w:rPr>
                <w:rFonts w:hint="eastAsia" w:ascii="Times New Roman" w:hAnsi="Times New Roman"/>
                <w:color w:val="000000" w:themeColor="text1"/>
                <w:sz w:val="21"/>
                <w:szCs w:val="21"/>
                <w:vertAlign w:val="superscript"/>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，则每处塔基施工临时场地占地约</w:t>
            </w:r>
            <w:r>
              <w:rPr>
                <w:rFonts w:hint="eastAsia" w:ascii="Times New Roman" w:hAnsi="Times New Roman"/>
                <w:color w:val="000000" w:themeColor="text1"/>
                <w:sz w:val="21"/>
                <w:szCs w:val="21"/>
                <w:lang w:val="en-US" w:eastAsia="zh-CN"/>
                <w14:textFill>
                  <w14:solidFill>
                    <w14:schemeClr w14:val="tx1"/>
                  </w14:solidFill>
                </w14:textFill>
              </w:rPr>
              <w:t>5700</w:t>
            </w:r>
            <w:r>
              <w:rPr>
                <w:rFonts w:hint="eastAsia" w:ascii="Times New Roman" w:hAnsi="Times New Roman"/>
                <w:color w:val="000000" w:themeColor="text1"/>
                <w:sz w:val="21"/>
                <w:szCs w:val="21"/>
                <w14:textFill>
                  <w14:solidFill>
                    <w14:schemeClr w14:val="tx1"/>
                  </w14:solidFill>
                </w14:textFill>
              </w:rPr>
              <w:t>m</w:t>
            </w:r>
            <w:r>
              <w:rPr>
                <w:rFonts w:hint="eastAsia" w:ascii="Times New Roman" w:hAnsi="Times New Roman"/>
                <w:color w:val="000000" w:themeColor="text1"/>
                <w:sz w:val="21"/>
                <w:szCs w:val="21"/>
                <w:vertAlign w:val="superscript"/>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，共计</w:t>
            </w:r>
            <w:r>
              <w:rPr>
                <w:rFonts w:hint="eastAsia" w:ascii="Times New Roman" w:hAnsi="Times New Roman"/>
                <w:color w:val="000000" w:themeColor="text1"/>
                <w:sz w:val="21"/>
                <w:szCs w:val="21"/>
                <w:lang w:val="en-US" w:eastAsia="zh-CN"/>
                <w14:textFill>
                  <w14:solidFill>
                    <w14:schemeClr w14:val="tx1"/>
                  </w14:solidFill>
                </w14:textFill>
              </w:rPr>
              <w:t>11400</w:t>
            </w:r>
            <w:r>
              <w:rPr>
                <w:rFonts w:hint="eastAsia" w:ascii="Times New Roman" w:hAnsi="Times New Roman"/>
                <w:color w:val="000000" w:themeColor="text1"/>
                <w:sz w:val="21"/>
                <w:szCs w:val="21"/>
                <w14:textFill>
                  <w14:solidFill>
                    <w14:schemeClr w14:val="tx1"/>
                  </w14:solidFill>
                </w14:textFill>
              </w:rPr>
              <w:t>m</w:t>
            </w:r>
            <w:r>
              <w:rPr>
                <w:rFonts w:hint="eastAsia" w:ascii="Times New Roman" w:hAnsi="Times New Roman"/>
                <w:color w:val="000000" w:themeColor="text1"/>
                <w:sz w:val="21"/>
                <w:szCs w:val="21"/>
                <w:vertAlign w:val="superscript"/>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w:t>
            </w:r>
          </w:p>
          <w:p w14:paraId="1EF8E37A">
            <w:pPr>
              <w:pStyle w:val="53"/>
              <w:snapToGrid w:val="0"/>
              <w:spacing w:line="480" w:lineRule="atLeast"/>
              <w:ind w:firstLine="48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三、土石方平衡</w:t>
            </w:r>
          </w:p>
          <w:p w14:paraId="67FE8234">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输电线路塔基挖方量</w:t>
            </w:r>
            <w:r>
              <w:rPr>
                <w:rFonts w:hint="eastAsia"/>
                <w:color w:val="000000" w:themeColor="text1"/>
                <w:szCs w:val="21"/>
                <w:lang w:val="en-US" w:eastAsia="zh-CN"/>
                <w14:textFill>
                  <w14:solidFill>
                    <w14:schemeClr w14:val="tx1"/>
                  </w14:solidFill>
                </w14:textFill>
              </w:rPr>
              <w:t>1342.3</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，填方量</w:t>
            </w:r>
            <w:r>
              <w:rPr>
                <w:rFonts w:hint="eastAsia"/>
                <w:color w:val="000000" w:themeColor="text1"/>
                <w:szCs w:val="21"/>
                <w:lang w:val="en-US" w:eastAsia="zh-CN"/>
                <w14:textFill>
                  <w14:solidFill>
                    <w14:schemeClr w14:val="tx1"/>
                  </w14:solidFill>
                </w14:textFill>
              </w:rPr>
              <w:t>1342.3</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p w14:paraId="2E807AF4">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单位塔基挖填方量：V=πr</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×h，塔基半径约 0.5m，深度约 15m。</w:t>
            </w:r>
          </w:p>
          <w:p w14:paraId="22792AB5">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1）塔基区：</w:t>
            </w:r>
            <w:r>
              <w:rPr>
                <w:rFonts w:hint="eastAsia"/>
                <w:color w:val="000000" w:themeColor="text1"/>
                <w14:textFill>
                  <w14:solidFill>
                    <w14:schemeClr w14:val="tx1"/>
                  </w14:solidFill>
                </w14:textFill>
              </w:rPr>
              <w:t>在施工前，对塔基占地内开挖扰动区域进行表土剥离，并妥善保存，桩基挖出土石方及剥离表土待工程结束后用于场地回填及塔基四周土地平整使用</w:t>
            </w:r>
            <w:r>
              <w:rPr>
                <w:rFonts w:hint="eastAsia"/>
                <w:color w:val="000000" w:themeColor="text1"/>
                <w:szCs w:val="21"/>
                <w14:textFill>
                  <w14:solidFill>
                    <w14:schemeClr w14:val="tx1"/>
                  </w14:solidFill>
                </w14:textFill>
              </w:rPr>
              <w:t>。</w:t>
            </w:r>
          </w:p>
          <w:p w14:paraId="0190C4A5">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2）塔基区施工场地：</w:t>
            </w:r>
            <w:r>
              <w:rPr>
                <w:rFonts w:hint="eastAsia"/>
                <w:color w:val="000000" w:themeColor="text1"/>
                <w14:textFill>
                  <w14:solidFill>
                    <w14:schemeClr w14:val="tx1"/>
                  </w14:solidFill>
                </w14:textFill>
              </w:rPr>
              <w:t>该区域以临时占压为主，建设期将采取铺垫彩条布进行临时防护，仅对接地槽及临时泥浆沉淀池开挖范围进行表土剥离，其余区域不进行表土剥离，施工场地剥离表土待工程结束后用于场地回填及塔基四周土地平整使用，塔基临时施工占地合计</w:t>
            </w:r>
            <w:r>
              <w:rPr>
                <w:rFonts w:hint="eastAsia"/>
                <w:color w:val="000000" w:themeColor="text1"/>
                <w:lang w:val="en-US" w:eastAsia="zh-CN"/>
                <w14:textFill>
                  <w14:solidFill>
                    <w14:schemeClr w14:val="tx1"/>
                  </w14:solidFill>
                </w14:textFill>
              </w:rPr>
              <w:t>11400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，平均开挖深度0.25m，则施工便道挖方量为</w:t>
            </w:r>
            <w:r>
              <w:rPr>
                <w:rFonts w:hint="eastAsia"/>
                <w:color w:val="000000" w:themeColor="text1"/>
                <w:lang w:val="en-US" w:eastAsia="zh-CN"/>
                <w14:textFill>
                  <w14:solidFill>
                    <w14:schemeClr w14:val="tx1"/>
                  </w14:solidFill>
                </w14:textFill>
              </w:rPr>
              <w:t>2850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p w14:paraId="61ED8DE5">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3）牵张场区：该区域以临时占压为主，建设期将采取铺垫彩条布、铺设钢板等进行临时防护，不再进行表土剥离。</w:t>
            </w:r>
          </w:p>
          <w:p w14:paraId="0F4D3108">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施工道路区：施工简易道路以利用原有道路和乡村小道为主，在无现有道路可利用的情况下，本工程需新开辟施工简易道路，在微地形起伏较大的区域时将涉及少量的土石方挖填工程，故本工程考虑根据沿线实际情况对施工简易道路局部路段施工前进行表土剥离，施工期加以保护，完工后</w:t>
            </w:r>
            <w:r>
              <w:rPr>
                <w:rFonts w:hint="eastAsia"/>
                <w:color w:val="000000" w:themeColor="text1"/>
                <w:szCs w:val="21"/>
                <w:lang w:val="en-US" w:eastAsia="zh-CN"/>
                <w14:textFill>
                  <w14:solidFill>
                    <w14:schemeClr w14:val="tx1"/>
                  </w14:solidFill>
                </w14:textFill>
              </w:rPr>
              <w:t>恢复</w:t>
            </w:r>
            <w:r>
              <w:rPr>
                <w:rFonts w:hint="eastAsia"/>
                <w:color w:val="000000" w:themeColor="text1"/>
                <w:szCs w:val="21"/>
                <w14:textFill>
                  <w14:solidFill>
                    <w14:schemeClr w14:val="tx1"/>
                  </w14:solidFill>
                </w14:textFill>
              </w:rPr>
              <w:t>利用。</w:t>
            </w:r>
          </w:p>
          <w:p w14:paraId="4C52DB80">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jc w:val="center"/>
              <w:textAlignment w:val="auto"/>
              <w:rPr>
                <w:rFonts w:hint="eastAsia"/>
                <w:b/>
                <w:bCs/>
                <w:color w:val="000000" w:themeColor="text1"/>
                <w:kern w:val="2"/>
                <w:sz w:val="21"/>
                <w:szCs w:val="21"/>
                <w14:textFill>
                  <w14:solidFill>
                    <w14:schemeClr w14:val="tx1"/>
                  </w14:solidFill>
                </w14:textFill>
              </w:rPr>
            </w:pPr>
            <w:r>
              <w:rPr>
                <w:rFonts w:hint="eastAsia"/>
                <w:b/>
                <w:bCs/>
                <w:color w:val="000000" w:themeColor="text1"/>
                <w:kern w:val="2"/>
                <w:sz w:val="21"/>
                <w:szCs w:val="21"/>
                <w14:textFill>
                  <w14:solidFill>
                    <w14:schemeClr w14:val="tx1"/>
                  </w14:solidFill>
                </w14:textFill>
              </w:rPr>
              <w:t>表2-</w:t>
            </w:r>
            <w:r>
              <w:rPr>
                <w:rFonts w:hint="eastAsia"/>
                <w:b/>
                <w:bCs/>
                <w:color w:val="000000" w:themeColor="text1"/>
                <w:kern w:val="2"/>
                <w:sz w:val="21"/>
                <w:szCs w:val="21"/>
                <w:lang w:val="en-US" w:eastAsia="zh-CN"/>
                <w14:textFill>
                  <w14:solidFill>
                    <w14:schemeClr w14:val="tx1"/>
                  </w14:solidFill>
                </w14:textFill>
              </w:rPr>
              <w:t>7</w:t>
            </w:r>
            <w:r>
              <w:rPr>
                <w:rFonts w:hint="eastAsia"/>
                <w:b/>
                <w:bCs/>
                <w:color w:val="000000" w:themeColor="text1"/>
                <w:kern w:val="2"/>
                <w:sz w:val="21"/>
                <w:szCs w:val="21"/>
                <w14:textFill>
                  <w14:solidFill>
                    <w14:schemeClr w14:val="tx1"/>
                  </w14:solidFill>
                </w14:textFill>
              </w:rPr>
              <w:t xml:space="preserve"> 项目土石方平衡表</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313"/>
              <w:gridCol w:w="1312"/>
              <w:gridCol w:w="1312"/>
              <w:gridCol w:w="1312"/>
              <w:gridCol w:w="1312"/>
            </w:tblGrid>
            <w:tr w14:paraId="28B1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0" w:type="pct"/>
                  <w:vAlign w:val="center"/>
                </w:tcPr>
                <w:p w14:paraId="5EFDF863">
                  <w:pPr>
                    <w:pStyle w:val="50"/>
                    <w:spacing w:before="24" w:after="24"/>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建设内容</w:t>
                  </w:r>
                </w:p>
              </w:tc>
              <w:tc>
                <w:tcPr>
                  <w:tcW w:w="834" w:type="pct"/>
                  <w:vAlign w:val="center"/>
                </w:tcPr>
                <w:p w14:paraId="56B0F3D2">
                  <w:pPr>
                    <w:pStyle w:val="50"/>
                    <w:spacing w:before="24" w:after="24"/>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类别</w:t>
                  </w:r>
                </w:p>
              </w:tc>
              <w:tc>
                <w:tcPr>
                  <w:tcW w:w="833" w:type="pct"/>
                  <w:vAlign w:val="center"/>
                </w:tcPr>
                <w:p w14:paraId="7D46CCAE">
                  <w:pPr>
                    <w:pStyle w:val="50"/>
                    <w:spacing w:before="24" w:after="24"/>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挖方（m</w:t>
                  </w:r>
                  <w:r>
                    <w:rPr>
                      <w:rFonts w:ascii="Times New Roman"/>
                      <w:b/>
                      <w:bCs/>
                      <w:color w:val="000000" w:themeColor="text1"/>
                      <w:sz w:val="21"/>
                      <w:vertAlign w:val="superscript"/>
                      <w14:textFill>
                        <w14:solidFill>
                          <w14:schemeClr w14:val="tx1"/>
                        </w14:solidFill>
                      </w14:textFill>
                    </w:rPr>
                    <w:t>3</w:t>
                  </w:r>
                  <w:r>
                    <w:rPr>
                      <w:rFonts w:ascii="Times New Roman"/>
                      <w:b/>
                      <w:bCs/>
                      <w:color w:val="000000" w:themeColor="text1"/>
                      <w:sz w:val="21"/>
                      <w14:textFill>
                        <w14:solidFill>
                          <w14:schemeClr w14:val="tx1"/>
                        </w14:solidFill>
                      </w14:textFill>
                    </w:rPr>
                    <w:t>）</w:t>
                  </w:r>
                </w:p>
              </w:tc>
              <w:tc>
                <w:tcPr>
                  <w:tcW w:w="833" w:type="pct"/>
                  <w:vAlign w:val="center"/>
                </w:tcPr>
                <w:p w14:paraId="5AB785F7">
                  <w:pPr>
                    <w:pStyle w:val="50"/>
                    <w:spacing w:before="24" w:after="24"/>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填方（m</w:t>
                  </w:r>
                  <w:r>
                    <w:rPr>
                      <w:rFonts w:ascii="Times New Roman"/>
                      <w:b/>
                      <w:bCs/>
                      <w:color w:val="000000" w:themeColor="text1"/>
                      <w:sz w:val="21"/>
                      <w:vertAlign w:val="superscript"/>
                      <w14:textFill>
                        <w14:solidFill>
                          <w14:schemeClr w14:val="tx1"/>
                        </w14:solidFill>
                      </w14:textFill>
                    </w:rPr>
                    <w:t>3</w:t>
                  </w:r>
                  <w:r>
                    <w:rPr>
                      <w:rFonts w:ascii="Times New Roman"/>
                      <w:b/>
                      <w:bCs/>
                      <w:color w:val="000000" w:themeColor="text1"/>
                      <w:sz w:val="21"/>
                      <w14:textFill>
                        <w14:solidFill>
                          <w14:schemeClr w14:val="tx1"/>
                        </w14:solidFill>
                      </w14:textFill>
                    </w:rPr>
                    <w:t>）</w:t>
                  </w:r>
                </w:p>
              </w:tc>
              <w:tc>
                <w:tcPr>
                  <w:tcW w:w="833" w:type="pct"/>
                  <w:vAlign w:val="center"/>
                </w:tcPr>
                <w:p w14:paraId="43EF0993">
                  <w:pPr>
                    <w:pStyle w:val="50"/>
                    <w:spacing w:before="24" w:after="24"/>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借方（m</w:t>
                  </w:r>
                  <w:r>
                    <w:rPr>
                      <w:rFonts w:ascii="Times New Roman"/>
                      <w:b/>
                      <w:bCs/>
                      <w:color w:val="000000" w:themeColor="text1"/>
                      <w:sz w:val="21"/>
                      <w:vertAlign w:val="superscript"/>
                      <w14:textFill>
                        <w14:solidFill>
                          <w14:schemeClr w14:val="tx1"/>
                        </w14:solidFill>
                      </w14:textFill>
                    </w:rPr>
                    <w:t>3</w:t>
                  </w:r>
                  <w:r>
                    <w:rPr>
                      <w:rFonts w:ascii="Times New Roman"/>
                      <w:b/>
                      <w:bCs/>
                      <w:color w:val="000000" w:themeColor="text1"/>
                      <w:sz w:val="21"/>
                      <w14:textFill>
                        <w14:solidFill>
                          <w14:schemeClr w14:val="tx1"/>
                        </w14:solidFill>
                      </w14:textFill>
                    </w:rPr>
                    <w:t>）</w:t>
                  </w:r>
                </w:p>
              </w:tc>
              <w:tc>
                <w:tcPr>
                  <w:tcW w:w="833" w:type="pct"/>
                  <w:vAlign w:val="center"/>
                </w:tcPr>
                <w:p w14:paraId="00FB6F18">
                  <w:pPr>
                    <w:pStyle w:val="50"/>
                    <w:spacing w:before="24" w:after="24"/>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弃方（m</w:t>
                  </w:r>
                  <w:r>
                    <w:rPr>
                      <w:rFonts w:ascii="Times New Roman"/>
                      <w:b/>
                      <w:bCs/>
                      <w:color w:val="000000" w:themeColor="text1"/>
                      <w:sz w:val="21"/>
                      <w:vertAlign w:val="superscript"/>
                      <w14:textFill>
                        <w14:solidFill>
                          <w14:schemeClr w14:val="tx1"/>
                        </w14:solidFill>
                      </w14:textFill>
                    </w:rPr>
                    <w:t>3</w:t>
                  </w:r>
                  <w:r>
                    <w:rPr>
                      <w:rFonts w:ascii="Times New Roman"/>
                      <w:b/>
                      <w:bCs/>
                      <w:color w:val="000000" w:themeColor="text1"/>
                      <w:sz w:val="21"/>
                      <w14:textFill>
                        <w14:solidFill>
                          <w14:schemeClr w14:val="tx1"/>
                        </w14:solidFill>
                      </w14:textFill>
                    </w:rPr>
                    <w:t>）</w:t>
                  </w:r>
                </w:p>
              </w:tc>
            </w:tr>
            <w:tr w14:paraId="4210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0" w:type="pct"/>
                  <w:vMerge w:val="restart"/>
                  <w:vAlign w:val="center"/>
                </w:tcPr>
                <w:p w14:paraId="6C1B18CC">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塔基施工</w:t>
                  </w:r>
                </w:p>
              </w:tc>
              <w:tc>
                <w:tcPr>
                  <w:tcW w:w="834" w:type="pct"/>
                  <w:vAlign w:val="center"/>
                </w:tcPr>
                <w:p w14:paraId="772AD3C3">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表土</w:t>
                  </w:r>
                </w:p>
              </w:tc>
              <w:tc>
                <w:tcPr>
                  <w:tcW w:w="833" w:type="pct"/>
                  <w:vAlign w:val="center"/>
                </w:tcPr>
                <w:p w14:paraId="35D4173B">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939.61</w:t>
                  </w:r>
                </w:p>
              </w:tc>
              <w:tc>
                <w:tcPr>
                  <w:tcW w:w="833" w:type="pct"/>
                  <w:vAlign w:val="center"/>
                </w:tcPr>
                <w:p w14:paraId="4BFBB151">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939.61</w:t>
                  </w:r>
                </w:p>
              </w:tc>
              <w:tc>
                <w:tcPr>
                  <w:tcW w:w="833" w:type="pct"/>
                  <w:vAlign w:val="center"/>
                </w:tcPr>
                <w:p w14:paraId="52C303ED">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w:t>
                  </w:r>
                </w:p>
              </w:tc>
              <w:tc>
                <w:tcPr>
                  <w:tcW w:w="833" w:type="pct"/>
                  <w:vAlign w:val="center"/>
                </w:tcPr>
                <w:p w14:paraId="03B1026E">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w:t>
                  </w:r>
                </w:p>
              </w:tc>
            </w:tr>
            <w:tr w14:paraId="36DD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0" w:type="pct"/>
                  <w:vMerge w:val="continue"/>
                  <w:vAlign w:val="center"/>
                </w:tcPr>
                <w:p w14:paraId="0F0F941E">
                  <w:pPr>
                    <w:pStyle w:val="50"/>
                    <w:spacing w:before="24" w:after="24"/>
                    <w:rPr>
                      <w:rFonts w:ascii="Times New Roman"/>
                      <w:color w:val="000000" w:themeColor="text1"/>
                      <w:sz w:val="21"/>
                      <w14:textFill>
                        <w14:solidFill>
                          <w14:schemeClr w14:val="tx1"/>
                        </w14:solidFill>
                      </w14:textFill>
                    </w:rPr>
                  </w:pPr>
                </w:p>
              </w:tc>
              <w:tc>
                <w:tcPr>
                  <w:tcW w:w="834" w:type="pct"/>
                  <w:vAlign w:val="center"/>
                </w:tcPr>
                <w:p w14:paraId="4BF8A831">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土石方</w:t>
                  </w:r>
                </w:p>
              </w:tc>
              <w:tc>
                <w:tcPr>
                  <w:tcW w:w="833" w:type="pct"/>
                  <w:vAlign w:val="center"/>
                </w:tcPr>
                <w:p w14:paraId="04C7DD77">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402.69</w:t>
                  </w:r>
                </w:p>
              </w:tc>
              <w:tc>
                <w:tcPr>
                  <w:tcW w:w="833" w:type="pct"/>
                  <w:vAlign w:val="center"/>
                </w:tcPr>
                <w:p w14:paraId="2139AF07">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200</w:t>
                  </w:r>
                </w:p>
              </w:tc>
              <w:tc>
                <w:tcPr>
                  <w:tcW w:w="833" w:type="pct"/>
                  <w:vAlign w:val="center"/>
                </w:tcPr>
                <w:p w14:paraId="7B62B4A7">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w:t>
                  </w:r>
                </w:p>
              </w:tc>
              <w:tc>
                <w:tcPr>
                  <w:tcW w:w="833" w:type="pct"/>
                  <w:vAlign w:val="center"/>
                </w:tcPr>
                <w:p w14:paraId="67B78577">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202.69</w:t>
                  </w:r>
                </w:p>
              </w:tc>
            </w:tr>
            <w:tr w14:paraId="6D69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0" w:type="pct"/>
                  <w:vMerge w:val="restart"/>
                  <w:vAlign w:val="center"/>
                </w:tcPr>
                <w:p w14:paraId="559725DD">
                  <w:pPr>
                    <w:pStyle w:val="50"/>
                    <w:spacing w:before="24" w:after="24"/>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施工场地</w:t>
                  </w:r>
                </w:p>
              </w:tc>
              <w:tc>
                <w:tcPr>
                  <w:tcW w:w="1313" w:type="dxa"/>
                  <w:vAlign w:val="center"/>
                </w:tcPr>
                <w:p w14:paraId="688B2B95">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表土</w:t>
                  </w:r>
                </w:p>
              </w:tc>
              <w:tc>
                <w:tcPr>
                  <w:tcW w:w="833" w:type="pct"/>
                  <w:vAlign w:val="center"/>
                </w:tcPr>
                <w:p w14:paraId="67869992">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2280</w:t>
                  </w:r>
                </w:p>
              </w:tc>
              <w:tc>
                <w:tcPr>
                  <w:tcW w:w="1312" w:type="dxa"/>
                  <w:vAlign w:val="center"/>
                </w:tcPr>
                <w:p w14:paraId="4F1A8703">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2280</w:t>
                  </w:r>
                </w:p>
              </w:tc>
              <w:tc>
                <w:tcPr>
                  <w:tcW w:w="833" w:type="pct"/>
                  <w:vAlign w:val="center"/>
                </w:tcPr>
                <w:p w14:paraId="3011A265">
                  <w:pPr>
                    <w:pStyle w:val="50"/>
                    <w:spacing w:before="24" w:after="24"/>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0</w:t>
                  </w:r>
                </w:p>
              </w:tc>
              <w:tc>
                <w:tcPr>
                  <w:tcW w:w="833" w:type="pct"/>
                  <w:vAlign w:val="center"/>
                </w:tcPr>
                <w:p w14:paraId="08E3C4E7">
                  <w:pPr>
                    <w:pStyle w:val="50"/>
                    <w:spacing w:before="24" w:after="24"/>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0</w:t>
                  </w:r>
                </w:p>
              </w:tc>
            </w:tr>
            <w:tr w14:paraId="3B93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0" w:type="pct"/>
                  <w:vMerge w:val="continue"/>
                  <w:vAlign w:val="center"/>
                </w:tcPr>
                <w:p w14:paraId="4AEF64A6">
                  <w:pPr>
                    <w:pStyle w:val="50"/>
                    <w:spacing w:before="24" w:after="24"/>
                    <w:rPr>
                      <w:rFonts w:ascii="Times New Roman"/>
                      <w:color w:val="000000" w:themeColor="text1"/>
                      <w:sz w:val="21"/>
                      <w14:textFill>
                        <w14:solidFill>
                          <w14:schemeClr w14:val="tx1"/>
                        </w14:solidFill>
                      </w14:textFill>
                    </w:rPr>
                  </w:pPr>
                </w:p>
              </w:tc>
              <w:tc>
                <w:tcPr>
                  <w:tcW w:w="1313" w:type="dxa"/>
                  <w:vAlign w:val="center"/>
                </w:tcPr>
                <w:p w14:paraId="503D1332">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土石方</w:t>
                  </w:r>
                </w:p>
              </w:tc>
              <w:tc>
                <w:tcPr>
                  <w:tcW w:w="833" w:type="pct"/>
                  <w:vAlign w:val="center"/>
                </w:tcPr>
                <w:p w14:paraId="317D1EAE">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570</w:t>
                  </w:r>
                </w:p>
              </w:tc>
              <w:tc>
                <w:tcPr>
                  <w:tcW w:w="1312" w:type="dxa"/>
                  <w:vAlign w:val="center"/>
                </w:tcPr>
                <w:p w14:paraId="617EB117">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772.69</w:t>
                  </w:r>
                </w:p>
              </w:tc>
              <w:tc>
                <w:tcPr>
                  <w:tcW w:w="833" w:type="pct"/>
                  <w:vAlign w:val="center"/>
                </w:tcPr>
                <w:p w14:paraId="54C659C7">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202.69</w:t>
                  </w:r>
                </w:p>
              </w:tc>
              <w:tc>
                <w:tcPr>
                  <w:tcW w:w="833" w:type="pct"/>
                  <w:vAlign w:val="center"/>
                </w:tcPr>
                <w:p w14:paraId="4D46C7C6">
                  <w:pPr>
                    <w:pStyle w:val="50"/>
                    <w:spacing w:before="24" w:after="24"/>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0</w:t>
                  </w:r>
                </w:p>
              </w:tc>
            </w:tr>
            <w:tr w14:paraId="4AF1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4" w:type="pct"/>
                  <w:gridSpan w:val="2"/>
                  <w:vAlign w:val="center"/>
                </w:tcPr>
                <w:p w14:paraId="47772B92">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合计</w:t>
                  </w:r>
                </w:p>
              </w:tc>
              <w:tc>
                <w:tcPr>
                  <w:tcW w:w="833" w:type="pct"/>
                  <w:vAlign w:val="center"/>
                </w:tcPr>
                <w:p w14:paraId="240C8E7F">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4192.3</w:t>
                  </w:r>
                </w:p>
              </w:tc>
              <w:tc>
                <w:tcPr>
                  <w:tcW w:w="833" w:type="pct"/>
                  <w:vAlign w:val="center"/>
                </w:tcPr>
                <w:p w14:paraId="2587E150">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4192.3</w:t>
                  </w:r>
                </w:p>
              </w:tc>
              <w:tc>
                <w:tcPr>
                  <w:tcW w:w="833" w:type="pct"/>
                  <w:vAlign w:val="center"/>
                </w:tcPr>
                <w:p w14:paraId="56BFA22F">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202.69</w:t>
                  </w:r>
                </w:p>
              </w:tc>
              <w:tc>
                <w:tcPr>
                  <w:tcW w:w="833" w:type="pct"/>
                  <w:vAlign w:val="center"/>
                </w:tcPr>
                <w:p w14:paraId="28257EAC">
                  <w:pPr>
                    <w:pStyle w:val="50"/>
                    <w:spacing w:before="24" w:after="24"/>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202.69</w:t>
                  </w:r>
                </w:p>
              </w:tc>
            </w:tr>
          </w:tbl>
          <w:p w14:paraId="2DC979BB">
            <w:pPr>
              <w:pStyle w:val="7"/>
              <w:spacing w:line="240" w:lineRule="auto"/>
              <w:jc w:val="center"/>
              <w:rPr>
                <w:rFonts w:hint="eastAsia"/>
                <w:b/>
                <w:bCs/>
                <w:color w:val="000000" w:themeColor="text1"/>
                <w:kern w:val="2"/>
                <w:sz w:val="21"/>
                <w:szCs w:val="21"/>
                <w14:textFill>
                  <w14:solidFill>
                    <w14:schemeClr w14:val="tx1"/>
                  </w14:solidFill>
                </w14:textFill>
              </w:rPr>
            </w:pPr>
          </w:p>
          <w:p w14:paraId="36B3A8F4">
            <w:pPr>
              <w:pStyle w:val="7"/>
              <w:spacing w:line="240" w:lineRule="auto"/>
              <w:jc w:val="center"/>
              <w:rPr>
                <w:rFonts w:hint="eastAsia"/>
                <w:b/>
                <w:bCs/>
                <w:color w:val="000000" w:themeColor="text1"/>
                <w:kern w:val="2"/>
                <w:sz w:val="21"/>
                <w:szCs w:val="21"/>
                <w14:textFill>
                  <w14:solidFill>
                    <w14:schemeClr w14:val="tx1"/>
                  </w14:solidFill>
                </w14:textFill>
              </w:rPr>
            </w:pPr>
          </w:p>
          <w:p w14:paraId="1E0559DF">
            <w:pPr>
              <w:pStyle w:val="7"/>
              <w:spacing w:line="240" w:lineRule="auto"/>
              <w:jc w:val="center"/>
              <w:rPr>
                <w:rFonts w:hint="eastAsia"/>
                <w:b/>
                <w:bCs/>
                <w:color w:val="000000" w:themeColor="text1"/>
                <w:kern w:val="2"/>
                <w:sz w:val="21"/>
                <w:szCs w:val="21"/>
                <w14:textFill>
                  <w14:solidFill>
                    <w14:schemeClr w14:val="tx1"/>
                  </w14:solidFill>
                </w14:textFill>
              </w:rPr>
            </w:pPr>
          </w:p>
          <w:p w14:paraId="1CBDBE50">
            <w:pPr>
              <w:pStyle w:val="7"/>
              <w:spacing w:line="240" w:lineRule="auto"/>
              <w:jc w:val="center"/>
              <w:rPr>
                <w:rFonts w:hint="eastAsia"/>
                <w:b/>
                <w:bCs/>
                <w:color w:val="000000" w:themeColor="text1"/>
                <w:kern w:val="2"/>
                <w:sz w:val="21"/>
                <w:szCs w:val="21"/>
                <w14:textFill>
                  <w14:solidFill>
                    <w14:schemeClr w14:val="tx1"/>
                  </w14:solidFill>
                </w14:textFill>
              </w:rPr>
            </w:pPr>
          </w:p>
          <w:p w14:paraId="0651AC59">
            <w:pPr>
              <w:pStyle w:val="7"/>
              <w:spacing w:line="240" w:lineRule="auto"/>
              <w:jc w:val="center"/>
              <w:rPr>
                <w:rFonts w:hint="eastAsia"/>
                <w:b/>
                <w:bCs/>
                <w:color w:val="000000" w:themeColor="text1"/>
                <w:kern w:val="2"/>
                <w:sz w:val="21"/>
                <w:szCs w:val="21"/>
                <w14:textFill>
                  <w14:solidFill>
                    <w14:schemeClr w14:val="tx1"/>
                  </w14:solidFill>
                </w14:textFill>
              </w:rPr>
            </w:pPr>
          </w:p>
          <w:p w14:paraId="06944DCF">
            <w:pPr>
              <w:pStyle w:val="7"/>
              <w:spacing w:line="240" w:lineRule="auto"/>
              <w:jc w:val="center"/>
              <w:rPr>
                <w:rFonts w:hint="eastAsia"/>
                <w:b/>
                <w:bCs/>
                <w:color w:val="000000" w:themeColor="text1"/>
                <w:kern w:val="2"/>
                <w:sz w:val="21"/>
                <w:szCs w:val="21"/>
                <w14:textFill>
                  <w14:solidFill>
                    <w14:schemeClr w14:val="tx1"/>
                  </w14:solidFill>
                </w14:textFill>
              </w:rPr>
            </w:pPr>
          </w:p>
          <w:p w14:paraId="470E64B5">
            <w:pPr>
              <w:pStyle w:val="7"/>
              <w:spacing w:line="240" w:lineRule="auto"/>
              <w:jc w:val="center"/>
              <w:rPr>
                <w:rFonts w:hint="eastAsia"/>
                <w:b/>
                <w:bCs/>
                <w:color w:val="000000" w:themeColor="text1"/>
                <w:kern w:val="2"/>
                <w:sz w:val="21"/>
                <w:szCs w:val="21"/>
                <w14:textFill>
                  <w14:solidFill>
                    <w14:schemeClr w14:val="tx1"/>
                  </w14:solidFill>
                </w14:textFill>
              </w:rPr>
            </w:pPr>
          </w:p>
          <w:p w14:paraId="4534D400">
            <w:pPr>
              <w:pStyle w:val="7"/>
              <w:spacing w:line="240" w:lineRule="auto"/>
              <w:jc w:val="center"/>
              <w:rPr>
                <w:rFonts w:hint="eastAsia"/>
                <w:b/>
                <w:bCs/>
                <w:color w:val="000000" w:themeColor="text1"/>
                <w:kern w:val="2"/>
                <w:sz w:val="21"/>
                <w:szCs w:val="21"/>
                <w14:textFill>
                  <w14:solidFill>
                    <w14:schemeClr w14:val="tx1"/>
                  </w14:solidFill>
                </w14:textFill>
              </w:rPr>
            </w:pPr>
          </w:p>
          <w:p w14:paraId="3EC20DC6">
            <w:pPr>
              <w:pStyle w:val="7"/>
              <w:spacing w:line="240" w:lineRule="auto"/>
              <w:jc w:val="center"/>
              <w:rPr>
                <w:rFonts w:hint="eastAsia"/>
                <w:b/>
                <w:bCs/>
                <w:color w:val="000000" w:themeColor="text1"/>
                <w:kern w:val="2"/>
                <w:sz w:val="21"/>
                <w:szCs w:val="21"/>
                <w14:textFill>
                  <w14:solidFill>
                    <w14:schemeClr w14:val="tx1"/>
                  </w14:solidFill>
                </w14:textFill>
              </w:rPr>
            </w:pPr>
          </w:p>
          <w:p w14:paraId="35B0BAED">
            <w:pPr>
              <w:pStyle w:val="7"/>
              <w:spacing w:line="240" w:lineRule="auto"/>
              <w:jc w:val="center"/>
              <w:rPr>
                <w:rFonts w:hint="eastAsia"/>
                <w:b/>
                <w:bCs/>
                <w:color w:val="000000" w:themeColor="text1"/>
                <w:kern w:val="2"/>
                <w:sz w:val="21"/>
                <w:szCs w:val="21"/>
                <w14:textFill>
                  <w14:solidFill>
                    <w14:schemeClr w14:val="tx1"/>
                  </w14:solidFill>
                </w14:textFill>
              </w:rPr>
            </w:pPr>
          </w:p>
          <w:p w14:paraId="15B8B65B">
            <w:pPr>
              <w:pStyle w:val="7"/>
              <w:spacing w:line="240" w:lineRule="auto"/>
              <w:jc w:val="center"/>
              <w:rPr>
                <w:rFonts w:hint="eastAsia"/>
                <w:b/>
                <w:bCs/>
                <w:color w:val="000000" w:themeColor="text1"/>
                <w:kern w:val="2"/>
                <w:sz w:val="21"/>
                <w:szCs w:val="21"/>
                <w14:textFill>
                  <w14:solidFill>
                    <w14:schemeClr w14:val="tx1"/>
                  </w14:solidFill>
                </w14:textFill>
              </w:rPr>
            </w:pPr>
          </w:p>
          <w:p w14:paraId="76611542">
            <w:pPr>
              <w:pStyle w:val="7"/>
              <w:spacing w:line="240" w:lineRule="auto"/>
              <w:jc w:val="both"/>
              <w:rPr>
                <w:rFonts w:hint="eastAsia"/>
                <w:b/>
                <w:bCs/>
                <w:color w:val="000000" w:themeColor="text1"/>
                <w:kern w:val="2"/>
                <w:sz w:val="21"/>
                <w:szCs w:val="21"/>
                <w14:textFill>
                  <w14:solidFill>
                    <w14:schemeClr w14:val="tx1"/>
                  </w14:solidFill>
                </w14:textFill>
              </w:rPr>
            </w:pPr>
          </w:p>
          <w:p w14:paraId="30C3F811">
            <w:pPr>
              <w:pStyle w:val="7"/>
              <w:spacing w:line="240" w:lineRule="auto"/>
              <w:jc w:val="center"/>
              <w:rPr>
                <w:rFonts w:hint="eastAsia"/>
                <w:b/>
                <w:bCs/>
                <w:color w:val="000000" w:themeColor="text1"/>
                <w:kern w:val="2"/>
                <w:sz w:val="21"/>
                <w:szCs w:val="21"/>
                <w14:textFill>
                  <w14:solidFill>
                    <w14:schemeClr w14:val="tx1"/>
                  </w14:solidFill>
                </w14:textFill>
              </w:rPr>
            </w:pPr>
          </w:p>
          <w:p w14:paraId="464FF4E2">
            <w:pPr>
              <w:pStyle w:val="53"/>
              <w:snapToGrid w:val="0"/>
              <w:spacing w:line="480" w:lineRule="atLeast"/>
              <w:ind w:firstLine="480"/>
              <w:rPr>
                <w:color w:val="000000" w:themeColor="text1"/>
                <w:szCs w:val="21"/>
                <w14:textFill>
                  <w14:solidFill>
                    <w14:schemeClr w14:val="tx1"/>
                  </w14:solidFill>
                </w14:textFill>
              </w:rPr>
            </w:pPr>
          </w:p>
        </w:tc>
      </w:tr>
      <w:tr w14:paraId="5EEC9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55" w:hRule="atLeast"/>
        </w:trPr>
        <w:tc>
          <w:tcPr>
            <w:tcW w:w="248" w:type="pct"/>
            <w:tcBorders>
              <w:top w:val="single" w:color="auto" w:sz="4" w:space="0"/>
              <w:left w:val="single" w:color="auto" w:sz="4" w:space="0"/>
              <w:bottom w:val="single" w:color="auto" w:sz="4" w:space="0"/>
              <w:right w:val="single" w:color="auto" w:sz="4" w:space="0"/>
            </w:tcBorders>
            <w:vAlign w:val="center"/>
          </w:tcPr>
          <w:p w14:paraId="516247B1">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施工方案</w:t>
            </w:r>
          </w:p>
        </w:tc>
        <w:tc>
          <w:tcPr>
            <w:tcW w:w="4751" w:type="pct"/>
            <w:tcBorders>
              <w:top w:val="single" w:color="auto" w:sz="4" w:space="0"/>
              <w:left w:val="single" w:color="auto" w:sz="4" w:space="0"/>
              <w:bottom w:val="single" w:color="auto" w:sz="4" w:space="0"/>
              <w:right w:val="single" w:color="auto" w:sz="4" w:space="0"/>
            </w:tcBorders>
            <w:vAlign w:val="center"/>
          </w:tcPr>
          <w:p w14:paraId="4FFC26B4">
            <w:pPr>
              <w:pStyle w:val="17"/>
              <w:spacing w:line="480" w:lineRule="exact"/>
              <w:ind w:left="0" w:firstLine="422" w:firstLineChars="20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一、施工工艺</w:t>
            </w:r>
          </w:p>
          <w:p w14:paraId="0075DBE7">
            <w:pPr>
              <w:pStyle w:val="17"/>
              <w:spacing w:line="480" w:lineRule="exact"/>
              <w:ind w:left="0" w:firstLine="422" w:firstLineChars="20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1、输电线路施工工艺</w:t>
            </w:r>
          </w:p>
          <w:p w14:paraId="70AA5EC8">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输电线路施工主要内容塔基基础、立塔、挂线、电缆敷设、调试验收等。</w:t>
            </w:r>
          </w:p>
          <w:p w14:paraId="72A50FB6">
            <w:pPr>
              <w:pStyle w:val="17"/>
              <w:ind w:left="0" w:firstLine="0" w:firstLineChars="0"/>
              <w:jc w:val="center"/>
              <w:rPr>
                <w:bCs/>
                <w:color w:val="000000" w:themeColor="text1"/>
                <w:szCs w:val="21"/>
                <w14:textFill>
                  <w14:solidFill>
                    <w14:schemeClr w14:val="tx1"/>
                  </w14:solidFill>
                </w14:textFill>
              </w:rPr>
            </w:pPr>
            <w:r>
              <w:rPr>
                <w:rFonts w:hint="eastAsia"/>
                <w:color w:val="000000" w:themeColor="text1"/>
                <w:kern w:val="2"/>
                <w:sz w:val="24"/>
                <w14:textFill>
                  <w14:solidFill>
                    <w14:schemeClr w14:val="tx1"/>
                  </w14:solidFill>
                </w14:textFill>
              </w:rPr>
              <w:drawing>
                <wp:inline distT="0" distB="0" distL="114300" distR="114300">
                  <wp:extent cx="4189730" cy="2929890"/>
                  <wp:effectExtent l="0" t="0" r="0" b="0"/>
                  <wp:docPr id="33" name="ECB019B1-382A-4266-B25C-5B523AA43C14-1" descr="C:/Users/M/AppData/Local/Temp/wps.Jtbjj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B019B1-382A-4266-B25C-5B523AA43C14-1" descr="C:/Users/M/AppData/Local/Temp/wps.JtbjjEwps"/>
                          <pic:cNvPicPr>
                            <a:picLocks noChangeAspect="1"/>
                          </pic:cNvPicPr>
                        </pic:nvPicPr>
                        <pic:blipFill>
                          <a:blip r:embed="rId25"/>
                          <a:stretch>
                            <a:fillRect/>
                          </a:stretch>
                        </pic:blipFill>
                        <pic:spPr>
                          <a:xfrm>
                            <a:off x="0" y="0"/>
                            <a:ext cx="4189730" cy="2929890"/>
                          </a:xfrm>
                          <a:prstGeom prst="rect">
                            <a:avLst/>
                          </a:prstGeom>
                          <a:noFill/>
                          <a:ln>
                            <a:noFill/>
                          </a:ln>
                        </pic:spPr>
                      </pic:pic>
                    </a:graphicData>
                  </a:graphic>
                </wp:inline>
              </w:drawing>
            </w:r>
          </w:p>
          <w:p w14:paraId="51A959F0">
            <w:pPr>
              <w:pStyle w:val="17"/>
              <w:spacing w:line="480" w:lineRule="exact"/>
              <w:ind w:left="422" w:hanging="422"/>
              <w:jc w:val="center"/>
              <w:rPr>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图</w:t>
            </w:r>
            <w:r>
              <w:rPr>
                <w:b/>
                <w:bCs/>
                <w:color w:val="000000" w:themeColor="text1"/>
                <w:szCs w:val="21"/>
                <w14:textFill>
                  <w14:solidFill>
                    <w14:schemeClr w14:val="tx1"/>
                  </w14:solidFill>
                </w14:textFill>
              </w:rPr>
              <w:t>2-</w:t>
            </w:r>
            <w:r>
              <w:rPr>
                <w:rFonts w:hint="eastAsia"/>
                <w:b/>
                <w:bCs/>
                <w:color w:val="000000" w:themeColor="text1"/>
                <w:szCs w:val="21"/>
                <w:lang w:val="en-US" w:eastAsia="zh-CN"/>
                <w14:textFill>
                  <w14:solidFill>
                    <w14:schemeClr w14:val="tx1"/>
                  </w14:solidFill>
                </w14:textFill>
              </w:rPr>
              <w:t>3</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输电线路施工及运营工艺流程与排污节点图</w:t>
            </w:r>
          </w:p>
          <w:p w14:paraId="0BDEE343">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①土方开挖与塔基施工</w:t>
            </w:r>
          </w:p>
          <w:p w14:paraId="62585303">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在丘陵及山区线路塔基开挖采用四基座分别开挖，以减小开挖面。所采用的基础型式不同，则施工工艺也不同。</w:t>
            </w:r>
          </w:p>
          <w:p w14:paraId="797EA269">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插入式基础和主柱配筋式基础开挖采用人工掏挖，塔基基础采用现场浇筑混凝土，机械搅拌，机械捣固。</w:t>
            </w:r>
          </w:p>
          <w:p w14:paraId="6A8095AA">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灌注桩基础采用机械钻孔，孔钻好以后，安装钢筋骨架，安装前设置定位钢环、混凝土垫块以保证保护层厚度，固定骨架，最后灌注混凝土。</w:t>
            </w:r>
          </w:p>
          <w:p w14:paraId="6CEA7CF9">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②杆塔组立</w:t>
            </w:r>
          </w:p>
          <w:p w14:paraId="3D9ABD35">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杆塔组立分为整体组立和分解组立两大类。采用整体组立杆塔施工工艺，须先在地面对杆塔进行整体组装，从而</w:t>
            </w:r>
            <w:r>
              <w:rPr>
                <w:rFonts w:hint="eastAsia"/>
                <w:bCs/>
                <w:color w:val="000000" w:themeColor="text1"/>
                <w:szCs w:val="21"/>
                <w:lang w:eastAsia="zh-CN"/>
                <w14:textFill>
                  <w14:solidFill>
                    <w14:schemeClr w14:val="tx1"/>
                  </w14:solidFill>
                </w14:textFill>
              </w:rPr>
              <w:t>减少</w:t>
            </w:r>
            <w:r>
              <w:rPr>
                <w:rFonts w:hint="eastAsia"/>
                <w:bCs/>
                <w:color w:val="000000" w:themeColor="text1"/>
                <w:szCs w:val="21"/>
                <w14:textFill>
                  <w14:solidFill>
                    <w14:schemeClr w14:val="tx1"/>
                  </w14:solidFill>
                </w14:textFill>
              </w:rPr>
              <w:t>高空作业，提高施工效率，并且有利于安全作业，提高经济效益。但整体组立杆塔容易受地形条件、铁塔型式和起吊设备的限制，此种情况下，可采用杆塔分解组立的施工方法。本项目杆塔在建设过程中，根据具体杆塔所处的地形条件和杆塔型式采用适宜的施工方法。</w:t>
            </w:r>
          </w:p>
          <w:p w14:paraId="4FD934CF">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③线路架设及附属工程</w:t>
            </w:r>
          </w:p>
          <w:p w14:paraId="7A0C9309">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各线路导、地线均采用张力放线施工方法，防止在放线过程中导、地线落地拖拉及相互摩擦。采用张力放线施工时需设置牵张场地，一般利用当地道路；当塔位离施工道路较远或不能满足要求时，根据工程实际情况设置牵张设备、布置导线及施工操作等要求，在施工结束后，牵张场地等临时占地恢复原来使用功能。 </w:t>
            </w:r>
          </w:p>
          <w:p w14:paraId="5513C95E">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输电线路架线施工将跨越各类基础设施，主要包括：电力线、通信线、高速公路等。本项目架线采用张力放线施工方法，张力架线全过程中导（地）线是架空状态的，一旦发生张力失控，导（地）线将落至被跨越设施，从而对被跨越设施产生影响。因此，目前跨越架线施工一般采用跨越架施工方式，通过在被跨越设施两侧设立跨越架，跨越架之间架设承力索，通过承力索进行封顶网安装，有效遮护被跨越物，起到保护被跨越物作用。应用跨越架的结构形式有：木（竹）质结构跨越架、悬索式跨越架。</w:t>
            </w:r>
          </w:p>
          <w:p w14:paraId="2398C2D2">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A.木（竹）质结构跨越架</w:t>
            </w:r>
          </w:p>
          <w:p w14:paraId="75389CE7">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用经纬仪测出线路与被跨越设施交叉的中心点，定出两侧跨越架的设置位置。跨越架横向中心线必须在线路的中心线上。于指定地点安装木（竹）质结构跨越架，跨越架体搭设完成后，用钢丝绳连接成一体加强跨越架的稳定性，同时钢丝绳作为封顶网的承力索。在承托线上铺封顶网（麻绳或尼龙绳编织）并作为展放导地线的滑道。跨越架线完成后，及时拆除跨越架。</w:t>
            </w:r>
          </w:p>
          <w:p w14:paraId="2677D3BB">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B.悬索式跨越架</w:t>
            </w:r>
          </w:p>
          <w:p w14:paraId="5E827090">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主要是利用被跨越设施两侧跨越塔做支撑，在两塔之间架设承力索，通过承力索进行封顶网安装有效遮护被跨越物，起到保护被跨越物作用。 </w:t>
            </w:r>
          </w:p>
          <w:p w14:paraId="5430A02F">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线路工程跨越施工时，应对被跨越设施进行现场调查，了解跨越地形条件、跨越设施的位置、跨越物的重要程度等内容，选用合适的跨越方式进行施工，不会对跨越设施产生影响。</w:t>
            </w:r>
          </w:p>
          <w:p w14:paraId="1C208C80">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④调试运营</w:t>
            </w:r>
          </w:p>
          <w:p w14:paraId="3D90FB9E">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项目建设完成后，线路带电进行调试。调试及运营过程，由于线路带电，会产生电磁影响和噪声影响。</w:t>
            </w:r>
          </w:p>
          <w:p w14:paraId="76AEB3DE">
            <w:pPr>
              <w:pStyle w:val="17"/>
              <w:spacing w:line="480" w:lineRule="exact"/>
              <w:ind w:left="0" w:firstLine="422" w:firstLineChars="20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2、施工时序及建设周期</w:t>
            </w:r>
          </w:p>
          <w:p w14:paraId="298759B4">
            <w:pPr>
              <w:pStyle w:val="17"/>
              <w:spacing w:line="480" w:lineRule="exact"/>
              <w:ind w:left="0" w:firstLine="420" w:firstLineChars="200"/>
              <w:jc w:val="left"/>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建设内容主要包括施工准备、塔基施工、组塔施工、架线施工、验收消缺、运行等。整个项目建设周期为4个月。</w:t>
            </w:r>
          </w:p>
          <w:p w14:paraId="09B79025">
            <w:pPr>
              <w:pStyle w:val="17"/>
              <w:spacing w:line="480" w:lineRule="exact"/>
              <w:ind w:left="0" w:firstLine="420" w:firstLineChars="200"/>
              <w:jc w:val="left"/>
              <w:rPr>
                <w:rFonts w:hint="eastAsia" w:eastAsia="宋体"/>
                <w:bCs/>
                <w:color w:val="000000" w:themeColor="text1"/>
                <w:szCs w:val="21"/>
                <w:lang w:eastAsia="zh-CN"/>
                <w14:textFill>
                  <w14:solidFill>
                    <w14:schemeClr w14:val="tx1"/>
                  </w14:solidFill>
                </w14:textFill>
              </w:rPr>
            </w:pPr>
            <w:r>
              <w:rPr>
                <w:rFonts w:hint="default"/>
                <w:bCs/>
                <w:color w:val="000000" w:themeColor="text1"/>
                <w:szCs w:val="21"/>
                <w14:textFill>
                  <w14:solidFill>
                    <w14:schemeClr w14:val="tx1"/>
                  </w14:solidFill>
                </w14:textFill>
              </w:rPr>
              <w:t>施工准备期10天，塔基施工60天，组塔、架线施工约35天，验收消缺、试运行约15天</w:t>
            </w:r>
            <w:r>
              <w:rPr>
                <w:rFonts w:hint="eastAsia"/>
                <w:bCs/>
                <w:color w:val="000000" w:themeColor="text1"/>
                <w:szCs w:val="21"/>
                <w:lang w:eastAsia="zh-CN"/>
                <w14:textFill>
                  <w14:solidFill>
                    <w14:schemeClr w14:val="tx1"/>
                  </w14:solidFill>
                </w14:textFill>
              </w:rPr>
              <w:t>。</w:t>
            </w:r>
          </w:p>
          <w:p w14:paraId="4868B3EB">
            <w:pPr>
              <w:pStyle w:val="17"/>
              <w:spacing w:line="480" w:lineRule="exact"/>
              <w:ind w:left="0" w:firstLine="422" w:firstLineChars="20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3、产污环节</w:t>
            </w:r>
          </w:p>
          <w:p w14:paraId="05BA1CA2">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（1）施工期</w:t>
            </w:r>
          </w:p>
          <w:p w14:paraId="295FBCF3">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工程施工期的主要环境影响因素有：施工噪声、施工废气、施工废污水、施工固体废物、生态影响等。</w:t>
            </w:r>
          </w:p>
          <w:p w14:paraId="0AA71A3C">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①噪声：输电线路建设过程中运输车辆的交通噪声，建筑物基础挖掘、浇注、管沟挖掘等装卸机、挖掘机等工程机械产生的机械噪声；牵张场内的牵张机、绞盘机等产生的机械噪声。</w:t>
            </w:r>
          </w:p>
          <w:p w14:paraId="1BE44F39">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②废气：建筑材料堆存、地基挖掘、管沟填挖土方、塔基挖掘、土方转运等产生的扬尘，车辆运输进出工地产生的二次扬尘。施工机械和施工车辆尾气。</w:t>
            </w:r>
          </w:p>
          <w:p w14:paraId="4A35657C">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③废水：施工过程中产生少量的基础养护废水、车辆清洗废水及施工人员生活污水。</w:t>
            </w:r>
          </w:p>
          <w:p w14:paraId="2E8EBF1B">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④固体废物：主要为施工挖方、少量建筑垃圾和施工人员的生活垃圾。</w:t>
            </w:r>
          </w:p>
          <w:p w14:paraId="53ABF352">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⑤生态：输电线路基础开挖及施工，施工道路、牵张场等临时占地对植被的破坏等。</w:t>
            </w:r>
          </w:p>
          <w:p w14:paraId="0D2DBA34">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（2）运营期</w:t>
            </w:r>
          </w:p>
          <w:p w14:paraId="78B7514F">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①电磁环境：输电线路运行过程中产生的工频电场、工频磁场；</w:t>
            </w:r>
          </w:p>
          <w:p w14:paraId="7D8CBFD4">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②噪声：输电线路产生的电晕放电时产生的噪声。</w:t>
            </w:r>
          </w:p>
          <w:p w14:paraId="4E0E31C2">
            <w:pPr>
              <w:pStyle w:val="17"/>
              <w:spacing w:line="480" w:lineRule="exact"/>
              <w:ind w:left="0"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③生态：项目运营期间对生态影响较小，主要影响是架空线路对鸟类飞行的影响。根据《冀北电网鸟粪类涉鸟故障风险分布图》（2018版），本项目线路沿线位不涉及相关鸟粪类涉鸟故障风险。</w:t>
            </w:r>
          </w:p>
        </w:tc>
      </w:tr>
      <w:tr w14:paraId="5F6DE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2" w:hRule="atLeast"/>
        </w:trPr>
        <w:tc>
          <w:tcPr>
            <w:tcW w:w="248" w:type="pct"/>
            <w:tcBorders>
              <w:top w:val="single" w:color="auto" w:sz="4" w:space="0"/>
              <w:left w:val="single" w:color="auto" w:sz="4" w:space="0"/>
              <w:bottom w:val="single" w:color="auto" w:sz="4" w:space="0"/>
              <w:right w:val="single" w:color="auto" w:sz="4" w:space="0"/>
            </w:tcBorders>
            <w:vAlign w:val="center"/>
          </w:tcPr>
          <w:p w14:paraId="6417365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与项</w:t>
            </w:r>
          </w:p>
          <w:p w14:paraId="424095D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目有</w:t>
            </w:r>
          </w:p>
          <w:p w14:paraId="43D4480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关的</w:t>
            </w:r>
          </w:p>
          <w:p w14:paraId="1FFE914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原有</w:t>
            </w:r>
          </w:p>
          <w:p w14:paraId="3268879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5F771B4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w:t>
            </w:r>
          </w:p>
          <w:p w14:paraId="501BC4C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问题</w:t>
            </w:r>
          </w:p>
        </w:tc>
        <w:tc>
          <w:tcPr>
            <w:tcW w:w="4751" w:type="pct"/>
            <w:tcBorders>
              <w:top w:val="single" w:color="auto" w:sz="4" w:space="0"/>
              <w:left w:val="single" w:color="auto" w:sz="4" w:space="0"/>
              <w:bottom w:val="single" w:color="auto" w:sz="4" w:space="0"/>
              <w:right w:val="single" w:color="auto" w:sz="4" w:space="0"/>
            </w:tcBorders>
            <w:vAlign w:val="center"/>
          </w:tcPr>
          <w:p w14:paraId="30D5A88A">
            <w:pPr>
              <w:pStyle w:val="17"/>
              <w:spacing w:line="360" w:lineRule="auto"/>
              <w:ind w:left="0"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w:t>
            </w:r>
          </w:p>
        </w:tc>
      </w:tr>
    </w:tbl>
    <w:p w14:paraId="63986191">
      <w:pPr>
        <w:pStyle w:val="2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br w:type="page"/>
      </w:r>
      <w:bookmarkStart w:id="4" w:name="_Toc3611"/>
      <w:r>
        <w:rPr>
          <w:rFonts w:hint="eastAsia" w:ascii="黑体" w:hAnsi="黑体" w:eastAsia="黑体"/>
          <w:snapToGrid w:val="0"/>
          <w:color w:val="000000" w:themeColor="text1"/>
          <w:sz w:val="30"/>
          <w:szCs w:val="30"/>
          <w14:textFill>
            <w14:solidFill>
              <w14:schemeClr w14:val="tx1"/>
            </w14:solidFill>
          </w14:textFill>
        </w:rPr>
        <w:t>三、</w:t>
      </w:r>
      <w:r>
        <w:rPr>
          <w:rFonts w:hint="eastAsia" w:ascii="黑体" w:hAnsi="黑体" w:eastAsia="黑体"/>
          <w:snapToGrid w:val="0"/>
          <w:color w:val="000000" w:themeColor="text1"/>
          <w:sz w:val="30"/>
          <w:szCs w:val="30"/>
          <w:lang w:val="en-US" w:eastAsia="zh-CN"/>
          <w14:textFill>
            <w14:solidFill>
              <w14:schemeClr w14:val="tx1"/>
            </w14:solidFill>
          </w14:textFill>
        </w:rPr>
        <w:t>生态环境</w:t>
      </w:r>
      <w:r>
        <w:rPr>
          <w:rFonts w:hint="eastAsia" w:ascii="黑体" w:hAnsi="黑体" w:eastAsia="黑体"/>
          <w:snapToGrid w:val="0"/>
          <w:color w:val="000000" w:themeColor="text1"/>
          <w:sz w:val="30"/>
          <w:szCs w:val="30"/>
          <w14:textFill>
            <w14:solidFill>
              <w14:schemeClr w14:val="tx1"/>
            </w14:solidFill>
          </w14:textFill>
        </w:rPr>
        <w:t>现状、环境保护目标及评价标准</w:t>
      </w:r>
      <w:bookmarkEnd w:id="4"/>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872"/>
      </w:tblGrid>
      <w:tr w14:paraId="40948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80" w:type="pct"/>
            <w:vAlign w:val="center"/>
          </w:tcPr>
          <w:p w14:paraId="0BF8E0D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生态环境</w:t>
            </w:r>
            <w:r>
              <w:rPr>
                <w:color w:val="000000" w:themeColor="text1"/>
                <w:kern w:val="0"/>
                <w:szCs w:val="21"/>
                <w14:textFill>
                  <w14:solidFill>
                    <w14:schemeClr w14:val="tx1"/>
                  </w14:solidFill>
                </w14:textFill>
              </w:rPr>
              <w:t>现状</w:t>
            </w:r>
          </w:p>
        </w:tc>
        <w:tc>
          <w:tcPr>
            <w:tcW w:w="4619" w:type="pct"/>
            <w:vAlign w:val="center"/>
          </w:tcPr>
          <w:p w14:paraId="3C7E8A04">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jc w:val="both"/>
              <w:textAlignment w:val="auto"/>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一、生态环境质量现状</w:t>
            </w:r>
          </w:p>
          <w:p w14:paraId="7AF364A6">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jc w:val="both"/>
              <w:textAlignment w:val="auto"/>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（一）区域概况</w:t>
            </w:r>
          </w:p>
          <w:p w14:paraId="53985A1A">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本项目输变线路位于河北省承德市承德县六沟镇、石灰窑镇、甲山镇，位于承德县东南部。承德县位于河北省西北部，隶属承德市管辖，东与平泉县接壤，南</w:t>
            </w:r>
            <w:r>
              <w:rPr>
                <w:rFonts w:hint="eastAsia" w:cs="Times New Roman"/>
                <w:color w:val="000000" w:themeColor="text1"/>
                <w:szCs w:val="21"/>
                <w:lang w:val="en-US" w:eastAsia="zh-CN"/>
                <w14:textFill>
                  <w14:solidFill>
                    <w14:schemeClr w14:val="tx1"/>
                  </w14:solidFill>
                </w14:textFill>
              </w:rPr>
              <w:t>邻</w:t>
            </w:r>
            <w:r>
              <w:rPr>
                <w:rFonts w:hint="eastAsia" w:ascii="Times New Roman" w:hAnsi="Times New Roman" w:eastAsia="宋体" w:cs="Times New Roman"/>
                <w:color w:val="000000" w:themeColor="text1"/>
                <w:szCs w:val="21"/>
                <w:lang w:val="en-US" w:eastAsia="zh-CN"/>
                <w14:textFill>
                  <w14:solidFill>
                    <w14:schemeClr w14:val="tx1"/>
                  </w14:solidFill>
                </w14:textFill>
              </w:rPr>
              <w:t>宽城县和兴隆县，西与承德市双桥区毗邻，西北与隆化县为邻，东北、西南分别与内蒙古宁城县、北京市密云县接壤。承德县境内东西宽89km，南北长95km，总面积 3996.6km2。满杖子乡地处承德县东南部，东与平泉市相邻，南与宽城县毗邻，西与八家乡相连，北与甲山镇、上谷镇接壤。</w:t>
            </w:r>
          </w:p>
          <w:p w14:paraId="13609787">
            <w:pPr>
              <w:adjustRightInd w:val="0"/>
              <w:snapToGrid w:val="0"/>
              <w:spacing w:line="480" w:lineRule="exact"/>
              <w:ind w:firstLine="422" w:firstLineChars="200"/>
              <w:jc w:val="both"/>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（二）自然环境</w:t>
            </w:r>
          </w:p>
          <w:p w14:paraId="74224DDD">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1、地形地貌</w:t>
            </w:r>
          </w:p>
          <w:p w14:paraId="57B33BF6">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承德县地处燕山地槽与内蒙古背斜</w:t>
            </w:r>
            <w:r>
              <w:rPr>
                <w:rFonts w:hint="eastAsia" w:cs="Times New Roman"/>
                <w:color w:val="000000" w:themeColor="text1"/>
                <w:szCs w:val="21"/>
                <w:lang w:val="en-US" w:eastAsia="zh-CN"/>
                <w14:textFill>
                  <w14:solidFill>
                    <w14:schemeClr w14:val="tx1"/>
                  </w14:solidFill>
                </w14:textFill>
              </w:rPr>
              <w:t>过渡带</w:t>
            </w:r>
            <w:r>
              <w:rPr>
                <w:rFonts w:hint="eastAsia" w:ascii="Times New Roman" w:hAnsi="Times New Roman" w:eastAsia="宋体" w:cs="Times New Roman"/>
                <w:color w:val="000000" w:themeColor="text1"/>
                <w:szCs w:val="21"/>
                <w:lang w:val="en-US" w:eastAsia="zh-CN"/>
                <w14:textFill>
                  <w14:solidFill>
                    <w14:schemeClr w14:val="tx1"/>
                  </w14:solidFill>
                </w14:textFill>
              </w:rPr>
              <w:t>，属冀北山地地貌，地势北高南低，山高谷深，自北向南依次为中山、低山、丘陵、河谷地。境内低山山区地貌单元约占全县总面积的80%左右，河谷阶地地貌单元主要分布在滦河及其支流河谷地。承德县的大地构造属于华北地台，北部处于内蒙古地轴南缘，南部处于华北地台内二级大地构造单元和燕山纬向沉降带三级大地构造单元。出露的地层较全，有太古界地层、中晚元古界地层、古生代地层、中生代地层、新生界地层。由于燕山运动，使地层呈现褶皱隆起和不同程度的断裂，在山脉之间形成了一系列呈东北方向分布的山间盆地。境内出露的岩石为岩浆石，主要为太古代旋回和燕山旋回。</w:t>
            </w:r>
          </w:p>
          <w:p w14:paraId="136E8D0F">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项目线路沿线途经的地貌单元以高山为主，植被覆盖较好。</w:t>
            </w:r>
          </w:p>
          <w:p w14:paraId="637EA907">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2、地质、水文概况</w:t>
            </w:r>
          </w:p>
          <w:p w14:paraId="27E9DE0A">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线路沿线途经地形地貌以中高山为主，地势较高，地形起伏大，局部地段山势较陡，山体两侧沟壑发育，沟谷切割强烈；线路沿线植被较茂盛，基岩覆盖层较厚。</w:t>
            </w:r>
          </w:p>
          <w:p w14:paraId="2004798F">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线路沿线均为山区地形，地势较高，沿线不存在洪水淹没问题。</w:t>
            </w:r>
          </w:p>
          <w:p w14:paraId="08BF8C8F">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（1）拟建线路区域属相对稳定地块，没有滑坡、崩塌、泥石流、地面塌陷等不良地质作用。</w:t>
            </w:r>
          </w:p>
          <w:p w14:paraId="68ADAF78">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（2）拟建线路沿线主要为中高山区，地层岩性以碎石土及基岩为主。</w:t>
            </w:r>
          </w:p>
          <w:p w14:paraId="2BB33D6A">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（3）拟建线路跨河段地下水位埋深建议按0.00m考虑；所有跨河段河堤外侧约1.0km左右地势低洼地段，考虑地下水影响；其余地段地下水位埋深一般大于10.0m，不考虑其对地基基础的影响。</w:t>
            </w:r>
          </w:p>
          <w:p w14:paraId="71BA9B02">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（4）拟建线路沿线地下水对混凝土结构及对混凝土结构中的钢筋均具微腐蚀性，对钢结构具弱腐蚀性。</w:t>
            </w:r>
          </w:p>
          <w:p w14:paraId="1FDEA6F8">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（5）拟建线路</w:t>
            </w:r>
            <w:r>
              <w:rPr>
                <w:rFonts w:hint="eastAsia" w:cs="Times New Roman"/>
                <w:color w:val="000000" w:themeColor="text1"/>
                <w:szCs w:val="21"/>
                <w:lang w:val="en-US" w:eastAsia="zh-CN"/>
                <w14:textFill>
                  <w14:solidFill>
                    <w14:schemeClr w14:val="tx1"/>
                  </w14:solidFill>
                </w14:textFill>
              </w:rPr>
              <w:t>途经</w:t>
            </w:r>
            <w:r>
              <w:rPr>
                <w:rFonts w:hint="eastAsia" w:ascii="Times New Roman" w:hAnsi="Times New Roman" w:eastAsia="宋体" w:cs="Times New Roman"/>
                <w:color w:val="000000" w:themeColor="text1"/>
                <w:szCs w:val="21"/>
                <w:lang w:val="en-US" w:eastAsia="zh-CN"/>
                <w14:textFill>
                  <w14:solidFill>
                    <w14:schemeClr w14:val="tx1"/>
                  </w14:solidFill>
                </w14:textFill>
              </w:rPr>
              <w:t>区域50年超越概率10%的地震动峰值加速度为0.05g，对应的地震基本烈度为6度，不考虑地基土地震液化问题。</w:t>
            </w:r>
          </w:p>
          <w:p w14:paraId="7FF1CC5D">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（6）拟建线路沿线最大冻土深度可按1.4m考虑。</w:t>
            </w:r>
          </w:p>
          <w:p w14:paraId="30E61993">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3、气候气象</w:t>
            </w:r>
          </w:p>
          <w:p w14:paraId="5841731C">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承德县区域属于温带大陆季风气候区，由暖温带向中温带</w:t>
            </w:r>
            <w:r>
              <w:rPr>
                <w:rFonts w:hint="eastAsia" w:cs="Times New Roman"/>
                <w:color w:val="000000" w:themeColor="text1"/>
                <w:szCs w:val="21"/>
                <w:lang w:val="en-US" w:eastAsia="zh-CN"/>
                <w14:textFill>
                  <w14:solidFill>
                    <w14:schemeClr w14:val="tx1"/>
                  </w14:solidFill>
                </w14:textFill>
              </w:rPr>
              <w:t>过渡</w:t>
            </w:r>
            <w:r>
              <w:rPr>
                <w:rFonts w:hint="eastAsia" w:ascii="Times New Roman" w:hAnsi="Times New Roman" w:eastAsia="宋体" w:cs="Times New Roman"/>
                <w:color w:val="000000" w:themeColor="text1"/>
                <w:szCs w:val="21"/>
                <w:lang w:val="en-US" w:eastAsia="zh-CN"/>
                <w14:textFill>
                  <w14:solidFill>
                    <w14:schemeClr w14:val="tx1"/>
                  </w14:solidFill>
                </w14:textFill>
              </w:rPr>
              <w:t>，半干旱向半湿润过渡区域，属典型的大陆季风型燕山山地气候。夏季高温多雨，冬季寒冷干燥，四季分明。全县年平均气温10.0ºC，最热月（7月）平均气温26.5ºC，极端最高温39.1ºC；最冷月（1月）平均气温-6.8ºC，极端最低温-21.3ºC；10ºC以上的积温为2600～3500ºC（保证率90%），年日照总数2570.4小时，平均无霜期183天左右。</w:t>
            </w:r>
          </w:p>
          <w:p w14:paraId="3CEB860D">
            <w:pPr>
              <w:adjustRightInd w:val="0"/>
              <w:snapToGrid w:val="0"/>
              <w:spacing w:line="480" w:lineRule="exact"/>
              <w:ind w:firstLine="422" w:firstLineChars="200"/>
              <w:jc w:val="left"/>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（三）生态功能区划</w:t>
            </w:r>
          </w:p>
          <w:p w14:paraId="675788BE">
            <w:pPr>
              <w:adjustRightInd w:val="0"/>
              <w:snapToGrid w:val="0"/>
              <w:spacing w:line="480" w:lineRule="exact"/>
              <w:ind w:firstLine="422" w:firstLineChars="200"/>
              <w:jc w:val="left"/>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1、河北省主体功能区划</w:t>
            </w:r>
          </w:p>
          <w:p w14:paraId="6E679F57">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本项目位于河北省主体功能区划中省级重点生态功能区。</w:t>
            </w:r>
          </w:p>
          <w:p w14:paraId="65D0BCCA">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省级重点生态功能区包括冀北燕山山区和冀西太行山山区。区域面积5995平方公里，人口776 53万人，分别占全省的1.54%、10.72%。承德县位于河北省北部燕山山地区。</w:t>
            </w:r>
          </w:p>
          <w:p w14:paraId="7F7F3B8A">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（1）区位和范围</w:t>
            </w:r>
          </w:p>
          <w:p w14:paraId="5F5B27EC">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区位：河北省北部燕山山地区。</w:t>
            </w:r>
          </w:p>
          <w:p w14:paraId="15C50127">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范围：唐山市迁西、秦皇岛市抚宁、青龙满族自治县、承德市滦平、兴隆、承德县、宽城满族自治县；张家口市、赤城、崇礼、阳原、蔚县、深鹿、怀安、怀来、万全、宣化。</w:t>
            </w:r>
          </w:p>
          <w:p w14:paraId="1AB789B1">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（2）功能定位</w:t>
            </w:r>
          </w:p>
          <w:p w14:paraId="3EA6F8A0">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京津和冀东地区生态屏障，地表水源涵养区，河北林业和生物多样性保护的重点区，文化和生态旅游区，绿色农牧产品和生态产业基地，金属和非金属矿采选生产基地。</w:t>
            </w:r>
          </w:p>
          <w:p w14:paraId="3FD0121D">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（3）发展方向</w:t>
            </w:r>
          </w:p>
          <w:p w14:paraId="371A14F8">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生态建设。加强永定河、潮白河和滦河流域综合治理，提升中游地区生态保护功能。重点建设水源涵养、水土保持、造林绿化、农田水利等工程，继续实施风沙源治理、退耕还林、三北防护林、首都水资源恢复和保护等重点生态工程。加快推进农业节水、稻改旱、禁牧舍饲等生态工程建设。</w:t>
            </w:r>
          </w:p>
          <w:p w14:paraId="028B8F5E">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产业发展。大力发展生态文化旅游和休闲度假产业。积极开发风能资源，有序开发煤铁等矿产资源，建设绿色农产品和生态产业基地，积极发展林业、果品业。加强节水工程建设和基本农田保护。</w:t>
            </w:r>
          </w:p>
          <w:p w14:paraId="33971F55">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城镇建设和人口分布。实施据点式开发，促进集聚发展，加强骨干道路沿线小城镇和中心村建设。控制人口总量，积极引导农村人口向优化开发区域和重点开发区域转移、加快生态移民步伐，引导自然村人口向中心村和城镇转移。</w:t>
            </w:r>
          </w:p>
          <w:p w14:paraId="02DCE052">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公共基础设施。加大财政转移支付力度，增加公共财政支出。加强公共交通、文化教育、医疗卫生等公共服务设施建设。大力实施饮水安全工程，有效解决山区农村人畜饮水困难。继续提高村村通配套水平、通达深度和保养能力，改善农村生产生活条件，增强农村养老、新农合等社会保障</w:t>
            </w:r>
            <w:r>
              <w:rPr>
                <w:rFonts w:hint="eastAsia" w:cs="Times New Roman"/>
                <w:color w:val="000000" w:themeColor="text1"/>
                <w:szCs w:val="21"/>
                <w:lang w:val="en-US" w:eastAsia="zh-CN"/>
                <w14:textFill>
                  <w14:solidFill>
                    <w14:schemeClr w14:val="tx1"/>
                  </w14:solidFill>
                </w14:textFill>
              </w:rPr>
              <w:t>能力</w:t>
            </w:r>
            <w:r>
              <w:rPr>
                <w:rFonts w:hint="eastAsia" w:ascii="Times New Roman" w:hAnsi="Times New Roman" w:eastAsia="宋体" w:cs="Times New Roman"/>
                <w:color w:val="000000" w:themeColor="text1"/>
                <w:szCs w:val="21"/>
                <w:lang w:val="en-US" w:eastAsia="zh-CN"/>
                <w14:textFill>
                  <w14:solidFill>
                    <w14:schemeClr w14:val="tx1"/>
                  </w14:solidFill>
                </w14:textFill>
              </w:rPr>
              <w:t>提高公共服务水平。</w:t>
            </w:r>
          </w:p>
          <w:p w14:paraId="0EFBD1C3">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（4）本项目符合性</w:t>
            </w:r>
          </w:p>
          <w:p w14:paraId="2FD9AAA5">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为光伏发电项目配套的输变电项目，项目在不破坏林业和农业资源的基础上，实现对太阳能的利用，项目建设有利于降低一次能源的消耗量从而降低传统发电工程的大气污染物排放量，与河北省主体功能区划要求不冲突。</w:t>
            </w:r>
          </w:p>
          <w:p w14:paraId="0AEFA665">
            <w:pPr>
              <w:adjustRightInd w:val="0"/>
              <w:snapToGrid w:val="0"/>
              <w:spacing w:line="480" w:lineRule="exact"/>
              <w:ind w:firstLine="422" w:firstLineChars="200"/>
              <w:jc w:val="left"/>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2、河北省生态功能区划</w:t>
            </w:r>
          </w:p>
          <w:p w14:paraId="1DE1F136">
            <w:pPr>
              <w:keepNext w:val="0"/>
              <w:keepLines w:val="0"/>
              <w:pageBreakBefore w:val="0"/>
              <w:widowControl w:val="0"/>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河北省属温带大陆性季风气候，地形地貌分异明显，其宏观生态系统类型、主要生态过程及人类活动影响具有空间分异特点。根据《河北生态省建设规划（2005-2030）》，按照区域生态特点及主导生态功能，全省分为坝上高原、山地、平原和海岸海域等4个生态功能区，详见下表。在明确生态区的基础上，划分为10个生态亚区，31个生态功能区。本项目属于Ⅱ1-3燕山山地中部生物多样性、水资源保护服务功能区。</w:t>
            </w:r>
          </w:p>
          <w:p w14:paraId="58BB5321">
            <w:pPr>
              <w:adjustRightInd w:val="0"/>
              <w:snapToGrid w:val="0"/>
              <w:spacing w:line="480" w:lineRule="exact"/>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p>
          <w:p w14:paraId="684215D4">
            <w:pPr>
              <w:adjustRightInd w:val="0"/>
              <w:snapToGrid w:val="0"/>
              <w:spacing w:line="480" w:lineRule="exact"/>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p>
          <w:p w14:paraId="6FC47215">
            <w:pPr>
              <w:adjustRightInd w:val="0"/>
              <w:snapToGrid w:val="0"/>
              <w:spacing w:line="480" w:lineRule="exact"/>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表3-1 承德市总体规划中生态功能区划相关功能分区</w:t>
            </w:r>
          </w:p>
          <w:tbl>
            <w:tblPr>
              <w:tblStyle w:val="2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475"/>
              <w:gridCol w:w="990"/>
              <w:gridCol w:w="1940"/>
              <w:gridCol w:w="2366"/>
            </w:tblGrid>
            <w:tr w14:paraId="45F6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1" w:type="pct"/>
                  <w:noWrap w:val="0"/>
                  <w:vAlign w:val="center"/>
                </w:tcPr>
                <w:p w14:paraId="07DA2A9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生态</w:t>
                  </w:r>
                </w:p>
                <w:p w14:paraId="0DCA8E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功能区</w:t>
                  </w:r>
                </w:p>
              </w:tc>
              <w:tc>
                <w:tcPr>
                  <w:tcW w:w="964" w:type="pct"/>
                  <w:noWrap w:val="0"/>
                  <w:vAlign w:val="center"/>
                </w:tcPr>
                <w:p w14:paraId="2935D5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行政区划、面积</w:t>
                  </w:r>
                </w:p>
              </w:tc>
              <w:tc>
                <w:tcPr>
                  <w:tcW w:w="647" w:type="pct"/>
                  <w:noWrap w:val="0"/>
                  <w:vAlign w:val="center"/>
                </w:tcPr>
                <w:p w14:paraId="55AC04C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生态亚区</w:t>
                  </w:r>
                </w:p>
              </w:tc>
              <w:tc>
                <w:tcPr>
                  <w:tcW w:w="1268" w:type="pct"/>
                  <w:noWrap w:val="0"/>
                  <w:vAlign w:val="center"/>
                </w:tcPr>
                <w:p w14:paraId="666336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生态问题</w:t>
                  </w:r>
                </w:p>
              </w:tc>
              <w:tc>
                <w:tcPr>
                  <w:tcW w:w="1547" w:type="pct"/>
                  <w:noWrap w:val="0"/>
                  <w:vAlign w:val="center"/>
                </w:tcPr>
                <w:p w14:paraId="4F020F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建设重点和发展方向</w:t>
                  </w:r>
                </w:p>
              </w:tc>
            </w:tr>
            <w:tr w14:paraId="6EEC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1" w:type="pct"/>
                  <w:noWrap w:val="0"/>
                  <w:vAlign w:val="center"/>
                </w:tcPr>
                <w:p w14:paraId="487FB31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坝上高原生态区</w:t>
                  </w:r>
                </w:p>
              </w:tc>
              <w:tc>
                <w:tcPr>
                  <w:tcW w:w="964" w:type="pct"/>
                  <w:noWrap w:val="0"/>
                  <w:vAlign w:val="center"/>
                </w:tcPr>
                <w:p w14:paraId="17891BC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张北、沽源、康保三县全部，商义、丰宁、围场三县部分，面积17557km</w:t>
                  </w:r>
                  <w:r>
                    <w:rPr>
                      <w:rFonts w:hint="default" w:ascii="Times New Roman" w:hAnsi="Times New Roman" w:eastAsia="宋体" w:cs="Times New Roman"/>
                      <w:sz w:val="21"/>
                      <w:szCs w:val="21"/>
                      <w:vertAlign w:val="superscript"/>
                    </w:rPr>
                    <w:t>2</w:t>
                  </w:r>
                </w:p>
              </w:tc>
              <w:tc>
                <w:tcPr>
                  <w:tcW w:w="647" w:type="pct"/>
                  <w:noWrap w:val="0"/>
                  <w:vAlign w:val="center"/>
                </w:tcPr>
                <w:p w14:paraId="4AE81F0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坝西坝东</w:t>
                  </w:r>
                </w:p>
              </w:tc>
              <w:tc>
                <w:tcPr>
                  <w:tcW w:w="1268" w:type="pct"/>
                  <w:noWrap w:val="0"/>
                  <w:vAlign w:val="center"/>
                </w:tcPr>
                <w:p w14:paraId="7F2B528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生态环境最为脆弱，植被覆盖度低，土地荒漠化严重，沙化、退化和盐碱化草场面积大</w:t>
                  </w:r>
                </w:p>
              </w:tc>
              <w:tc>
                <w:tcPr>
                  <w:tcW w:w="1547" w:type="pct"/>
                  <w:noWrap w:val="0"/>
                  <w:vAlign w:val="center"/>
                </w:tcPr>
                <w:p w14:paraId="0D86E0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加大天然草场改良和人工草场建设，严格保护现有林，构建防护林体系，加大防护林，退耕还林还草，风沙源治理、湿地保护等</w:t>
                  </w:r>
                </w:p>
              </w:tc>
            </w:tr>
            <w:tr w14:paraId="42BA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1" w:type="pct"/>
                  <w:noWrap w:val="0"/>
                  <w:vAlign w:val="center"/>
                </w:tcPr>
                <w:p w14:paraId="2FAC5C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山地生</w:t>
                  </w:r>
                </w:p>
                <w:p w14:paraId="1EDD3F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态区</w:t>
                  </w:r>
                </w:p>
              </w:tc>
              <w:tc>
                <w:tcPr>
                  <w:tcW w:w="964" w:type="pct"/>
                  <w:noWrap w:val="0"/>
                  <w:vAlign w:val="center"/>
                </w:tcPr>
                <w:p w14:paraId="7B03E4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张家口、承德、唐山、秦皇岛、保定、石家庄、邢台、邯郸8市的48县（市），面积95304km</w:t>
                  </w:r>
                  <w:r>
                    <w:rPr>
                      <w:rFonts w:hint="default" w:ascii="Times New Roman" w:hAnsi="Times New Roman" w:eastAsia="宋体" w:cs="Times New Roman"/>
                      <w:sz w:val="21"/>
                      <w:szCs w:val="21"/>
                      <w:vertAlign w:val="superscript"/>
                    </w:rPr>
                    <w:t>2</w:t>
                  </w:r>
                </w:p>
              </w:tc>
              <w:tc>
                <w:tcPr>
                  <w:tcW w:w="647" w:type="pct"/>
                  <w:noWrap w:val="0"/>
                  <w:vAlign w:val="center"/>
                </w:tcPr>
                <w:p w14:paraId="3AF132C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冀北及燕山山地、冀西北间山盆地、太行山山地</w:t>
                  </w:r>
                </w:p>
              </w:tc>
              <w:tc>
                <w:tcPr>
                  <w:tcW w:w="1268" w:type="pct"/>
                  <w:noWrap w:val="0"/>
                  <w:vAlign w:val="center"/>
                </w:tcPr>
                <w:p w14:paraId="2249EC7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林草覆盖度低，水土流失严重，水源涵养能力差，矿业生产经营粗放，对生态环境影响较大，自然灾害频繁，防御自然灾害能力低</w:t>
                  </w:r>
                </w:p>
              </w:tc>
              <w:tc>
                <w:tcPr>
                  <w:tcW w:w="1547" w:type="pct"/>
                  <w:noWrap w:val="0"/>
                  <w:vAlign w:val="center"/>
                </w:tcPr>
                <w:p w14:paraId="7E8B6D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加强现有林保护，高标准太行山绿化、“三北”防护林，退耕还林还草，水资源保护，风沙源治理、矿山生态恢复和资源综合利用，加大生态扶贫开发力度；提高水资源、矿产资源、林草资源利用水平</w:t>
                  </w:r>
                </w:p>
              </w:tc>
            </w:tr>
            <w:tr w14:paraId="6658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1" w:type="pct"/>
                  <w:noWrap w:val="0"/>
                  <w:vAlign w:val="center"/>
                </w:tcPr>
                <w:p w14:paraId="2222E99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平原生</w:t>
                  </w:r>
                </w:p>
                <w:p w14:paraId="0AF7FB4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态区</w:t>
                  </w:r>
                </w:p>
              </w:tc>
              <w:tc>
                <w:tcPr>
                  <w:tcW w:w="964" w:type="pct"/>
                  <w:noWrap w:val="0"/>
                  <w:vAlign w:val="center"/>
                </w:tcPr>
                <w:p w14:paraId="6DFF3A9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秦皇岛、唐山、廊坊、保定、石家庄、邢台、邯郸、衡水、沧州9市的平原地区，面积71076km</w:t>
                  </w:r>
                  <w:r>
                    <w:rPr>
                      <w:rFonts w:hint="default" w:ascii="Times New Roman" w:hAnsi="Times New Roman" w:eastAsia="宋体" w:cs="Times New Roman"/>
                      <w:sz w:val="21"/>
                      <w:szCs w:val="21"/>
                      <w:vertAlign w:val="superscript"/>
                    </w:rPr>
                    <w:t>2</w:t>
                  </w:r>
                </w:p>
              </w:tc>
              <w:tc>
                <w:tcPr>
                  <w:tcW w:w="647" w:type="pct"/>
                  <w:noWrap w:val="0"/>
                  <w:vAlign w:val="center"/>
                </w:tcPr>
                <w:p w14:paraId="55F463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冀东平原、冀中南平原、运东滨海平原</w:t>
                  </w:r>
                </w:p>
              </w:tc>
              <w:tc>
                <w:tcPr>
                  <w:tcW w:w="1268" w:type="pct"/>
                  <w:noWrap w:val="0"/>
                  <w:vAlign w:val="center"/>
                </w:tcPr>
                <w:p w14:paraId="2C76DF0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资源和能源利用效率低，面源污染严重，河湖生态用水保证程度低，湿地生态功能退化严重</w:t>
                  </w:r>
                </w:p>
              </w:tc>
              <w:tc>
                <w:tcPr>
                  <w:tcW w:w="1547" w:type="pct"/>
                  <w:noWrap w:val="0"/>
                  <w:vAlign w:val="center"/>
                </w:tcPr>
                <w:p w14:paraId="5DABF7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大力发展生态农业，改善生态环境质量，加大退化土地治理力度，加强水资源的综合规划和合理调配，保证水资源的供求平衡</w:t>
                  </w:r>
                </w:p>
              </w:tc>
            </w:tr>
            <w:tr w14:paraId="5395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1" w:type="pct"/>
                  <w:noWrap w:val="0"/>
                  <w:vAlign w:val="center"/>
                </w:tcPr>
                <w:p w14:paraId="4AF8BA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海岸海域生态区</w:t>
                  </w:r>
                </w:p>
              </w:tc>
              <w:tc>
                <w:tcPr>
                  <w:tcW w:w="964" w:type="pct"/>
                  <w:noWrap w:val="0"/>
                  <w:vAlign w:val="center"/>
                </w:tcPr>
                <w:p w14:paraId="5EDD3BE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秦皇岛、唐山、沧州3市12县（市）的海岸带、岛屿和浅海，面积11380km</w:t>
                  </w:r>
                  <w:r>
                    <w:rPr>
                      <w:rFonts w:hint="default" w:ascii="Times New Roman" w:hAnsi="Times New Roman" w:eastAsia="宋体" w:cs="Times New Roman"/>
                      <w:sz w:val="21"/>
                      <w:szCs w:val="21"/>
                      <w:vertAlign w:val="superscript"/>
                    </w:rPr>
                    <w:t>2</w:t>
                  </w:r>
                </w:p>
              </w:tc>
              <w:tc>
                <w:tcPr>
                  <w:tcW w:w="647" w:type="pct"/>
                  <w:noWrap w:val="0"/>
                  <w:vAlign w:val="center"/>
                </w:tcPr>
                <w:p w14:paraId="50D037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秦唐海岸海域、沧州海岸海域</w:t>
                  </w:r>
                </w:p>
              </w:tc>
              <w:tc>
                <w:tcPr>
                  <w:tcW w:w="1268" w:type="pct"/>
                  <w:noWrap w:val="0"/>
                  <w:vAlign w:val="center"/>
                </w:tcPr>
                <w:p w14:paraId="14BD926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海洋生态系统脆弱，自我调节能力低，海洋生物资源开发利用程度大，生物资源退化严重，海水富营养化程度高，滨海湿地功能退化</w:t>
                  </w:r>
                </w:p>
              </w:tc>
              <w:tc>
                <w:tcPr>
                  <w:tcW w:w="1547" w:type="pct"/>
                  <w:noWrap w:val="0"/>
                  <w:vAlign w:val="center"/>
                </w:tcPr>
                <w:p w14:paraId="0A6E46B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严格海洋生物资源管理，完善沿海防护林体系，加强海、河流污染综合治理</w:t>
                  </w:r>
                </w:p>
              </w:tc>
            </w:tr>
          </w:tbl>
          <w:p w14:paraId="02231688">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项目位于山地生态区，建设重点与发展方向为加强现有林保护，高标准太行山绿化、“三北”防护林，退耕还林还草，水资源保护，风沙源治理、矿山生态恢复和资源综合利用，加大生态扶贫开发力度；提高水资源、矿产资源、林草资源利用水平。本项目属于五十五、核与辐射161输变电工程，项目的建设有利于</w:t>
            </w:r>
            <w:r>
              <w:rPr>
                <w:rFonts w:hint="eastAsia" w:cs="Times New Roman"/>
                <w:color w:val="000000" w:themeColor="text1"/>
                <w:szCs w:val="21"/>
                <w:lang w:val="en-US" w:eastAsia="zh-CN"/>
                <w14:textFill>
                  <w14:solidFill>
                    <w14:schemeClr w14:val="tx1"/>
                  </w14:solidFill>
                </w14:textFill>
              </w:rPr>
              <w:t>承德县</w:t>
            </w:r>
            <w:r>
              <w:rPr>
                <w:rFonts w:hint="eastAsia" w:ascii="Times New Roman" w:hAnsi="Times New Roman" w:eastAsia="宋体" w:cs="Times New Roman"/>
                <w:color w:val="000000" w:themeColor="text1"/>
                <w:szCs w:val="21"/>
                <w:lang w:val="en-US" w:eastAsia="zh-CN"/>
                <w14:textFill>
                  <w14:solidFill>
                    <w14:schemeClr w14:val="tx1"/>
                  </w14:solidFill>
                </w14:textFill>
              </w:rPr>
              <w:t>能源利用，能够有效改善周围生态环境，满足城镇环境的可持续发展，项目建设符合河北省生态功能区划。</w:t>
            </w:r>
          </w:p>
          <w:p w14:paraId="51C8E04F">
            <w:pPr>
              <w:adjustRightInd w:val="0"/>
              <w:snapToGrid w:val="0"/>
              <w:spacing w:line="480" w:lineRule="exact"/>
              <w:ind w:firstLine="422" w:firstLineChars="200"/>
              <w:jc w:val="both"/>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（四）生态环境现状</w:t>
            </w:r>
          </w:p>
          <w:p w14:paraId="45C9EAE4">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1、生态系统</w:t>
            </w:r>
          </w:p>
          <w:p w14:paraId="5887C2C9">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调查区内由于多样的地形地貌、气候条件，形成了多种生态系统，主要为森林生态系统、灌丛生态系统、农田生态系统等，其中以森林生态系为主。</w:t>
            </w:r>
          </w:p>
          <w:p w14:paraId="791B40B7">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根据现场调查，该区域森林生态系统主要常见树种有油松、山杨、杏树等。现场踏勘调查过程中未发现大型陆生生物，部分野生鸟类在该区域觅食活动。</w:t>
            </w:r>
          </w:p>
          <w:p w14:paraId="30580EFC">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灌丛生态系统呈片状、点状、带状分布，</w:t>
            </w:r>
            <w:r>
              <w:rPr>
                <w:rFonts w:hint="eastAsia" w:cs="Times New Roman"/>
                <w:color w:val="000000" w:themeColor="text1"/>
                <w:szCs w:val="21"/>
                <w:lang w:val="en-US" w:eastAsia="zh-CN"/>
                <w14:textFill>
                  <w14:solidFill>
                    <w14:schemeClr w14:val="tx1"/>
                  </w14:solidFill>
                </w14:textFill>
              </w:rPr>
              <w:t>灌丛</w:t>
            </w:r>
            <w:r>
              <w:rPr>
                <w:rFonts w:hint="eastAsia" w:ascii="Times New Roman" w:hAnsi="Times New Roman" w:eastAsia="宋体" w:cs="Times New Roman"/>
                <w:color w:val="000000" w:themeColor="text1"/>
                <w:szCs w:val="21"/>
                <w:lang w:val="en-US" w:eastAsia="zh-CN"/>
                <w14:textFill>
                  <w14:solidFill>
                    <w14:schemeClr w14:val="tx1"/>
                  </w14:solidFill>
                </w14:textFill>
              </w:rPr>
              <w:t>植被类型主要为酸枣、荆条、绣线菊、榛子等。</w:t>
            </w:r>
          </w:p>
          <w:p w14:paraId="03C46EB8">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农田生态系统现状是由一定农业地域内相互作用的生物因素和非生物因素构成的功能整体，是人类生产活动干预下形成的人工生态系统。农田生态系统多为人工植被，为栽培、种植的农作物等。评价范围内主要受地形和气候条件的影响，粮食作物主要为玉米，农田生态系统内植被类型单一，群系结构简单。</w:t>
            </w:r>
          </w:p>
          <w:p w14:paraId="00DADC1F">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2、陆生植被</w:t>
            </w:r>
          </w:p>
          <w:p w14:paraId="661092CA">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根据《中国植被区划》，评价区涉及植被区地处</w:t>
            </w:r>
            <w:r>
              <w:rPr>
                <w:rFonts w:hint="eastAsia" w:cs="Times New Roman"/>
                <w:color w:val="000000" w:themeColor="text1"/>
                <w:szCs w:val="21"/>
                <w:lang w:val="en-US" w:eastAsia="zh-CN"/>
                <w14:textFill>
                  <w14:solidFill>
                    <w14:schemeClr w14:val="tx1"/>
                  </w14:solidFill>
                </w14:textFill>
              </w:rPr>
              <w:t>Ⅲ</w:t>
            </w:r>
            <w:r>
              <w:rPr>
                <w:rFonts w:hint="eastAsia" w:ascii="Times New Roman" w:hAnsi="Times New Roman" w:eastAsia="宋体" w:cs="Times New Roman"/>
                <w:color w:val="000000" w:themeColor="text1"/>
                <w:szCs w:val="21"/>
                <w:lang w:val="en-US" w:eastAsia="zh-CN"/>
                <w14:textFill>
                  <w14:solidFill>
                    <w14:schemeClr w14:val="tx1"/>
                  </w14:solidFill>
                </w14:textFill>
              </w:rPr>
              <w:t>暖温带落叶阔叶林区域-IIIA暖温带北部落叶栎林地带-IIIA2冀、辽山地、丘陵山松、辽东栎、槲栎林区。</w:t>
            </w:r>
          </w:p>
          <w:p w14:paraId="35370F82">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根据《承德市植被类型分布》，评价区域地处冀东北山区，该地区属于华北植物区系，植被在分区上属于暖温带落叶林区，地带性植被类型为 </w:t>
            </w:r>
          </w:p>
          <w:p w14:paraId="38681F98">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暖温带落叶和针叶林。现有植被类型主要有：</w:t>
            </w:r>
          </w:p>
          <w:p w14:paraId="7BFCD534">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阔叶落叶林，主要分布在1200-1500米以上的山地，土壤为棕壤，承德市北部武烈河上游1200-1500米以上山坡阴坡、半阴坡、有小面积分布，以栎树、槲树、辽东栎、山杨、桦木为主，阳坡、半阳坡以蒙古栎为主。</w:t>
            </w:r>
            <w:r>
              <w:rPr>
                <w:rFonts w:hint="eastAsia" w:cs="Times New Roman"/>
                <w:color w:val="000000" w:themeColor="text1"/>
                <w:szCs w:val="21"/>
                <w:lang w:val="en-US" w:eastAsia="zh-CN"/>
                <w14:textFill>
                  <w14:solidFill>
                    <w14:schemeClr w14:val="tx1"/>
                  </w14:solidFill>
                </w14:textFill>
              </w:rPr>
              <w:t>其他植物</w:t>
            </w:r>
            <w:r>
              <w:rPr>
                <w:rFonts w:hint="eastAsia" w:ascii="Times New Roman" w:hAnsi="Times New Roman" w:eastAsia="宋体" w:cs="Times New Roman"/>
                <w:color w:val="000000" w:themeColor="text1"/>
                <w:szCs w:val="21"/>
                <w:lang w:val="en-US" w:eastAsia="zh-CN"/>
                <w14:textFill>
                  <w14:solidFill>
                    <w14:schemeClr w14:val="tx1"/>
                  </w14:solidFill>
                </w14:textFill>
              </w:rPr>
              <w:t>有榆树、五角枫、蒙椴、糠椴等。成纯林或混交林成片分布，大部分为次生林，作用材和薪炭、涵养水源用。</w:t>
            </w:r>
          </w:p>
          <w:p w14:paraId="288B9088">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针叶林，主要分布在800-1200米的低、中山丘陵的阴坡，在稍湿润、土层较厚的阳坡也分布，以油松、侧柏、华北落叶松为主，大部分为次生林或人工林。油松分布的面积最广，油松一般高12-13米，胸径9-13厘米，在阴坡生长较好，100平方米约17株，郁闭度0.3-0.4，林下有油松幼苗，层次明显，灌木层以荆条为主，还有胡枝子、鼠李等，水分较好的阴坡种类较多，有绣线菊、虎榛子、毛榛。</w:t>
            </w:r>
          </w:p>
          <w:p w14:paraId="28233195">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落叶灌丛，大多分布在500米以下的低山丘陵，土壤为淋溶褐土或褐色性土壤，土层浅薄，干旱、砾石多，土壤含水量7-8%，养分中等，主要植物为荆条、酸枣、胡枝子、三桠绣线菊、绒毛绣线菊、榛子、山杏等。覆盖度35%-45%，种类一般8-15种。</w:t>
            </w:r>
          </w:p>
          <w:p w14:paraId="6B2E9C88">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草丛，分布在500米以下的丘陵、低山地带，土壤为褐色土，土层浅薄、干旱、含水量约6-8%，养分含量较低，植物主要为黄背草、白草、萎陵菜、翻白草、菌陈蒿、酸枣、胡枝子等，大部分已开垦为农田，如在棒槌山以黄背草为主的群落，覆盖度20-25%，植物种类14-15种，是荆条、酸枣群落被破坏后演变的阶段，伴生了一些荆条、酸枣、铁杆嵩等。</w:t>
            </w:r>
          </w:p>
          <w:p w14:paraId="543FE62A">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经现场调查，本项目线路沿线区域植被现状乔木较为稀疏，主要为油松、山杨、杏树等，灌草植被主要为酸枣、荆条、绣线菊、榛子等。</w:t>
            </w:r>
          </w:p>
          <w:p w14:paraId="24C31190">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调查范围内未发现《河北省内分布的国家重点保护植物名录（2021）》保护物种、《中国生物多样性红色名录》中易危、濒危、极危物种。根据现场调查及走访，调查范围内未发现国家级及省级珍稀濒危植物及古树名木的分布。</w:t>
            </w:r>
          </w:p>
          <w:p w14:paraId="3FAC85EE">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3、陆生植物</w:t>
            </w:r>
          </w:p>
          <w:p w14:paraId="774212E7">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项目区域内分布动物主要有哺乳类、鸟类、爬行类、昆虫类等。哺乳类包括刺猬、野兔、田鼠、小家鼠等小型动物；鸟类包括沙鸡、野鸭、鹌鹑、麻雀、大山雀、啄木鸟、松鸡、斑鸠</w:t>
            </w:r>
            <w:r>
              <w:rPr>
                <w:rFonts w:hint="eastAsia" w:cs="Times New Roman"/>
                <w:color w:val="000000" w:themeColor="text1"/>
                <w:szCs w:val="21"/>
                <w:lang w:val="en-US" w:eastAsia="zh-CN"/>
                <w14:textFill>
                  <w14:solidFill>
                    <w14:schemeClr w14:val="tx1"/>
                  </w14:solidFill>
                </w14:textFill>
              </w:rPr>
              <w:t>等</w:t>
            </w:r>
            <w:r>
              <w:rPr>
                <w:rFonts w:hint="eastAsia" w:ascii="Times New Roman" w:hAnsi="Times New Roman" w:eastAsia="宋体" w:cs="Times New Roman"/>
                <w:color w:val="000000" w:themeColor="text1"/>
                <w:szCs w:val="21"/>
                <w:lang w:val="en-US" w:eastAsia="zh-CN"/>
                <w14:textFill>
                  <w14:solidFill>
                    <w14:schemeClr w14:val="tx1"/>
                  </w14:solidFill>
                </w14:textFill>
              </w:rPr>
              <w:t>；爬行类包括蛇、壁虎等；昆虫类包括蜻蜓、蜜蜂、龟子、瓢虫、家蝇、蚂蚁等。哺乳类、鸟类等主要分布在山区、丘陵等人类活动较少的地区，其他鸟类、爬行类、昆虫类等小型动物在区域内均有分布，一般受人类活动影响较小。</w:t>
            </w:r>
          </w:p>
          <w:p w14:paraId="6F3639EC">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据初步调查以及相关资料了解，项目所在区域内不属于候鸟的主要栖息场所，也不在候鸟迁移的主要路线上，同时也未发现受保护的国家一、二级野生动物。本项目所在区域无珍稀野生动植物分布。</w:t>
            </w:r>
          </w:p>
          <w:p w14:paraId="609320B2">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4、敏感区调查</w:t>
            </w:r>
          </w:p>
          <w:p w14:paraId="2B83C65A">
            <w:pPr>
              <w:adjustRightInd w:val="0"/>
              <w:snapToGrid w:val="0"/>
              <w:spacing w:line="480" w:lineRule="exact"/>
              <w:ind w:firstLine="420"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经调查，本项目占地范围未处于自然保护区、世界文化和自然遗产地、风景名胜区、森林公园、地质公园、重要湿地、原始天然林、珍稀濒危野生动植物天然</w:t>
            </w:r>
            <w:r>
              <w:rPr>
                <w:rFonts w:hint="eastAsia" w:cs="Times New Roman"/>
                <w:color w:val="000000" w:themeColor="text1"/>
                <w:szCs w:val="21"/>
                <w:lang w:val="en-US" w:eastAsia="zh-CN"/>
                <w14:textFill>
                  <w14:solidFill>
                    <w14:schemeClr w14:val="tx1"/>
                  </w14:solidFill>
                </w14:textFill>
              </w:rPr>
              <w:t>集中</w:t>
            </w:r>
            <w:r>
              <w:rPr>
                <w:rFonts w:hint="eastAsia" w:ascii="Times New Roman" w:hAnsi="Times New Roman" w:eastAsia="宋体" w:cs="Times New Roman"/>
                <w:color w:val="000000" w:themeColor="text1"/>
                <w:szCs w:val="21"/>
                <w:lang w:val="en-US" w:eastAsia="zh-CN"/>
                <w14:textFill>
                  <w14:solidFill>
                    <w14:schemeClr w14:val="tx1"/>
                  </w14:solidFill>
                </w14:textFill>
              </w:rPr>
              <w:t>分布区、重要水生生物自然产卵场及索饵场、越冬场和洄游通道、天然渔场、海洋特别保护区等敏感区内。</w:t>
            </w:r>
          </w:p>
          <w:p w14:paraId="7D066D54">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本项目塔基不占用生态保护红线。线路跨越生态保护红线，</w:t>
            </w:r>
            <w:r>
              <w:rPr>
                <w:rFonts w:hint="eastAsia"/>
                <w:color w:val="000000" w:themeColor="text1"/>
                <w:kern w:val="0"/>
                <w:szCs w:val="21"/>
                <w:lang w:val="en-US" w:eastAsia="zh-CN"/>
                <w14:textFill>
                  <w14:solidFill>
                    <w14:schemeClr w14:val="tx1"/>
                  </w14:solidFill>
                </w14:textFill>
              </w:rPr>
              <w:t>N19~N20之间的线路不可避免跨越承德县六沟镇饮用水水源一级保护区，N16~N23间线路穿越承德县六沟镇饮用水水源二级保护区，其中N17、N18、N19、N20、N21、N22六座塔基位于承德县六沟镇饮用水水源二级保护区内。</w:t>
            </w:r>
          </w:p>
          <w:p w14:paraId="0B061BF4">
            <w:pPr>
              <w:adjustRightInd w:val="0"/>
              <w:snapToGrid w:val="0"/>
              <w:spacing w:line="480" w:lineRule="exact"/>
              <w:ind w:firstLine="422" w:firstLineChars="200"/>
              <w:jc w:val="left"/>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二、环境质量现状</w:t>
            </w:r>
          </w:p>
          <w:p w14:paraId="5AC2115C">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1、环境空气质量现状</w:t>
            </w:r>
          </w:p>
          <w:p w14:paraId="471B14F6">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根据《关于2024年12月份全市空气质量预警监测结果的通报》（承生态环委办</w:t>
            </w:r>
            <w:r>
              <w:rPr>
                <w:rFonts w:hint="eastAsia" w:cs="Times New Roman"/>
                <w:color w:val="000000" w:themeColor="text1"/>
                <w:szCs w:val="21"/>
                <w:lang w:val="en-US" w:eastAsia="zh-CN"/>
                <w14:textFill>
                  <w14:solidFill>
                    <w14:schemeClr w14:val="tx1"/>
                  </w14:solidFill>
                </w14:textFill>
              </w:rPr>
              <w:t>〔2025〕5号</w:t>
            </w:r>
            <w:r>
              <w:rPr>
                <w:rFonts w:hint="eastAsia" w:ascii="Times New Roman" w:hAnsi="Times New Roman" w:eastAsia="宋体" w:cs="Times New Roman"/>
                <w:color w:val="000000" w:themeColor="text1"/>
                <w:szCs w:val="21"/>
                <w:lang w:val="en-US" w:eastAsia="zh-CN"/>
                <w14:textFill>
                  <w14:solidFill>
                    <w14:schemeClr w14:val="tx1"/>
                  </w14:solidFill>
                </w14:textFill>
              </w:rPr>
              <w:t>）中承德县环境空气常规现状监测统计资料，来说明项目拟建地区的环境空气质量，详见下表：</w:t>
            </w:r>
          </w:p>
          <w:p w14:paraId="11B7C49C">
            <w:pPr>
              <w:adjustRightInd w:val="0"/>
              <w:snapToGrid w:val="0"/>
              <w:spacing w:line="4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2</w:t>
            </w:r>
            <w:r>
              <w:rPr>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承德县2024</w:t>
            </w:r>
            <w:r>
              <w:rPr>
                <w:b/>
                <w:bCs/>
                <w:color w:val="000000" w:themeColor="text1"/>
                <w:szCs w:val="21"/>
                <w14:textFill>
                  <w14:solidFill>
                    <w14:schemeClr w14:val="tx1"/>
                  </w14:solidFill>
                </w14:textFill>
              </w:rPr>
              <w:t>年环境空气质量监测结果一览表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2388"/>
              <w:gridCol w:w="1109"/>
              <w:gridCol w:w="1062"/>
              <w:gridCol w:w="867"/>
              <w:gridCol w:w="1270"/>
            </w:tblGrid>
            <w:tr w14:paraId="5289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19" w:type="pct"/>
                  <w:vAlign w:val="center"/>
                </w:tcPr>
                <w:p w14:paraId="39CBA29F">
                  <w:pPr>
                    <w:pStyle w:val="17"/>
                    <w:spacing w:line="320" w:lineRule="exact"/>
                    <w:ind w:lef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1561" w:type="pct"/>
                  <w:vAlign w:val="center"/>
                </w:tcPr>
                <w:p w14:paraId="6452DB22">
                  <w:pPr>
                    <w:pStyle w:val="17"/>
                    <w:spacing w:line="320" w:lineRule="exact"/>
                    <w:ind w:lef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年评价指标</w:t>
                  </w:r>
                </w:p>
              </w:tc>
              <w:tc>
                <w:tcPr>
                  <w:tcW w:w="725" w:type="pct"/>
                  <w:vAlign w:val="center"/>
                </w:tcPr>
                <w:p w14:paraId="3336B962">
                  <w:pPr>
                    <w:pStyle w:val="17"/>
                    <w:spacing w:line="320" w:lineRule="exact"/>
                    <w:ind w:lef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现状浓度</w:t>
                  </w:r>
                </w:p>
              </w:tc>
              <w:tc>
                <w:tcPr>
                  <w:tcW w:w="694" w:type="pct"/>
                  <w:vAlign w:val="center"/>
                </w:tcPr>
                <w:p w14:paraId="397D7A34">
                  <w:pPr>
                    <w:pStyle w:val="17"/>
                    <w:spacing w:line="320" w:lineRule="exact"/>
                    <w:ind w:lef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w:t>
                  </w:r>
                </w:p>
              </w:tc>
              <w:tc>
                <w:tcPr>
                  <w:tcW w:w="567" w:type="pct"/>
                  <w:vAlign w:val="center"/>
                </w:tcPr>
                <w:p w14:paraId="5AF1FF39">
                  <w:pPr>
                    <w:pStyle w:val="17"/>
                    <w:spacing w:line="320" w:lineRule="exact"/>
                    <w:ind w:lef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占标率%</w:t>
                  </w:r>
                </w:p>
              </w:tc>
              <w:tc>
                <w:tcPr>
                  <w:tcW w:w="830" w:type="pct"/>
                  <w:vAlign w:val="center"/>
                </w:tcPr>
                <w:p w14:paraId="6AFB7844">
                  <w:pPr>
                    <w:pStyle w:val="17"/>
                    <w:spacing w:line="320" w:lineRule="exact"/>
                    <w:ind w:lef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r>
            <w:tr w14:paraId="2E7E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1" w:type="dxa"/>
                  <w:vAlign w:val="center"/>
                </w:tcPr>
                <w:p w14:paraId="22C29EBD">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2434" w:type="dxa"/>
                  <w:vAlign w:val="center"/>
                </w:tcPr>
                <w:p w14:paraId="7F4B2911">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63" w:type="dxa"/>
                  <w:vAlign w:val="center"/>
                </w:tcPr>
                <w:p w14:paraId="4A031208">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1163" w:type="dxa"/>
                  <w:vAlign w:val="center"/>
                </w:tcPr>
                <w:p w14:paraId="247FD4EF">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870" w:type="dxa"/>
                  <w:vAlign w:val="center"/>
                </w:tcPr>
                <w:p w14:paraId="3AB26F6B">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57.14</w:t>
                  </w:r>
                </w:p>
              </w:tc>
              <w:tc>
                <w:tcPr>
                  <w:tcW w:w="1284" w:type="dxa"/>
                  <w:vAlign w:val="center"/>
                </w:tcPr>
                <w:p w14:paraId="6005B2EF">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6EC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1" w:type="dxa"/>
                  <w:vAlign w:val="center"/>
                </w:tcPr>
                <w:p w14:paraId="55DED1EE">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2434" w:type="dxa"/>
                  <w:vAlign w:val="center"/>
                </w:tcPr>
                <w:p w14:paraId="2F4DA103">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63" w:type="dxa"/>
                  <w:vAlign w:val="center"/>
                </w:tcPr>
                <w:p w14:paraId="65E8ED38">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43</w:t>
                  </w:r>
                </w:p>
              </w:tc>
              <w:tc>
                <w:tcPr>
                  <w:tcW w:w="1163" w:type="dxa"/>
                  <w:vAlign w:val="center"/>
                </w:tcPr>
                <w:p w14:paraId="19F9892E">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870" w:type="dxa"/>
                  <w:vAlign w:val="center"/>
                </w:tcPr>
                <w:p w14:paraId="7466797E">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61.42</w:t>
                  </w:r>
                </w:p>
              </w:tc>
              <w:tc>
                <w:tcPr>
                  <w:tcW w:w="1284" w:type="dxa"/>
                  <w:vAlign w:val="center"/>
                </w:tcPr>
                <w:p w14:paraId="7E4445B4">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7A8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1" w:type="dxa"/>
                  <w:vAlign w:val="center"/>
                </w:tcPr>
                <w:p w14:paraId="056DF5E6">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2434" w:type="dxa"/>
                  <w:vAlign w:val="center"/>
                </w:tcPr>
                <w:p w14:paraId="4B7F4438">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63" w:type="dxa"/>
                  <w:vAlign w:val="center"/>
                </w:tcPr>
                <w:p w14:paraId="33F0FBC2">
                  <w:pPr>
                    <w:pStyle w:val="17"/>
                    <w:spacing w:line="320" w:lineRule="exact"/>
                    <w:ind w:left="0"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1163" w:type="dxa"/>
                  <w:vAlign w:val="center"/>
                </w:tcPr>
                <w:p w14:paraId="3C2039A2">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870" w:type="dxa"/>
                  <w:vAlign w:val="center"/>
                </w:tcPr>
                <w:p w14:paraId="1AAC2568">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1284" w:type="dxa"/>
                  <w:vAlign w:val="center"/>
                </w:tcPr>
                <w:p w14:paraId="2A71BA6F">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3248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1" w:type="dxa"/>
                  <w:vAlign w:val="center"/>
                </w:tcPr>
                <w:p w14:paraId="3178E0FB">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2434" w:type="dxa"/>
                  <w:vAlign w:val="center"/>
                </w:tcPr>
                <w:p w14:paraId="45BA83EC">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63" w:type="dxa"/>
                  <w:vAlign w:val="center"/>
                </w:tcPr>
                <w:p w14:paraId="000A56C6">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21</w:t>
                  </w:r>
                </w:p>
              </w:tc>
              <w:tc>
                <w:tcPr>
                  <w:tcW w:w="1163" w:type="dxa"/>
                  <w:vAlign w:val="center"/>
                </w:tcPr>
                <w:p w14:paraId="13520AF2">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870" w:type="dxa"/>
                  <w:vAlign w:val="center"/>
                </w:tcPr>
                <w:p w14:paraId="3B4027CC">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52.5</w:t>
                  </w:r>
                </w:p>
              </w:tc>
              <w:tc>
                <w:tcPr>
                  <w:tcW w:w="1284" w:type="dxa"/>
                  <w:vAlign w:val="center"/>
                </w:tcPr>
                <w:p w14:paraId="27320B4A">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C2D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1" w:type="dxa"/>
                  <w:vAlign w:val="center"/>
                </w:tcPr>
                <w:p w14:paraId="4CD9D9B6">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2434" w:type="dxa"/>
                  <w:vAlign w:val="center"/>
                </w:tcPr>
                <w:p w14:paraId="02772869">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24h平均第96百分位数</w:t>
                  </w:r>
                </w:p>
              </w:tc>
              <w:tc>
                <w:tcPr>
                  <w:tcW w:w="1163" w:type="dxa"/>
                  <w:vAlign w:val="center"/>
                </w:tcPr>
                <w:p w14:paraId="1F23B146">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w:t>
                  </w:r>
                </w:p>
              </w:tc>
              <w:tc>
                <w:tcPr>
                  <w:tcW w:w="1163" w:type="dxa"/>
                  <w:vAlign w:val="center"/>
                </w:tcPr>
                <w:p w14:paraId="72D990B3">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870" w:type="dxa"/>
                  <w:vAlign w:val="center"/>
                </w:tcPr>
                <w:p w14:paraId="78DBD78E">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1284" w:type="dxa"/>
                  <w:vAlign w:val="center"/>
                </w:tcPr>
                <w:p w14:paraId="69558DBC">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3507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1" w:type="dxa"/>
                  <w:vAlign w:val="center"/>
                </w:tcPr>
                <w:p w14:paraId="54A40118">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2434" w:type="dxa"/>
                  <w:vAlign w:val="center"/>
                </w:tcPr>
                <w:p w14:paraId="2CE7C7CA">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日最大8小时平均第90百分位数</w:t>
                  </w:r>
                </w:p>
              </w:tc>
              <w:tc>
                <w:tcPr>
                  <w:tcW w:w="1163" w:type="dxa"/>
                  <w:vAlign w:val="center"/>
                </w:tcPr>
                <w:p w14:paraId="02EB3FFD">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160</w:t>
                  </w:r>
                </w:p>
              </w:tc>
              <w:tc>
                <w:tcPr>
                  <w:tcW w:w="1163" w:type="dxa"/>
                  <w:vAlign w:val="center"/>
                </w:tcPr>
                <w:p w14:paraId="14AFE1DD">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c>
                <w:tcPr>
                  <w:tcW w:w="870" w:type="dxa"/>
                  <w:vAlign w:val="center"/>
                </w:tcPr>
                <w:p w14:paraId="6E32EE0C">
                  <w:pPr>
                    <w:pStyle w:val="17"/>
                    <w:spacing w:line="320" w:lineRule="exact"/>
                    <w:ind w:left="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1284" w:type="dxa"/>
                  <w:vAlign w:val="center"/>
                </w:tcPr>
                <w:p w14:paraId="3A1BB211">
                  <w:pPr>
                    <w:pStyle w:val="17"/>
                    <w:spacing w:line="320" w:lineRule="exact"/>
                    <w:ind w:lef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2E87A43E">
            <w:pPr>
              <w:pStyle w:val="17"/>
              <w:spacing w:line="480" w:lineRule="exact"/>
              <w:ind w:left="422" w:hanging="422"/>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注：1.CO的浓度单位是mg/m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，PM</w:t>
            </w:r>
            <w:r>
              <w:rPr>
                <w:b/>
                <w:bCs/>
                <w:color w:val="000000" w:themeColor="text1"/>
                <w:szCs w:val="21"/>
                <w:vertAlign w:val="subscript"/>
                <w14:textFill>
                  <w14:solidFill>
                    <w14:schemeClr w14:val="tx1"/>
                  </w14:solidFill>
                </w14:textFill>
              </w:rPr>
              <w:t>2.5</w:t>
            </w:r>
            <w:r>
              <w:rPr>
                <w:b/>
                <w:bCs/>
                <w:color w:val="000000" w:themeColor="text1"/>
                <w:szCs w:val="21"/>
                <w14:textFill>
                  <w14:solidFill>
                    <w14:schemeClr w14:val="tx1"/>
                  </w14:solidFill>
                </w14:textFill>
              </w:rPr>
              <w:t>、PM</w:t>
            </w:r>
            <w:r>
              <w:rPr>
                <w:b/>
                <w:bCs/>
                <w:color w:val="000000" w:themeColor="text1"/>
                <w:szCs w:val="21"/>
                <w:vertAlign w:val="subscript"/>
                <w14:textFill>
                  <w14:solidFill>
                    <w14:schemeClr w14:val="tx1"/>
                  </w14:solidFill>
                </w14:textFill>
              </w:rPr>
              <w:t>10</w:t>
            </w:r>
            <w:r>
              <w:rPr>
                <w:b/>
                <w:bCs/>
                <w:color w:val="000000" w:themeColor="text1"/>
                <w:szCs w:val="21"/>
                <w14:textFill>
                  <w14:solidFill>
                    <w14:schemeClr w14:val="tx1"/>
                  </w14:solidFill>
                </w14:textFill>
              </w:rPr>
              <w:t>、NO</w:t>
            </w:r>
            <w:r>
              <w:rPr>
                <w:b/>
                <w:bCs/>
                <w:color w:val="000000" w:themeColor="text1"/>
                <w:szCs w:val="21"/>
                <w:vertAlign w:val="subscript"/>
                <w14:textFill>
                  <w14:solidFill>
                    <w14:schemeClr w14:val="tx1"/>
                  </w14:solidFill>
                </w14:textFill>
              </w:rPr>
              <w:t>2</w:t>
            </w:r>
            <w:r>
              <w:rPr>
                <w:b/>
                <w:bCs/>
                <w:color w:val="000000" w:themeColor="text1"/>
                <w:szCs w:val="21"/>
                <w14:textFill>
                  <w14:solidFill>
                    <w14:schemeClr w14:val="tx1"/>
                  </w14:solidFill>
                </w14:textFill>
              </w:rPr>
              <w:t>、SO</w:t>
            </w:r>
            <w:r>
              <w:rPr>
                <w:b/>
                <w:bCs/>
                <w:color w:val="000000" w:themeColor="text1"/>
                <w:szCs w:val="21"/>
                <w:vertAlign w:val="subscript"/>
                <w14:textFill>
                  <w14:solidFill>
                    <w14:schemeClr w14:val="tx1"/>
                  </w14:solidFill>
                </w14:textFill>
              </w:rPr>
              <w:t>2</w:t>
            </w:r>
            <w:r>
              <w:rPr>
                <w:b/>
                <w:bCs/>
                <w:color w:val="000000" w:themeColor="text1"/>
                <w:szCs w:val="21"/>
                <w14:textFill>
                  <w14:solidFill>
                    <w14:schemeClr w14:val="tx1"/>
                  </w14:solidFill>
                </w14:textFill>
              </w:rPr>
              <w:t>、O</w:t>
            </w:r>
            <w:r>
              <w:rPr>
                <w:b/>
                <w:bCs/>
                <w:color w:val="000000" w:themeColor="text1"/>
                <w:szCs w:val="21"/>
                <w:vertAlign w:val="subscript"/>
                <w14:textFill>
                  <w14:solidFill>
                    <w14:schemeClr w14:val="tx1"/>
                  </w14:solidFill>
                </w14:textFill>
              </w:rPr>
              <w:t>3</w:t>
            </w:r>
            <w:r>
              <w:rPr>
                <w:b/>
                <w:bCs/>
                <w:color w:val="000000" w:themeColor="text1"/>
                <w:szCs w:val="21"/>
                <w14:textFill>
                  <w14:solidFill>
                    <w14:schemeClr w14:val="tx1"/>
                  </w14:solidFill>
                </w14:textFill>
              </w:rPr>
              <w:t>的浓度单位是μg/m</w:t>
            </w:r>
            <w:r>
              <w:rPr>
                <w:b/>
                <w:bCs/>
                <w:color w:val="000000" w:themeColor="text1"/>
                <w:szCs w:val="21"/>
                <w:vertAlign w:val="superscript"/>
                <w14:textFill>
                  <w14:solidFill>
                    <w14:schemeClr w14:val="tx1"/>
                  </w14:solidFill>
                </w14:textFill>
              </w:rPr>
              <w:t>3</w:t>
            </w:r>
          </w:p>
          <w:p w14:paraId="4563B6B9">
            <w:pPr>
              <w:pStyle w:val="17"/>
              <w:spacing w:line="480" w:lineRule="exact"/>
              <w:ind w:left="422" w:hanging="422"/>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2.CO为24小时平均第95百分位数，O</w:t>
            </w:r>
            <w:r>
              <w:rPr>
                <w:b/>
                <w:bCs/>
                <w:color w:val="000000" w:themeColor="text1"/>
                <w:szCs w:val="21"/>
                <w:vertAlign w:val="subscript"/>
                <w14:textFill>
                  <w14:solidFill>
                    <w14:schemeClr w14:val="tx1"/>
                  </w14:solidFill>
                </w14:textFill>
              </w:rPr>
              <w:t>3</w:t>
            </w:r>
            <w:r>
              <w:rPr>
                <w:b/>
                <w:bCs/>
                <w:color w:val="000000" w:themeColor="text1"/>
                <w:szCs w:val="21"/>
                <w14:textFill>
                  <w14:solidFill>
                    <w14:schemeClr w14:val="tx1"/>
                  </w14:solidFill>
                </w14:textFill>
              </w:rPr>
              <w:t>为日最大8小时平均第90百分位数。</w:t>
            </w:r>
          </w:p>
          <w:p w14:paraId="7A3AA666">
            <w:pPr>
              <w:spacing w:line="480" w:lineRule="exact"/>
              <w:ind w:right="113" w:firstLine="482"/>
              <w:jc w:val="both"/>
              <w:rPr>
                <w:b/>
                <w:bCs/>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综上所述</w:t>
            </w:r>
            <w:r>
              <w:rPr>
                <w:rFonts w:ascii="宋体" w:hAnsi="宋体" w:cs="宋体"/>
                <w:color w:val="000000" w:themeColor="text1"/>
                <w:spacing w:val="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2024年承德县</w:t>
            </w:r>
            <w:r>
              <w:rPr>
                <w:color w:val="000000" w:themeColor="text1"/>
                <w:szCs w:val="21"/>
                <w:lang w:bidi="ar"/>
                <w14:textFill>
                  <w14:solidFill>
                    <w14:schemeClr w14:val="tx1"/>
                  </w14:solidFill>
                </w14:textFill>
              </w:rPr>
              <w:t>PM</w:t>
            </w:r>
            <w:r>
              <w:rPr>
                <w:color w:val="000000" w:themeColor="text1"/>
                <w:szCs w:val="21"/>
                <w:vertAlign w:val="subscript"/>
                <w:lang w:bidi="ar"/>
                <w14:textFill>
                  <w14:solidFill>
                    <w14:schemeClr w14:val="tx1"/>
                  </w14:solidFill>
                </w14:textFill>
              </w:rPr>
              <w:t>2.5</w:t>
            </w:r>
            <w:r>
              <w:rPr>
                <w:color w:val="000000" w:themeColor="text1"/>
                <w:szCs w:val="21"/>
                <w:lang w:bidi="ar"/>
                <w14:textFill>
                  <w14:solidFill>
                    <w14:schemeClr w14:val="tx1"/>
                  </w14:solidFill>
                </w14:textFill>
              </w:rPr>
              <w:t>、PM</w:t>
            </w:r>
            <w:r>
              <w:rPr>
                <w:color w:val="000000" w:themeColor="text1"/>
                <w:szCs w:val="21"/>
                <w:vertAlign w:val="subscript"/>
                <w:lang w:bidi="ar"/>
                <w14:textFill>
                  <w14:solidFill>
                    <w14:schemeClr w14:val="tx1"/>
                  </w14:solidFill>
                </w14:textFill>
              </w:rPr>
              <w:t>10</w:t>
            </w:r>
            <w:r>
              <w:rPr>
                <w:color w:val="000000" w:themeColor="text1"/>
                <w:szCs w:val="21"/>
                <w:lang w:bidi="ar"/>
                <w14:textFill>
                  <w14:solidFill>
                    <w14:schemeClr w14:val="tx1"/>
                  </w14:solidFill>
                </w14:textFill>
              </w:rPr>
              <w:t>、二氧化硫、二氧化氮、一氧化碳、臭氧</w:t>
            </w:r>
            <w:r>
              <w:rPr>
                <w:rFonts w:hint="eastAsia"/>
                <w:color w:val="000000" w:themeColor="text1"/>
                <w:szCs w:val="21"/>
                <w:lang w:val="en-US" w:eastAsia="zh-CN" w:bidi="ar"/>
                <w14:textFill>
                  <w14:solidFill>
                    <w14:schemeClr w14:val="tx1"/>
                  </w14:solidFill>
                </w14:textFill>
              </w:rPr>
              <w:t>浓度</w:t>
            </w:r>
            <w:r>
              <w:rPr>
                <w:color w:val="000000" w:themeColor="text1"/>
                <w:szCs w:val="21"/>
                <w:lang w:bidi="ar"/>
                <w14:textFill>
                  <w14:solidFill>
                    <w14:schemeClr w14:val="tx1"/>
                  </w14:solidFill>
                </w14:textFill>
              </w:rPr>
              <w:t>均满足《环境空气质量标准》（GB3095-2012）中二级标准，项目所在区域为环境空气质量达标区</w:t>
            </w:r>
            <w:r>
              <w:rPr>
                <w:rFonts w:ascii="宋体" w:hAnsi="宋体" w:cs="宋体"/>
                <w:color w:val="000000" w:themeColor="text1"/>
                <w:spacing w:val="1"/>
                <w14:textFill>
                  <w14:solidFill>
                    <w14:schemeClr w14:val="tx1"/>
                  </w14:solidFill>
                </w14:textFill>
              </w:rPr>
              <w:t>。</w:t>
            </w:r>
          </w:p>
          <w:p w14:paraId="6AFA0D20">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2、地表水环境质量现状</w:t>
            </w:r>
          </w:p>
          <w:p w14:paraId="481A4B37">
            <w:pPr>
              <w:adjustRightInd w:val="0"/>
              <w:snapToGrid w:val="0"/>
              <w:spacing w:line="480" w:lineRule="exact"/>
              <w:ind w:firstLine="420" w:firstLineChars="200"/>
              <w:jc w:val="both"/>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本项目区域地表水为东山咀河，为滦河支流。按照河北省水利厅与省环保局联合下发的《河北省水功能区划》（冀水资</w:t>
            </w:r>
            <w:r>
              <w:rPr>
                <w:rFonts w:hint="eastAsia" w:cs="Times New Roman"/>
                <w:color w:val="000000" w:themeColor="text1"/>
                <w:szCs w:val="21"/>
                <w:lang w:val="en-US" w:eastAsia="zh-CN"/>
                <w14:textFill>
                  <w14:solidFill>
                    <w14:schemeClr w14:val="tx1"/>
                  </w14:solidFill>
                </w14:textFill>
              </w:rPr>
              <w:t>〔2017〕127号</w:t>
            </w:r>
            <w:r>
              <w:rPr>
                <w:rFonts w:hint="default" w:ascii="Times New Roman" w:hAnsi="Times New Roman" w:cs="Times New Roman"/>
                <w:color w:val="000000" w:themeColor="text1"/>
                <w:szCs w:val="21"/>
                <w:lang w:val="en-US" w:eastAsia="zh-CN"/>
                <w14:textFill>
                  <w14:solidFill>
                    <w14:schemeClr w14:val="tx1"/>
                  </w14:solidFill>
                </w14:textFill>
              </w:rPr>
              <w:t>）的要求，滦河保护级别为地表水Ⅲ类，执行《地表水环境质量标准》（GB3838-2002）中Ⅲ类标准。根据《2023年承德市生态环境状况公报》，</w:t>
            </w:r>
          </w:p>
          <w:p w14:paraId="01D545F9">
            <w:pPr>
              <w:adjustRightInd w:val="0"/>
              <w:snapToGrid w:val="0"/>
              <w:spacing w:line="480" w:lineRule="exact"/>
              <w:ind w:firstLine="420" w:firstLineChars="200"/>
              <w:jc w:val="both"/>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2023年滦河流域总体水质为优，与2022年持平。监测的6个断面中，大子</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一</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、潘家口水库水质为Ⅱ类，郭家屯、兴隆庄、上板城大桥、偏桥子大桥水质为Ⅲ类。</w:t>
            </w:r>
          </w:p>
          <w:p w14:paraId="2645AE7C">
            <w:pPr>
              <w:adjustRightInd w:val="0"/>
              <w:snapToGrid w:val="0"/>
              <w:spacing w:line="480" w:lineRule="exact"/>
              <w:ind w:firstLine="420" w:firstLineChars="2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3、声环境质量现状</w:t>
            </w:r>
          </w:p>
          <w:p w14:paraId="30A481E1">
            <w:pPr>
              <w:adjustRightInd w:val="0"/>
              <w:snapToGrid w:val="0"/>
              <w:spacing w:line="480" w:lineRule="exact"/>
              <w:ind w:firstLine="420" w:firstLineChars="200"/>
              <w:jc w:val="both"/>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本项目委托承德市东岭环境监测有限公司对输电线路周边的</w:t>
            </w:r>
            <w:r>
              <w:rPr>
                <w:rFonts w:hint="eastAsia"/>
                <w:color w:val="000000" w:themeColor="text1"/>
                <w:kern w:val="0"/>
                <w:szCs w:val="21"/>
                <w:lang w:val="en-US" w:eastAsia="zh-CN"/>
                <w14:textFill>
                  <w14:solidFill>
                    <w14:schemeClr w14:val="tx1"/>
                  </w14:solidFill>
                </w14:textFill>
              </w:rPr>
              <w:t>村庄</w:t>
            </w:r>
            <w:r>
              <w:rPr>
                <w:rFonts w:hint="eastAsia"/>
                <w:color w:val="000000" w:themeColor="text1"/>
                <w:kern w:val="0"/>
                <w:szCs w:val="21"/>
                <w14:textFill>
                  <w14:solidFill>
                    <w14:schemeClr w14:val="tx1"/>
                  </w14:solidFill>
                </w14:textFill>
              </w:rPr>
              <w:t>进行声环境质量现状监测，监测报告编号为：DLHJ字（</w:t>
            </w:r>
            <w:r>
              <w:rPr>
                <w:rFonts w:hint="eastAsia"/>
                <w:color w:val="000000" w:themeColor="text1"/>
                <w:kern w:val="0"/>
                <w:szCs w:val="21"/>
                <w:lang w:val="en-US" w:eastAsia="zh-CN"/>
                <w14:textFill>
                  <w14:solidFill>
                    <w14:schemeClr w14:val="tx1"/>
                  </w14:solidFill>
                </w14:textFill>
              </w:rPr>
              <w:t>2025</w:t>
            </w:r>
            <w:r>
              <w:rPr>
                <w:rFonts w:hint="eastAsia"/>
                <w:color w:val="000000" w:themeColor="text1"/>
                <w:kern w:val="0"/>
                <w:szCs w:val="21"/>
                <w14:textFill>
                  <w14:solidFill>
                    <w14:schemeClr w14:val="tx1"/>
                  </w14:solidFill>
                </w14:textFill>
              </w:rPr>
              <w:t>）第</w:t>
            </w:r>
            <w:r>
              <w:rPr>
                <w:rFonts w:hint="eastAsia"/>
                <w:color w:val="000000" w:themeColor="text1"/>
                <w:kern w:val="0"/>
                <w:szCs w:val="21"/>
                <w:lang w:val="en-US" w:eastAsia="zh-CN"/>
                <w14:textFill>
                  <w14:solidFill>
                    <w14:schemeClr w14:val="tx1"/>
                  </w14:solidFill>
                </w14:textFill>
              </w:rPr>
              <w:t>113</w:t>
            </w:r>
            <w:r>
              <w:rPr>
                <w:rFonts w:hint="eastAsia"/>
                <w:color w:val="000000" w:themeColor="text1"/>
                <w:kern w:val="0"/>
                <w:szCs w:val="21"/>
                <w14:textFill>
                  <w14:solidFill>
                    <w14:schemeClr w14:val="tx1"/>
                  </w14:solidFill>
                </w14:textFill>
              </w:rPr>
              <w:t>号。</w:t>
            </w:r>
          </w:p>
          <w:p w14:paraId="1A369560">
            <w:pPr>
              <w:adjustRightInd w:val="0"/>
              <w:snapToGrid w:val="0"/>
              <w:spacing w:line="480" w:lineRule="exact"/>
              <w:ind w:firstLine="420" w:firstLineChars="200"/>
              <w:jc w:val="both"/>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（1）监测地点：</w:t>
            </w:r>
            <w:r>
              <w:rPr>
                <w:rFonts w:hint="eastAsia"/>
                <w:color w:val="000000" w:themeColor="text1"/>
                <w:kern w:val="0"/>
                <w:szCs w:val="21"/>
                <w:lang w:val="en-US" w:eastAsia="zh-CN"/>
                <w14:textFill>
                  <w14:solidFill>
                    <w14:schemeClr w14:val="tx1"/>
                  </w14:solidFill>
                </w14:textFill>
              </w:rPr>
              <w:t>1#民房、2#看护房、4#民房</w:t>
            </w:r>
            <w:r>
              <w:rPr>
                <w:rFonts w:hint="eastAsia"/>
                <w:color w:val="000000" w:themeColor="text1"/>
                <w:kern w:val="0"/>
                <w:szCs w:val="21"/>
                <w14:textFill>
                  <w14:solidFill>
                    <w14:schemeClr w14:val="tx1"/>
                  </w14:solidFill>
                </w14:textFill>
              </w:rPr>
              <w:t>。</w:t>
            </w:r>
          </w:p>
          <w:p w14:paraId="292212DB">
            <w:pPr>
              <w:adjustRightInd w:val="0"/>
              <w:snapToGrid w:val="0"/>
              <w:spacing w:line="480" w:lineRule="exact"/>
              <w:ind w:firstLine="420" w:firstLineChars="200"/>
              <w:jc w:val="both"/>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（2）监测时间及频次：</w:t>
            </w:r>
            <w:r>
              <w:rPr>
                <w:rFonts w:hint="eastAsia"/>
                <w:color w:val="000000" w:themeColor="text1"/>
                <w:kern w:val="0"/>
                <w:szCs w:val="21"/>
                <w:lang w:val="en-US" w:eastAsia="zh-CN"/>
                <w14:textFill>
                  <w14:solidFill>
                    <w14:schemeClr w14:val="tx1"/>
                  </w14:solidFill>
                </w14:textFill>
              </w:rPr>
              <w:t>2025年5月12日-13日</w:t>
            </w:r>
            <w:r>
              <w:rPr>
                <w:rFonts w:hint="eastAsia"/>
                <w:color w:val="000000" w:themeColor="text1"/>
                <w:kern w:val="0"/>
                <w:szCs w:val="21"/>
                <w14:textFill>
                  <w14:solidFill>
                    <w14:schemeClr w14:val="tx1"/>
                  </w14:solidFill>
                </w14:textFill>
              </w:rPr>
              <w:t>昼夜各监测一次。</w:t>
            </w:r>
          </w:p>
          <w:p w14:paraId="621DFC8B">
            <w:pPr>
              <w:adjustRightInd w:val="0"/>
              <w:snapToGrid w:val="0"/>
              <w:spacing w:line="480" w:lineRule="exact"/>
              <w:ind w:firstLine="420" w:firstLineChars="200"/>
              <w:jc w:val="both"/>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（3）监测项目：等效A声级</w:t>
            </w:r>
          </w:p>
          <w:p w14:paraId="532F71E9">
            <w:pPr>
              <w:pStyle w:val="17"/>
              <w:spacing w:line="480" w:lineRule="exact"/>
              <w:ind w:left="0" w:firstLine="420" w:firstLineChars="200"/>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（4）监测方法：分析方法和测量仪器按《声环境质量标准》（GB3096-2008）中要求的方法执行。</w:t>
            </w:r>
          </w:p>
          <w:p w14:paraId="47802C45">
            <w:pPr>
              <w:pStyle w:val="17"/>
              <w:spacing w:line="480" w:lineRule="exact"/>
              <w:ind w:left="0" w:firstLine="420" w:firstLineChars="200"/>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（5）监测结果</w:t>
            </w:r>
          </w:p>
          <w:p w14:paraId="7C0F6257">
            <w:pPr>
              <w:pStyle w:val="17"/>
              <w:spacing w:line="480" w:lineRule="exact"/>
              <w:ind w:left="0" w:firstLine="420" w:firstLineChars="200"/>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检测结果见下表：</w:t>
            </w:r>
          </w:p>
          <w:p w14:paraId="4A233B2E">
            <w:pPr>
              <w:pStyle w:val="17"/>
              <w:spacing w:line="480" w:lineRule="exact"/>
              <w:ind w:left="422" w:hanging="422"/>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表3-3 声环境质量监测结果</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468"/>
              <w:gridCol w:w="2214"/>
              <w:gridCol w:w="2215"/>
            </w:tblGrid>
            <w:tr w14:paraId="7AEF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1969A0C5">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1614" w:type="pct"/>
                  <w:vAlign w:val="center"/>
                </w:tcPr>
                <w:p w14:paraId="3A03DFE3">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监测点位</w:t>
                  </w:r>
                </w:p>
              </w:tc>
              <w:tc>
                <w:tcPr>
                  <w:tcW w:w="1448" w:type="pct"/>
                  <w:vAlign w:val="center"/>
                </w:tcPr>
                <w:p w14:paraId="46B832DB">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昼间（dB（A））</w:t>
                  </w:r>
                </w:p>
              </w:tc>
              <w:tc>
                <w:tcPr>
                  <w:tcW w:w="1448" w:type="pct"/>
                  <w:vAlign w:val="center"/>
                </w:tcPr>
                <w:p w14:paraId="61848C45">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夜间（dB（A））</w:t>
                  </w:r>
                </w:p>
              </w:tc>
            </w:tr>
            <w:tr w14:paraId="35E2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249CFC2B">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817" w:type="dxa"/>
                  <w:vAlign w:val="center"/>
                </w:tcPr>
                <w:p w14:paraId="76916B31">
                  <w:pPr>
                    <w:pStyle w:val="17"/>
                    <w:spacing w:line="320" w:lineRule="exact"/>
                    <w:ind w:left="0" w:firstLine="0" w:firstLine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 民房</w:t>
                  </w:r>
                </w:p>
              </w:tc>
              <w:tc>
                <w:tcPr>
                  <w:tcW w:w="2527" w:type="dxa"/>
                  <w:vAlign w:val="center"/>
                </w:tcPr>
                <w:p w14:paraId="31DDB3E5">
                  <w:pPr>
                    <w:spacing w:line="320" w:lineRule="atLeas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41</w:t>
                  </w:r>
                </w:p>
              </w:tc>
              <w:tc>
                <w:tcPr>
                  <w:tcW w:w="2527" w:type="dxa"/>
                  <w:vAlign w:val="center"/>
                </w:tcPr>
                <w:p w14:paraId="24362599">
                  <w:pPr>
                    <w:spacing w:line="320" w:lineRule="atLeas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38</w:t>
                  </w:r>
                </w:p>
              </w:tc>
            </w:tr>
            <w:tr w14:paraId="0770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7372EE30">
                  <w:pPr>
                    <w:pStyle w:val="17"/>
                    <w:spacing w:line="320" w:lineRule="exact"/>
                    <w:ind w:left="0"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2817" w:type="dxa"/>
                  <w:vAlign w:val="center"/>
                </w:tcPr>
                <w:p w14:paraId="1CC7A2CF">
                  <w:pPr>
                    <w:pStyle w:val="17"/>
                    <w:spacing w:line="320" w:lineRule="exact"/>
                    <w:ind w:left="0" w:firstLine="0" w:firstLine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 看护房</w:t>
                  </w:r>
                </w:p>
              </w:tc>
              <w:tc>
                <w:tcPr>
                  <w:tcW w:w="2527" w:type="dxa"/>
                  <w:vAlign w:val="center"/>
                </w:tcPr>
                <w:p w14:paraId="35C95F82">
                  <w:pPr>
                    <w:spacing w:line="320" w:lineRule="atLeas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42</w:t>
                  </w:r>
                </w:p>
              </w:tc>
              <w:tc>
                <w:tcPr>
                  <w:tcW w:w="2527" w:type="dxa"/>
                  <w:vAlign w:val="center"/>
                </w:tcPr>
                <w:p w14:paraId="4145E8C8">
                  <w:pPr>
                    <w:spacing w:line="320" w:lineRule="atLeas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38</w:t>
                  </w:r>
                </w:p>
              </w:tc>
            </w:tr>
            <w:tr w14:paraId="28A1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3BB013EF">
                  <w:pPr>
                    <w:pStyle w:val="17"/>
                    <w:spacing w:line="320" w:lineRule="exact"/>
                    <w:ind w:left="0"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2817" w:type="dxa"/>
                  <w:vAlign w:val="center"/>
                </w:tcPr>
                <w:p w14:paraId="557A1933">
                  <w:pPr>
                    <w:pStyle w:val="17"/>
                    <w:spacing w:line="320" w:lineRule="exact"/>
                    <w:ind w:left="0" w:firstLine="0" w:firstLine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 民房</w:t>
                  </w:r>
                </w:p>
              </w:tc>
              <w:tc>
                <w:tcPr>
                  <w:tcW w:w="2527" w:type="dxa"/>
                  <w:vAlign w:val="center"/>
                </w:tcPr>
                <w:p w14:paraId="20C40B71">
                  <w:pPr>
                    <w:spacing w:line="320" w:lineRule="atLeas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43</w:t>
                  </w:r>
                </w:p>
              </w:tc>
              <w:tc>
                <w:tcPr>
                  <w:tcW w:w="2527" w:type="dxa"/>
                  <w:vAlign w:val="center"/>
                </w:tcPr>
                <w:p w14:paraId="022AAA2D">
                  <w:pPr>
                    <w:spacing w:line="320" w:lineRule="atLeas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39</w:t>
                  </w:r>
                </w:p>
              </w:tc>
            </w:tr>
          </w:tbl>
          <w:p w14:paraId="60C651DB">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监测结果表明，</w:t>
            </w:r>
            <w:r>
              <w:rPr>
                <w:rFonts w:hint="eastAsia"/>
                <w:color w:val="000000" w:themeColor="text1"/>
                <w:szCs w:val="21"/>
                <w:lang w:val="en-US" w:eastAsia="zh-CN"/>
                <w14:textFill>
                  <w14:solidFill>
                    <w14:schemeClr w14:val="tx1"/>
                  </w14:solidFill>
                </w14:textFill>
              </w:rPr>
              <w:t>项目线路沿线声环境质量</w:t>
            </w:r>
            <w:r>
              <w:rPr>
                <w:rFonts w:hint="eastAsia"/>
                <w:color w:val="000000" w:themeColor="text1"/>
                <w:szCs w:val="21"/>
                <w14:textFill>
                  <w14:solidFill>
                    <w14:schemeClr w14:val="tx1"/>
                  </w14:solidFill>
                </w14:textFill>
              </w:rPr>
              <w:t>均满足《声环境质量标准》</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GB3096-2008</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1类标准要求。</w:t>
            </w:r>
          </w:p>
          <w:p w14:paraId="70FD62BA">
            <w:pPr>
              <w:pStyle w:val="17"/>
              <w:spacing w:line="480" w:lineRule="exact"/>
              <w:ind w:left="0" w:firstLine="420" w:firstLineChars="200"/>
              <w:rPr>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4、</w:t>
            </w:r>
            <w:r>
              <w:rPr>
                <w:rFonts w:hint="eastAsia"/>
                <w:b w:val="0"/>
                <w:bCs w:val="0"/>
                <w:color w:val="000000" w:themeColor="text1"/>
                <w:szCs w:val="21"/>
                <w14:textFill>
                  <w14:solidFill>
                    <w14:schemeClr w14:val="tx1"/>
                  </w14:solidFill>
                </w14:textFill>
              </w:rPr>
              <w:t>电磁辐射环境现状</w:t>
            </w:r>
          </w:p>
          <w:p w14:paraId="192B4967">
            <w:pPr>
              <w:pStyle w:val="17"/>
              <w:spacing w:line="480" w:lineRule="exact"/>
              <w:ind w:left="0"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为了解本项目电磁环境背景水平，本评价委托承德市东岭环境监测有限公司对本项目不同地段的工频电场、工频磁场进行监测（</w:t>
            </w:r>
            <w:r>
              <w:rPr>
                <w:rFonts w:hint="eastAsia"/>
                <w:color w:val="000000" w:themeColor="text1"/>
                <w:kern w:val="0"/>
                <w:szCs w:val="21"/>
                <w14:textFill>
                  <w14:solidFill>
                    <w14:schemeClr w14:val="tx1"/>
                  </w14:solidFill>
                </w14:textFill>
              </w:rPr>
              <w:t>DLHJ字（</w:t>
            </w:r>
            <w:r>
              <w:rPr>
                <w:rFonts w:hint="eastAsia"/>
                <w:color w:val="000000" w:themeColor="text1"/>
                <w:kern w:val="0"/>
                <w:szCs w:val="21"/>
                <w:lang w:val="en-US" w:eastAsia="zh-CN"/>
                <w14:textFill>
                  <w14:solidFill>
                    <w14:schemeClr w14:val="tx1"/>
                  </w14:solidFill>
                </w14:textFill>
              </w:rPr>
              <w:t>2025</w:t>
            </w:r>
            <w:r>
              <w:rPr>
                <w:rFonts w:hint="eastAsia"/>
                <w:color w:val="000000" w:themeColor="text1"/>
                <w:kern w:val="0"/>
                <w:szCs w:val="21"/>
                <w14:textFill>
                  <w14:solidFill>
                    <w14:schemeClr w14:val="tx1"/>
                  </w14:solidFill>
                </w14:textFill>
              </w:rPr>
              <w:t>）第</w:t>
            </w:r>
            <w:r>
              <w:rPr>
                <w:rFonts w:hint="eastAsia"/>
                <w:color w:val="000000" w:themeColor="text1"/>
                <w:kern w:val="0"/>
                <w:szCs w:val="21"/>
                <w:lang w:val="en-US" w:eastAsia="zh-CN"/>
                <w14:textFill>
                  <w14:solidFill>
                    <w14:schemeClr w14:val="tx1"/>
                  </w14:solidFill>
                </w14:textFill>
              </w:rPr>
              <w:t>113</w:t>
            </w:r>
            <w:r>
              <w:rPr>
                <w:rFonts w:hint="eastAsia"/>
                <w:color w:val="000000" w:themeColor="text1"/>
                <w:kern w:val="0"/>
                <w:szCs w:val="21"/>
                <w14:textFill>
                  <w14:solidFill>
                    <w14:schemeClr w14:val="tx1"/>
                  </w14:solidFill>
                </w14:textFill>
              </w:rPr>
              <w:t>号</w:t>
            </w:r>
            <w:r>
              <w:rPr>
                <w:rFonts w:hint="eastAsia"/>
                <w:color w:val="000000" w:themeColor="text1"/>
                <w:szCs w:val="21"/>
                <w14:textFill>
                  <w14:solidFill>
                    <w14:schemeClr w14:val="tx1"/>
                  </w14:solidFill>
                </w14:textFill>
              </w:rPr>
              <w:t>），根据《环境影响评价技术导则输变电》（HJ 24-2020）中6.3.2 监测点位及布点方法要求，对于无电磁环境敏感目标的输电线路，需对沿线电磁环境现状进行监测，尽量沿线路路径均匀布点，兼顾行政区、环境特征及各子工程的代表性，线路长度小于100km的，最少测点数量为2个，本项目线路</w:t>
            </w:r>
            <w:r>
              <w:rPr>
                <w:rFonts w:hint="eastAsia"/>
                <w:color w:val="000000" w:themeColor="text1"/>
                <w:szCs w:val="21"/>
                <w:lang w:eastAsia="zh-CN"/>
                <w14:textFill>
                  <w14:solidFill>
                    <w14:schemeClr w14:val="tx1"/>
                  </w14:solidFill>
                </w14:textFill>
              </w:rPr>
              <w:t>总长</w:t>
            </w:r>
            <w:r>
              <w:rPr>
                <w:rFonts w:hint="eastAsia"/>
                <w:color w:val="000000" w:themeColor="text1"/>
                <w:szCs w:val="21"/>
                <w14:textFill>
                  <w14:solidFill>
                    <w14:schemeClr w14:val="tx1"/>
                  </w14:solidFill>
                </w14:textFill>
              </w:rPr>
              <w:t>约</w:t>
            </w:r>
            <w:r>
              <w:rPr>
                <w:rFonts w:hint="eastAsia"/>
                <w:color w:val="000000" w:themeColor="text1"/>
                <w:szCs w:val="21"/>
                <w:lang w:val="en-US" w:eastAsia="zh-CN"/>
                <w14:textFill>
                  <w14:solidFill>
                    <w14:schemeClr w14:val="tx1"/>
                  </w14:solidFill>
                </w14:textFill>
              </w:rPr>
              <w:t>33.62</w:t>
            </w:r>
            <w:r>
              <w:rPr>
                <w:rFonts w:hint="eastAsia"/>
                <w:color w:val="000000" w:themeColor="text1"/>
                <w:szCs w:val="21"/>
                <w14:textFill>
                  <w14:solidFill>
                    <w14:schemeClr w14:val="tx1"/>
                  </w14:solidFill>
                </w14:textFill>
              </w:rPr>
              <w:t>km，</w:t>
            </w:r>
            <w:r>
              <w:rPr>
                <w:rFonts w:hint="eastAsia"/>
                <w:color w:val="000000" w:themeColor="text1"/>
                <w:szCs w:val="21"/>
                <w:lang w:val="en-US" w:eastAsia="zh-CN"/>
                <w14:textFill>
                  <w14:solidFill>
                    <w14:schemeClr w14:val="tx1"/>
                  </w14:solidFill>
                </w14:textFill>
              </w:rPr>
              <w:t>跨越一处大棚，评价范围内存在5个敏感点，共布设5个监测点位。</w:t>
            </w:r>
          </w:p>
          <w:p w14:paraId="6F3F61E7">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（1）监测因子</w:t>
            </w:r>
          </w:p>
          <w:p w14:paraId="5680E864">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工频电场、工频磁场。</w:t>
            </w:r>
          </w:p>
          <w:p w14:paraId="57D1FAE7">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（2）检测仪器</w:t>
            </w:r>
          </w:p>
          <w:p w14:paraId="69CF55D7">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工频电场和磁场分析仪-型号：EHP-50D/NBM-550；编号DLYQ-05。主要技术指标：量程范围： 5mV/m～100kV/m  0.3nT～10mT（校准日期2023年05月25日）。</w:t>
            </w:r>
          </w:p>
          <w:p w14:paraId="306CD665">
            <w:pPr>
              <w:pStyle w:val="17"/>
              <w:spacing w:line="400" w:lineRule="exact"/>
              <w:ind w:left="420" w:leftChars="200"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（3）监测方法</w:t>
            </w:r>
          </w:p>
          <w:p w14:paraId="36639174">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工频电场、工频磁场按《交流输变电工程电磁环境监测方法（试行）》（HJ681-2013）进行。</w:t>
            </w:r>
          </w:p>
          <w:p w14:paraId="7A27BAF1">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（4）监测条件</w:t>
            </w:r>
          </w:p>
          <w:p w14:paraId="663DE10D">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2025年5月12日-13日</w:t>
            </w:r>
            <w:r>
              <w:rPr>
                <w:rFonts w:hint="eastAsia"/>
                <w:color w:val="000000" w:themeColor="text1"/>
                <w:szCs w:val="21"/>
                <w14:textFill>
                  <w14:solidFill>
                    <w14:schemeClr w14:val="tx1"/>
                  </w14:solidFill>
                </w14:textFill>
              </w:rPr>
              <w:t>，天气状况：无雨无雪；</w:t>
            </w:r>
          </w:p>
          <w:p w14:paraId="57B1DF4E">
            <w:pPr>
              <w:pStyle w:val="17"/>
              <w:spacing w:line="480" w:lineRule="exact"/>
              <w:ind w:left="0"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无雨无雪，昼间：环境温度：</w:t>
            </w:r>
            <w:r>
              <w:rPr>
                <w:rFonts w:hint="eastAsia"/>
                <w:color w:val="000000" w:themeColor="text1"/>
                <w:szCs w:val="21"/>
                <w:lang w:val="en-US" w:eastAsia="zh-CN"/>
                <w14:textFill>
                  <w14:solidFill>
                    <w14:schemeClr w14:val="tx1"/>
                  </w14:solidFill>
                </w14:textFill>
              </w:rPr>
              <w:t>20</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-27</w:t>
            </w:r>
            <w:r>
              <w:rPr>
                <w:rFonts w:hint="eastAsia"/>
                <w:color w:val="000000" w:themeColor="text1"/>
                <w:szCs w:val="21"/>
                <w14:textFill>
                  <w14:solidFill>
                    <w14:schemeClr w14:val="tx1"/>
                  </w14:solidFill>
                </w14:textFill>
              </w:rPr>
              <w:t>℃；相对湿度：3</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%-34%；风速为1.</w:t>
            </w:r>
            <w:r>
              <w:rPr>
                <w:rFonts w:hint="eastAsia"/>
                <w:color w:val="000000" w:themeColor="text1"/>
                <w:szCs w:val="21"/>
                <w:lang w:val="en-US" w:eastAsia="zh-CN"/>
                <w14:textFill>
                  <w14:solidFill>
                    <w14:schemeClr w14:val="tx1"/>
                  </w14:solidFill>
                </w14:textFill>
              </w:rPr>
              <w:t>9</w:t>
            </w:r>
            <w:r>
              <w:rPr>
                <w:rFonts w:hint="eastAsia"/>
                <w:color w:val="000000" w:themeColor="text1"/>
                <w:szCs w:val="21"/>
                <w14:textFill>
                  <w14:solidFill>
                    <w14:schemeClr w14:val="tx1"/>
                  </w14:solidFill>
                </w14:textFill>
              </w:rPr>
              <w:t>m/s-</w:t>
            </w:r>
            <w:r>
              <w:rPr>
                <w:rFonts w:hint="eastAsia"/>
                <w:color w:val="000000" w:themeColor="text1"/>
                <w:szCs w:val="21"/>
                <w:lang w:val="en-US" w:eastAsia="zh-CN"/>
                <w14:textFill>
                  <w14:solidFill>
                    <w14:schemeClr w14:val="tx1"/>
                  </w14:solidFill>
                </w14:textFill>
              </w:rPr>
              <w:t>2.9</w:t>
            </w:r>
            <w:r>
              <w:rPr>
                <w:rFonts w:hint="eastAsia"/>
                <w:color w:val="000000" w:themeColor="text1"/>
                <w:szCs w:val="21"/>
                <w14:textFill>
                  <w14:solidFill>
                    <w14:schemeClr w14:val="tx1"/>
                  </w14:solidFill>
                </w14:textFill>
              </w:rPr>
              <w:t>m/s；</w:t>
            </w:r>
          </w:p>
          <w:p w14:paraId="20D21C73">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无雨无雪，夜间：环境温度：</w:t>
            </w:r>
            <w:r>
              <w:rPr>
                <w:rFonts w:hint="eastAsia"/>
                <w:color w:val="000000" w:themeColor="text1"/>
                <w:szCs w:val="21"/>
                <w:lang w:val="en-US" w:eastAsia="zh-CN"/>
                <w14:textFill>
                  <w14:solidFill>
                    <w14:schemeClr w14:val="tx1"/>
                  </w14:solidFill>
                </w14:textFill>
              </w:rPr>
              <w:t>16</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-18</w:t>
            </w:r>
            <w:r>
              <w:rPr>
                <w:rFonts w:hint="eastAsia"/>
                <w:color w:val="000000" w:themeColor="text1"/>
                <w:szCs w:val="21"/>
                <w14:textFill>
                  <w14:solidFill>
                    <w14:schemeClr w14:val="tx1"/>
                  </w14:solidFill>
                </w14:textFill>
              </w:rPr>
              <w:t>℃； 相对湿度：3</w:t>
            </w:r>
            <w:r>
              <w:rPr>
                <w:rFonts w:hint="eastAsia"/>
                <w:color w:val="000000" w:themeColor="text1"/>
                <w:szCs w:val="21"/>
                <w:lang w:val="en-US" w:eastAsia="zh-CN"/>
                <w14:textFill>
                  <w14:solidFill>
                    <w14:schemeClr w14:val="tx1"/>
                  </w14:solidFill>
                </w14:textFill>
              </w:rPr>
              <w:t>9</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40</w:t>
            </w:r>
            <w:r>
              <w:rPr>
                <w:rFonts w:hint="eastAsia"/>
                <w:color w:val="000000" w:themeColor="text1"/>
                <w:szCs w:val="21"/>
                <w14:textFill>
                  <w14:solidFill>
                    <w14:schemeClr w14:val="tx1"/>
                  </w14:solidFill>
                </w14:textFill>
              </w:rPr>
              <w:t>%；风速为</w:t>
            </w:r>
            <w:r>
              <w:rPr>
                <w:rFonts w:hint="eastAsia"/>
                <w:color w:val="000000" w:themeColor="text1"/>
                <w:szCs w:val="21"/>
                <w:lang w:val="en-US" w:eastAsia="zh-CN"/>
                <w14:textFill>
                  <w14:solidFill>
                    <w14:schemeClr w14:val="tx1"/>
                  </w14:solidFill>
                </w14:textFill>
              </w:rPr>
              <w:t>1.4</w:t>
            </w:r>
            <w:r>
              <w:rPr>
                <w:rFonts w:hint="eastAsia"/>
                <w:color w:val="000000" w:themeColor="text1"/>
                <w:szCs w:val="21"/>
                <w14:textFill>
                  <w14:solidFill>
                    <w14:schemeClr w14:val="tx1"/>
                  </w14:solidFill>
                </w14:textFill>
              </w:rPr>
              <w:t>m/s-</w:t>
            </w:r>
            <w:r>
              <w:rPr>
                <w:rFonts w:hint="eastAsia"/>
                <w:color w:val="000000" w:themeColor="text1"/>
                <w:szCs w:val="21"/>
                <w:lang w:val="en-US" w:eastAsia="zh-CN"/>
                <w14:textFill>
                  <w14:solidFill>
                    <w14:schemeClr w14:val="tx1"/>
                  </w14:solidFill>
                </w14:textFill>
              </w:rPr>
              <w:t>1.6</w:t>
            </w:r>
            <w:r>
              <w:rPr>
                <w:rFonts w:hint="eastAsia"/>
                <w:color w:val="000000" w:themeColor="text1"/>
                <w:szCs w:val="21"/>
                <w14:textFill>
                  <w14:solidFill>
                    <w14:schemeClr w14:val="tx1"/>
                  </w14:solidFill>
                </w14:textFill>
              </w:rPr>
              <w:t>m/s。</w:t>
            </w:r>
          </w:p>
          <w:p w14:paraId="510152EA">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（5）监测点位及结果：</w:t>
            </w:r>
          </w:p>
          <w:p w14:paraId="2D92D1F2">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工频电磁场监测：</w:t>
            </w:r>
            <w:bookmarkStart w:id="5" w:name="OLE_LINK12"/>
            <w:r>
              <w:rPr>
                <w:rFonts w:hint="eastAsia"/>
                <w:color w:val="000000" w:themeColor="text1"/>
                <w:szCs w:val="21"/>
                <w:lang w:val="en-US" w:eastAsia="zh-CN"/>
                <w14:textFill>
                  <w14:solidFill>
                    <w14:schemeClr w14:val="tx1"/>
                  </w14:solidFill>
                </w14:textFill>
              </w:rPr>
              <w:t>在1#民房、2#看护房、3#大棚、4#民房、5#甲山建材物流园各设置1个监测点位</w:t>
            </w:r>
            <w:bookmarkEnd w:id="5"/>
            <w:r>
              <w:rPr>
                <w:rFonts w:hint="eastAsia"/>
                <w:color w:val="000000" w:themeColor="text1"/>
                <w:szCs w:val="21"/>
                <w:lang w:val="en-US" w:eastAsia="zh-CN"/>
                <w14:textFill>
                  <w14:solidFill>
                    <w14:schemeClr w14:val="tx1"/>
                  </w14:solidFill>
                </w14:textFill>
              </w:rPr>
              <w:t>，共设置5个监测点位</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测量距地面1.5m高处的工频电场强度和工频磁感应强度。</w:t>
            </w:r>
          </w:p>
          <w:p w14:paraId="4EF7C08D">
            <w:pPr>
              <w:pStyle w:val="17"/>
              <w:spacing w:line="48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表3-4工频电磁场检测结果</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468"/>
              <w:gridCol w:w="2214"/>
              <w:gridCol w:w="2215"/>
            </w:tblGrid>
            <w:tr w14:paraId="57A6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7872DC8A">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1614" w:type="pct"/>
                  <w:vAlign w:val="center"/>
                </w:tcPr>
                <w:p w14:paraId="581808AB">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监测点位</w:t>
                  </w:r>
                </w:p>
              </w:tc>
              <w:tc>
                <w:tcPr>
                  <w:tcW w:w="1448" w:type="pct"/>
                  <w:vAlign w:val="center"/>
                </w:tcPr>
                <w:p w14:paraId="61EC809E">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工频电场强度（V/m）</w:t>
                  </w:r>
                </w:p>
              </w:tc>
              <w:tc>
                <w:tcPr>
                  <w:tcW w:w="1448" w:type="pct"/>
                  <w:vAlign w:val="center"/>
                </w:tcPr>
                <w:p w14:paraId="010BACEF">
                  <w:pPr>
                    <w:pStyle w:val="17"/>
                    <w:spacing w:line="320" w:lineRule="exact"/>
                    <w:ind w:lef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工频磁感应强</w:t>
                  </w:r>
                  <w:r>
                    <w:rPr>
                      <w:b/>
                      <w:bCs/>
                      <w:color w:val="000000" w:themeColor="text1"/>
                      <w:szCs w:val="21"/>
                      <w14:textFill>
                        <w14:solidFill>
                          <w14:schemeClr w14:val="tx1"/>
                        </w14:solidFill>
                      </w14:textFill>
                    </w:rPr>
                    <w:t>度（μT）</w:t>
                  </w:r>
                </w:p>
              </w:tc>
            </w:tr>
            <w:tr w14:paraId="4BA1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188195E1">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544" w:type="dxa"/>
                  <w:vAlign w:val="center"/>
                </w:tcPr>
                <w:p w14:paraId="217B6696">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1#民房</w:t>
                  </w:r>
                </w:p>
              </w:tc>
              <w:tc>
                <w:tcPr>
                  <w:tcW w:w="2527" w:type="dxa"/>
                  <w:vAlign w:val="center"/>
                </w:tcPr>
                <w:p w14:paraId="4DE24394">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22.9</w:t>
                  </w:r>
                </w:p>
              </w:tc>
              <w:tc>
                <w:tcPr>
                  <w:tcW w:w="2527" w:type="dxa"/>
                  <w:vAlign w:val="center"/>
                </w:tcPr>
                <w:p w14:paraId="043E07A4">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0.016</w:t>
                  </w:r>
                </w:p>
              </w:tc>
            </w:tr>
            <w:tr w14:paraId="44EB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34C97E6C">
                  <w:pPr>
                    <w:pStyle w:val="17"/>
                    <w:spacing w:line="320" w:lineRule="exact"/>
                    <w:ind w:lef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544" w:type="dxa"/>
                  <w:vAlign w:val="center"/>
                </w:tcPr>
                <w:p w14:paraId="7E4EBF14">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2#看护房</w:t>
                  </w:r>
                </w:p>
              </w:tc>
              <w:tc>
                <w:tcPr>
                  <w:tcW w:w="2527" w:type="dxa"/>
                  <w:vAlign w:val="center"/>
                </w:tcPr>
                <w:p w14:paraId="7A8AE68F">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14.5</w:t>
                  </w:r>
                </w:p>
              </w:tc>
              <w:tc>
                <w:tcPr>
                  <w:tcW w:w="2527" w:type="dxa"/>
                  <w:vAlign w:val="center"/>
                </w:tcPr>
                <w:p w14:paraId="3CD85029">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0.018</w:t>
                  </w:r>
                </w:p>
              </w:tc>
            </w:tr>
            <w:tr w14:paraId="7404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3B81C7C9">
                  <w:pPr>
                    <w:pStyle w:val="17"/>
                    <w:spacing w:line="320" w:lineRule="exact"/>
                    <w:ind w:left="0"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2544" w:type="dxa"/>
                  <w:vAlign w:val="center"/>
                </w:tcPr>
                <w:p w14:paraId="2E1DC994">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3#大棚</w:t>
                  </w:r>
                </w:p>
              </w:tc>
              <w:tc>
                <w:tcPr>
                  <w:tcW w:w="2527" w:type="dxa"/>
                  <w:vAlign w:val="center"/>
                </w:tcPr>
                <w:p w14:paraId="166120AA">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113</w:t>
                  </w:r>
                </w:p>
              </w:tc>
              <w:tc>
                <w:tcPr>
                  <w:tcW w:w="2527" w:type="dxa"/>
                  <w:vAlign w:val="center"/>
                </w:tcPr>
                <w:p w14:paraId="53D69323">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0.014</w:t>
                  </w:r>
                </w:p>
              </w:tc>
            </w:tr>
            <w:tr w14:paraId="3051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4E0D41D0">
                  <w:pPr>
                    <w:pStyle w:val="17"/>
                    <w:spacing w:line="320" w:lineRule="exact"/>
                    <w:ind w:left="0"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2544" w:type="dxa"/>
                  <w:vAlign w:val="center"/>
                </w:tcPr>
                <w:p w14:paraId="590153F1">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4#民房</w:t>
                  </w:r>
                </w:p>
              </w:tc>
              <w:tc>
                <w:tcPr>
                  <w:tcW w:w="2527" w:type="dxa"/>
                  <w:vAlign w:val="center"/>
                </w:tcPr>
                <w:p w14:paraId="55806B32">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29.7</w:t>
                  </w:r>
                </w:p>
              </w:tc>
              <w:tc>
                <w:tcPr>
                  <w:tcW w:w="2527" w:type="dxa"/>
                  <w:vAlign w:val="center"/>
                </w:tcPr>
                <w:p w14:paraId="56A87664">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0.018</w:t>
                  </w:r>
                </w:p>
              </w:tc>
            </w:tr>
            <w:tr w14:paraId="2831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3C0A1C5E">
                  <w:pPr>
                    <w:pStyle w:val="17"/>
                    <w:spacing w:line="320" w:lineRule="exact"/>
                    <w:ind w:left="0"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2544" w:type="dxa"/>
                  <w:vAlign w:val="center"/>
                </w:tcPr>
                <w:p w14:paraId="6F11706D">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5#甲山建材物流园</w:t>
                  </w:r>
                </w:p>
              </w:tc>
              <w:tc>
                <w:tcPr>
                  <w:tcW w:w="2527" w:type="dxa"/>
                  <w:vAlign w:val="center"/>
                </w:tcPr>
                <w:p w14:paraId="40BBC7B5">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438</w:t>
                  </w:r>
                </w:p>
              </w:tc>
              <w:tc>
                <w:tcPr>
                  <w:tcW w:w="2527" w:type="dxa"/>
                  <w:vAlign w:val="center"/>
                </w:tcPr>
                <w:p w14:paraId="06926175">
                  <w:pPr>
                    <w:pStyle w:val="17"/>
                    <w:spacing w:line="320" w:lineRule="exact"/>
                    <w:ind w:left="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0.051</w:t>
                  </w:r>
                </w:p>
              </w:tc>
            </w:tr>
          </w:tbl>
          <w:p w14:paraId="5BA0ED20">
            <w:pPr>
              <w:pStyle w:val="17"/>
              <w:spacing w:line="480" w:lineRule="exact"/>
              <w:ind w:left="0"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由上表可知，各监测点位工频电场强度现状值为</w:t>
            </w:r>
            <w:r>
              <w:rPr>
                <w:rFonts w:hint="eastAsia"/>
                <w:color w:val="000000" w:themeColor="text1"/>
                <w:szCs w:val="21"/>
                <w:lang w:val="en-US" w:eastAsia="zh-CN"/>
                <w14:textFill>
                  <w14:solidFill>
                    <w14:schemeClr w14:val="tx1"/>
                  </w14:solidFill>
                </w14:textFill>
              </w:rPr>
              <w:t>14.5</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438</w:t>
            </w:r>
            <w:r>
              <w:rPr>
                <w:color w:val="000000" w:themeColor="text1"/>
                <w:szCs w:val="21"/>
                <w14:textFill>
                  <w14:solidFill>
                    <w14:schemeClr w14:val="tx1"/>
                  </w14:solidFill>
                </w14:textFill>
              </w:rPr>
              <w:t>V/m，工频磁感应强度为0.01</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0.051</w:t>
            </w:r>
            <w:r>
              <w:rPr>
                <w:color w:val="000000" w:themeColor="text1"/>
                <w:szCs w:val="21"/>
                <w14:textFill>
                  <w14:solidFill>
                    <w14:schemeClr w14:val="tx1"/>
                  </w14:solidFill>
                </w14:textFill>
              </w:rPr>
              <w:t>μT，分别满足《电磁环境控制限值》（GB8702-2014）中4</w:t>
            </w:r>
            <w:r>
              <w:rPr>
                <w:rFonts w:hint="eastAsia"/>
                <w:color w:val="000000" w:themeColor="text1"/>
                <w:szCs w:val="21"/>
                <w14:textFill>
                  <w14:solidFill>
                    <w14:schemeClr w14:val="tx1"/>
                  </w14:solidFill>
                </w14:textFill>
              </w:rPr>
              <w:t>kV</w:t>
            </w:r>
            <w:r>
              <w:rPr>
                <w:color w:val="000000" w:themeColor="text1"/>
                <w:szCs w:val="21"/>
                <w14:textFill>
                  <w14:solidFill>
                    <w14:schemeClr w14:val="tx1"/>
                  </w14:solidFill>
                </w14:textFill>
              </w:rPr>
              <w:t>/m和100μT的评价标准。</w:t>
            </w:r>
          </w:p>
        </w:tc>
      </w:tr>
      <w:tr w14:paraId="07E3E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380" w:type="pct"/>
            <w:vAlign w:val="center"/>
          </w:tcPr>
          <w:p w14:paraId="65AD9582">
            <w:pPr>
              <w:adjustRightInd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与项目有关的原有环境污染和生态破坏问题</w:t>
            </w:r>
          </w:p>
        </w:tc>
        <w:tc>
          <w:tcPr>
            <w:tcW w:w="4619" w:type="pct"/>
            <w:vAlign w:val="center"/>
          </w:tcPr>
          <w:p w14:paraId="07E83F05">
            <w:pPr>
              <w:pStyle w:val="17"/>
              <w:spacing w:line="480" w:lineRule="exact"/>
              <w:ind w:left="0" w:firstLine="420" w:firstLineChars="200"/>
              <w:rPr>
                <w:color w:val="000000" w:themeColor="text1"/>
                <w:szCs w:val="21"/>
                <w14:textFill>
                  <w14:solidFill>
                    <w14:schemeClr w14:val="tx1"/>
                  </w14:solidFill>
                </w14:textFill>
              </w:rPr>
            </w:pPr>
            <w:r>
              <w:rPr>
                <w:rFonts w:hint="default"/>
                <w:color w:val="000000" w:themeColor="text1"/>
                <w:szCs w:val="21"/>
                <w:lang w:eastAsia="zh-CN"/>
                <w14:textFill>
                  <w14:solidFill>
                    <w14:schemeClr w14:val="tx1"/>
                  </w14:solidFill>
                </w14:textFill>
              </w:rPr>
              <w:t>本项目为新建项目，不涉及与项目有关的环境污染和生态破坏问题。</w:t>
            </w:r>
          </w:p>
        </w:tc>
      </w:tr>
      <w:tr w14:paraId="69603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8" w:hRule="atLeast"/>
          <w:jc w:val="center"/>
        </w:trPr>
        <w:tc>
          <w:tcPr>
            <w:tcW w:w="380" w:type="pct"/>
            <w:vAlign w:val="center"/>
          </w:tcPr>
          <w:p w14:paraId="5CF2060A">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生态环境保护目标</w:t>
            </w:r>
          </w:p>
        </w:tc>
        <w:tc>
          <w:tcPr>
            <w:tcW w:w="4619" w:type="pct"/>
          </w:tcPr>
          <w:p w14:paraId="46A7F282">
            <w:pPr>
              <w:adjustRightInd w:val="0"/>
              <w:snapToGrid w:val="0"/>
              <w:spacing w:line="480" w:lineRule="exact"/>
              <w:ind w:firstLine="42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1、调查范围</w:t>
            </w:r>
          </w:p>
          <w:p w14:paraId="1DEBCDB0">
            <w:pPr>
              <w:adjustRightInd w:val="0"/>
              <w:snapToGrid w:val="0"/>
              <w:spacing w:line="48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评价分类管理名录》（2021年版），本项目环境敏感区含义为该名录的“第三条（一）中的全部区域；第三条（三）中的以居住、医疗卫生、文化教育、科研、行政办公等为主要功能的区域”。同时根据《环境影响评价技术导则 输变电》（HJ24-2020）“电磁环境敏感目标为电磁环境影响评价与监测需重点关注的对象。包括住宅、学校、医院、办公楼、工厂等有公众居住、工作或学习的建筑物。”要求，识别边导线路径内《建设项目环境影响评价分类管理名录》（2021年版）规定的“（一）国家公园、自然保护区、风景名胜区、世界文化和自然遗产地、海洋特别保护区、饮用水水源保护区；”生态敏感区及边导线对地投影两侧40m范围内的“第三条（三）中的以居住、医疗卫生、文化教育、科研、行政办公等为主要功能的区域”的电磁环境敏感目标。</w:t>
            </w:r>
          </w:p>
          <w:p w14:paraId="009DCBBA">
            <w:pPr>
              <w:adjustRightInd w:val="0"/>
              <w:snapToGrid w:val="0"/>
              <w:spacing w:line="48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对照上述要求，根据实际调查、核实，确定本项目评价范围内生态环境保护目标。</w:t>
            </w:r>
          </w:p>
          <w:p w14:paraId="0DE3B761">
            <w:pPr>
              <w:adjustRightInd w:val="0"/>
              <w:snapToGrid w:val="0"/>
              <w:spacing w:line="4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表3-5项目评价范围及依据</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3209"/>
              <w:gridCol w:w="3888"/>
            </w:tblGrid>
            <w:tr w14:paraId="02FB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1" w:type="dxa"/>
                  <w:vAlign w:val="center"/>
                </w:tcPr>
                <w:p w14:paraId="655970C7">
                  <w:pPr>
                    <w:adjustRightInd w:val="0"/>
                    <w:snapToGrid w:val="0"/>
                    <w:spacing w:line="320" w:lineRule="exact"/>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影响因子</w:t>
                  </w:r>
                </w:p>
              </w:tc>
              <w:tc>
                <w:tcPr>
                  <w:tcW w:w="3209" w:type="dxa"/>
                  <w:vAlign w:val="center"/>
                </w:tcPr>
                <w:p w14:paraId="52DB7274">
                  <w:pPr>
                    <w:adjustRightInd w:val="0"/>
                    <w:snapToGrid w:val="0"/>
                    <w:spacing w:line="320" w:lineRule="exact"/>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评价范围</w:t>
                  </w:r>
                </w:p>
              </w:tc>
              <w:tc>
                <w:tcPr>
                  <w:tcW w:w="3888" w:type="dxa"/>
                  <w:vAlign w:val="center"/>
                </w:tcPr>
                <w:p w14:paraId="0B95E786">
                  <w:pPr>
                    <w:adjustRightInd w:val="0"/>
                    <w:snapToGrid w:val="0"/>
                    <w:spacing w:line="320" w:lineRule="exact"/>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标准来源</w:t>
                  </w:r>
                </w:p>
              </w:tc>
            </w:tr>
            <w:tr w14:paraId="66CE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1" w:type="dxa"/>
                  <w:vAlign w:val="center"/>
                </w:tcPr>
                <w:p w14:paraId="79D65FE1">
                  <w:pPr>
                    <w:adjustRightInd w:val="0"/>
                    <w:snapToGrid w:val="0"/>
                    <w:spacing w:line="3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工频电场</w:t>
                  </w:r>
                </w:p>
              </w:tc>
              <w:tc>
                <w:tcPr>
                  <w:tcW w:w="3209" w:type="dxa"/>
                  <w:vMerge w:val="restart"/>
                  <w:vAlign w:val="center"/>
                </w:tcPr>
                <w:p w14:paraId="7B0D2C05">
                  <w:pPr>
                    <w:adjustRightInd w:val="0"/>
                    <w:snapToGrid w:val="0"/>
                    <w:spacing w:line="3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输电线路边导线地面投影外两侧各40m以内的带状区域。</w:t>
                  </w:r>
                </w:p>
              </w:tc>
              <w:tc>
                <w:tcPr>
                  <w:tcW w:w="3888" w:type="dxa"/>
                  <w:vMerge w:val="restart"/>
                  <w:vAlign w:val="center"/>
                </w:tcPr>
                <w:p w14:paraId="79935C58">
                  <w:pPr>
                    <w:adjustRightInd w:val="0"/>
                    <w:snapToGrid w:val="0"/>
                    <w:spacing w:line="3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依照《环境影响评价技术导则 输变电》</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HJ24-2020</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 xml:space="preserve"> </w:t>
                  </w:r>
                </w:p>
              </w:tc>
            </w:tr>
            <w:tr w14:paraId="1FB4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1" w:type="dxa"/>
                  <w:vAlign w:val="center"/>
                </w:tcPr>
                <w:p w14:paraId="0B306051">
                  <w:pPr>
                    <w:adjustRightInd w:val="0"/>
                    <w:snapToGrid w:val="0"/>
                    <w:spacing w:line="3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工频磁场</w:t>
                  </w:r>
                </w:p>
              </w:tc>
              <w:tc>
                <w:tcPr>
                  <w:tcW w:w="3209" w:type="dxa"/>
                  <w:vMerge w:val="continue"/>
                  <w:vAlign w:val="center"/>
                </w:tcPr>
                <w:p w14:paraId="4DE08787">
                  <w:pPr>
                    <w:adjustRightInd w:val="0"/>
                    <w:snapToGrid w:val="0"/>
                    <w:spacing w:line="320" w:lineRule="exact"/>
                    <w:jc w:val="center"/>
                    <w:rPr>
                      <w:color w:val="000000" w:themeColor="text1"/>
                      <w14:textFill>
                        <w14:solidFill>
                          <w14:schemeClr w14:val="tx1"/>
                        </w14:solidFill>
                      </w14:textFill>
                    </w:rPr>
                  </w:pPr>
                </w:p>
              </w:tc>
              <w:tc>
                <w:tcPr>
                  <w:tcW w:w="3888" w:type="dxa"/>
                  <w:vMerge w:val="continue"/>
                  <w:vAlign w:val="center"/>
                </w:tcPr>
                <w:p w14:paraId="74EE4175">
                  <w:pPr>
                    <w:adjustRightInd w:val="0"/>
                    <w:snapToGrid w:val="0"/>
                    <w:spacing w:line="320" w:lineRule="exact"/>
                    <w:jc w:val="center"/>
                    <w:rPr>
                      <w:color w:val="000000" w:themeColor="text1"/>
                      <w14:textFill>
                        <w14:solidFill>
                          <w14:schemeClr w14:val="tx1"/>
                        </w14:solidFill>
                      </w14:textFill>
                    </w:rPr>
                  </w:pPr>
                </w:p>
              </w:tc>
            </w:tr>
            <w:tr w14:paraId="388E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1" w:type="dxa"/>
                  <w:vAlign w:val="center"/>
                </w:tcPr>
                <w:p w14:paraId="1B234934">
                  <w:pPr>
                    <w:adjustRightInd w:val="0"/>
                    <w:snapToGrid w:val="0"/>
                    <w:spacing w:line="3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3209" w:type="dxa"/>
                  <w:vAlign w:val="center"/>
                </w:tcPr>
                <w:p w14:paraId="20A64712">
                  <w:pPr>
                    <w:adjustRightInd w:val="0"/>
                    <w:snapToGrid w:val="0"/>
                    <w:spacing w:line="3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架空输电线路的评价范围为线路边导线地面投影外两侧各40m带状区域范围内。</w:t>
                  </w:r>
                </w:p>
              </w:tc>
              <w:tc>
                <w:tcPr>
                  <w:tcW w:w="3888" w:type="dxa"/>
                  <w:vAlign w:val="center"/>
                </w:tcPr>
                <w:p w14:paraId="66380325">
                  <w:pPr>
                    <w:adjustRightInd w:val="0"/>
                    <w:snapToGrid w:val="0"/>
                    <w:spacing w:line="3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依照《环境影响评价技术导则输变电》</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HJ24-2020</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，并参照《建设项目环境影响报告表编制技术指南（污染影响类）》（试行）</w:t>
                  </w:r>
                </w:p>
              </w:tc>
            </w:tr>
          </w:tbl>
          <w:p w14:paraId="2F884683">
            <w:pPr>
              <w:adjustRightInd w:val="0"/>
              <w:snapToGrid w:val="0"/>
              <w:spacing w:line="48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根据上表，输电线路部分，由于项目使用塔形多样，输电线路边导线与塔基中心连线距离在</w:t>
            </w:r>
            <w:r>
              <w:rPr>
                <w:rFonts w:hint="eastAsia"/>
                <w:color w:val="000000" w:themeColor="text1"/>
                <w:lang w:val="en-US" w:eastAsia="zh-CN"/>
                <w14:textFill>
                  <w14:solidFill>
                    <w14:schemeClr w14:val="tx1"/>
                  </w14:solidFill>
                </w14:textFill>
              </w:rPr>
              <w:t>4.1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0m之间，造成线路边导线与线路中心线对地投影</w:t>
            </w:r>
            <w:r>
              <w:rPr>
                <w:rFonts w:hint="eastAsia"/>
                <w:color w:val="000000" w:themeColor="text1"/>
                <w:lang w:eastAsia="zh-CN"/>
                <w14:textFill>
                  <w14:solidFill>
                    <w14:schemeClr w14:val="tx1"/>
                  </w14:solidFill>
                </w14:textFill>
              </w:rPr>
              <w:t>相间距离</w:t>
            </w:r>
            <w:r>
              <w:rPr>
                <w:rFonts w:hint="eastAsia"/>
                <w:color w:val="000000" w:themeColor="text1"/>
                <w14:textFill>
                  <w14:solidFill>
                    <w14:schemeClr w14:val="tx1"/>
                  </w14:solidFill>
                </w14:textFill>
              </w:rPr>
              <w:t>不确定，但稳定在</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m之内。结合项目评价范围，考虑测量、设计误差等，架空线路以导线地面投影中心线两侧外延50m区域为电磁及噪声调查与评价范围。</w:t>
            </w:r>
          </w:p>
          <w:p w14:paraId="43DBD84E">
            <w:pPr>
              <w:adjustRightInd w:val="0"/>
              <w:snapToGrid w:val="0"/>
              <w:spacing w:line="480" w:lineRule="exact"/>
              <w:ind w:firstLine="42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bCs/>
                <w:color w:val="000000" w:themeColor="text1"/>
                <w:lang w:val="en-US" w:eastAsia="zh-CN"/>
                <w14:textFill>
                  <w14:solidFill>
                    <w14:schemeClr w14:val="tx1"/>
                  </w14:solidFill>
                </w14:textFill>
              </w:rPr>
              <w:t>环境</w:t>
            </w:r>
            <w:r>
              <w:rPr>
                <w:rFonts w:hint="eastAsia"/>
                <w:b/>
                <w:bCs/>
                <w:color w:val="000000" w:themeColor="text1"/>
                <w14:textFill>
                  <w14:solidFill>
                    <w14:schemeClr w14:val="tx1"/>
                  </w14:solidFill>
                </w14:textFill>
              </w:rPr>
              <w:t xml:space="preserve">保护目标 </w:t>
            </w:r>
          </w:p>
          <w:p w14:paraId="5056AB2F">
            <w:pPr>
              <w:pStyle w:val="17"/>
              <w:spacing w:line="480" w:lineRule="exact"/>
              <w:ind w:left="0"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本工程生态环境评价范围内无国家公园、自然保护区、世界文化和自然遗产地、海洋特别保护区、文物保护单位等。</w:t>
            </w:r>
          </w:p>
          <w:p w14:paraId="191E078D">
            <w:pPr>
              <w:pStyle w:val="17"/>
              <w:spacing w:line="480" w:lineRule="exact"/>
              <w:ind w:left="0" w:firstLine="420" w:firstLineChars="200"/>
              <w:rPr>
                <w:rFonts w:hint="default"/>
                <w:color w:val="000000" w:themeColor="text1"/>
                <w:kern w:val="0"/>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eastAsia"/>
                <w:color w:val="000000" w:themeColor="text1"/>
                <w:kern w:val="0"/>
                <w:szCs w:val="21"/>
                <w:lang w:val="en-US" w:eastAsia="zh-CN"/>
                <w14:textFill>
                  <w14:solidFill>
                    <w14:schemeClr w14:val="tx1"/>
                  </w14:solidFill>
                </w14:textFill>
              </w:rPr>
              <w:t>N19~N20塔基之间的架空线路跨越承德市承德县六沟镇饮用水水源一级保护区）445m，N16~N23之间的架空线路穿越承德县六沟镇饮用水水源二级保护区1920m，其中N17、N18、N19、N20、N21、N22六座塔基位于承德县六沟镇饮用水水源二级保护区内。</w:t>
            </w:r>
          </w:p>
          <w:p w14:paraId="0FB05856">
            <w:pPr>
              <w:pStyle w:val="17"/>
              <w:spacing w:line="480" w:lineRule="exact"/>
              <w:ind w:left="0" w:firstLine="420" w:firstLineChars="200"/>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本项目N70~N71塔基之间的架空线路跨越生态保护红线40m，N74~N76塔基之间的架空线路跨越生态保护红线340m。</w:t>
            </w:r>
          </w:p>
          <w:p w14:paraId="3BEB4014">
            <w:pPr>
              <w:pStyle w:val="17"/>
              <w:spacing w:line="480" w:lineRule="exact"/>
              <w:ind w:left="0"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根据实际调查、核实，确定本项目评价范围内电磁环境、声环境、生态环境保护目标。</w:t>
            </w:r>
          </w:p>
          <w:p w14:paraId="756A7E40">
            <w:pPr>
              <w:pStyle w:val="17"/>
              <w:spacing w:line="480" w:lineRule="exact"/>
              <w:ind w:left="422" w:hanging="422"/>
              <w:jc w:val="center"/>
              <w:rPr>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表3-6 项目评价范围内生态敏感区汇总表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155"/>
              <w:gridCol w:w="675"/>
              <w:gridCol w:w="690"/>
              <w:gridCol w:w="750"/>
              <w:gridCol w:w="2730"/>
              <w:gridCol w:w="961"/>
            </w:tblGrid>
            <w:tr w14:paraId="7881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4" w:type="pct"/>
                  <w:vAlign w:val="center"/>
                </w:tcPr>
                <w:p w14:paraId="64F28407">
                  <w:pPr>
                    <w:pStyle w:val="17"/>
                    <w:spacing w:line="320" w:lineRule="exact"/>
                    <w:ind w:left="0" w:firstLine="0" w:firstLineChars="0"/>
                    <w:jc w:val="center"/>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位置</w:t>
                  </w:r>
                </w:p>
              </w:tc>
              <w:tc>
                <w:tcPr>
                  <w:tcW w:w="755" w:type="pct"/>
                  <w:vAlign w:val="center"/>
                </w:tcPr>
                <w:p w14:paraId="6B2B0A13">
                  <w:pPr>
                    <w:pStyle w:val="17"/>
                    <w:spacing w:line="320" w:lineRule="exact"/>
                    <w:ind w:left="0" w:firstLine="0" w:firstLineChars="0"/>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敏感点名称</w:t>
                  </w:r>
                </w:p>
              </w:tc>
              <w:tc>
                <w:tcPr>
                  <w:tcW w:w="441" w:type="pct"/>
                  <w:vAlign w:val="center"/>
                </w:tcPr>
                <w:p w14:paraId="7BA408C8">
                  <w:pPr>
                    <w:pStyle w:val="17"/>
                    <w:spacing w:line="320" w:lineRule="exact"/>
                    <w:ind w:left="0" w:firstLine="0" w:firstLineChars="0"/>
                    <w:jc w:val="center"/>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位置关系</w:t>
                  </w:r>
                </w:p>
              </w:tc>
              <w:tc>
                <w:tcPr>
                  <w:tcW w:w="451" w:type="pct"/>
                  <w:vAlign w:val="center"/>
                </w:tcPr>
                <w:p w14:paraId="40C7B9F7">
                  <w:pPr>
                    <w:pStyle w:val="17"/>
                    <w:spacing w:line="320" w:lineRule="exact"/>
                    <w:ind w:left="0" w:firstLine="0" w:firstLineChars="0"/>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设置塔基数量</w:t>
                  </w:r>
                </w:p>
              </w:tc>
              <w:tc>
                <w:tcPr>
                  <w:tcW w:w="490" w:type="pct"/>
                  <w:vAlign w:val="center"/>
                </w:tcPr>
                <w:p w14:paraId="0F7C27D9">
                  <w:pPr>
                    <w:pStyle w:val="17"/>
                    <w:spacing w:line="320" w:lineRule="exact"/>
                    <w:ind w:left="0" w:firstLine="0" w:firstLineChars="0"/>
                    <w:jc w:val="center"/>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跨越距离（m）</w:t>
                  </w:r>
                </w:p>
              </w:tc>
              <w:tc>
                <w:tcPr>
                  <w:tcW w:w="1786" w:type="pct"/>
                  <w:vAlign w:val="center"/>
                </w:tcPr>
                <w:p w14:paraId="288FB769">
                  <w:pPr>
                    <w:pStyle w:val="17"/>
                    <w:spacing w:line="320" w:lineRule="exact"/>
                    <w:ind w:left="0" w:firstLine="0" w:firstLineChars="0"/>
                    <w:jc w:val="center"/>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影像图</w:t>
                  </w:r>
                </w:p>
              </w:tc>
              <w:tc>
                <w:tcPr>
                  <w:tcW w:w="628" w:type="pct"/>
                  <w:vAlign w:val="center"/>
                </w:tcPr>
                <w:p w14:paraId="18436327">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主要影响与保护要求</w:t>
                  </w:r>
                </w:p>
              </w:tc>
            </w:tr>
            <w:tr w14:paraId="6335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4" w:type="pct"/>
                  <w:vAlign w:val="center"/>
                </w:tcPr>
                <w:p w14:paraId="21212F4F">
                  <w:pPr>
                    <w:pStyle w:val="17"/>
                    <w:spacing w:line="320" w:lineRule="exact"/>
                    <w:ind w:left="0"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N</w:t>
                  </w:r>
                  <w:r>
                    <w:rPr>
                      <w:rFonts w:hint="eastAsia"/>
                      <w:color w:val="000000" w:themeColor="text1"/>
                      <w:lang w:val="en-US" w:eastAsia="zh-CN"/>
                      <w14:textFill>
                        <w14:solidFill>
                          <w14:schemeClr w14:val="tx1"/>
                        </w14:solidFill>
                      </w14:textFill>
                    </w:rPr>
                    <w:t>70</w:t>
                  </w:r>
                  <w:r>
                    <w:rPr>
                      <w:rFonts w:hint="eastAsia"/>
                      <w:color w:val="000000" w:themeColor="text1"/>
                      <w14:textFill>
                        <w14:solidFill>
                          <w14:schemeClr w14:val="tx1"/>
                        </w14:solidFill>
                      </w14:textFill>
                    </w:rPr>
                    <w:t>~N</w:t>
                  </w:r>
                  <w:r>
                    <w:rPr>
                      <w:rFonts w:hint="eastAsia"/>
                      <w:color w:val="000000" w:themeColor="text1"/>
                      <w:lang w:val="en-US" w:eastAsia="zh-CN"/>
                      <w14:textFill>
                        <w14:solidFill>
                          <w14:schemeClr w14:val="tx1"/>
                        </w14:solidFill>
                      </w14:textFill>
                    </w:rPr>
                    <w:t>71</w:t>
                  </w:r>
                </w:p>
              </w:tc>
              <w:tc>
                <w:tcPr>
                  <w:tcW w:w="755" w:type="pct"/>
                  <w:vMerge w:val="restart"/>
                  <w:vAlign w:val="center"/>
                </w:tcPr>
                <w:p w14:paraId="257217A2">
                  <w:pPr>
                    <w:pStyle w:val="17"/>
                    <w:ind w:left="0" w:firstLine="0" w:firstLineChars="0"/>
                    <w:jc w:val="center"/>
                    <w:rPr>
                      <w:color w:val="000000" w:themeColor="text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燕山水源涵养-生物多样性保护生态保护红线</w:t>
                  </w:r>
                </w:p>
              </w:tc>
              <w:tc>
                <w:tcPr>
                  <w:tcW w:w="441" w:type="pct"/>
                  <w:vAlign w:val="center"/>
                </w:tcPr>
                <w:p w14:paraId="5BD2DD84">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跨越</w:t>
                  </w:r>
                </w:p>
              </w:tc>
              <w:tc>
                <w:tcPr>
                  <w:tcW w:w="451" w:type="pct"/>
                  <w:vAlign w:val="center"/>
                </w:tcPr>
                <w:p w14:paraId="455FC857">
                  <w:pPr>
                    <w:pStyle w:val="17"/>
                    <w:ind w:left="0"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490" w:type="pct"/>
                  <w:vAlign w:val="center"/>
                </w:tcPr>
                <w:p w14:paraId="55797483">
                  <w:pPr>
                    <w:pStyle w:val="17"/>
                    <w:ind w:left="0"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w:t>
                  </w:r>
                </w:p>
              </w:tc>
              <w:tc>
                <w:tcPr>
                  <w:tcW w:w="1786" w:type="pct"/>
                  <w:vAlign w:val="center"/>
                </w:tcPr>
                <w:p w14:paraId="1CD98088">
                  <w:pPr>
                    <w:pStyle w:val="1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14:textFill>
                        <w14:solidFill>
                          <w14:schemeClr w14:val="tx1"/>
                        </w14:solidFill>
                      </w14:textFill>
                    </w:rPr>
                  </w:pPr>
                  <w:r>
                    <w:drawing>
                      <wp:inline distT="0" distB="0" distL="114300" distR="114300">
                        <wp:extent cx="1606550" cy="1445260"/>
                        <wp:effectExtent l="0" t="0" r="1270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606550" cy="1445260"/>
                                </a:xfrm>
                                <a:prstGeom prst="rect">
                                  <a:avLst/>
                                </a:prstGeom>
                                <a:noFill/>
                                <a:ln>
                                  <a:noFill/>
                                </a:ln>
                              </pic:spPr>
                            </pic:pic>
                          </a:graphicData>
                        </a:graphic>
                      </wp:inline>
                    </w:drawing>
                  </w:r>
                </w:p>
              </w:tc>
              <w:tc>
                <w:tcPr>
                  <w:tcW w:w="628" w:type="pct"/>
                  <w:vMerge w:val="restart"/>
                  <w:vAlign w:val="center"/>
                </w:tcPr>
                <w:p w14:paraId="243EDF70">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水土流失与植被</w:t>
                  </w:r>
                  <w:r>
                    <w:rPr>
                      <w:rFonts w:hint="eastAsia"/>
                      <w:color w:val="000000" w:themeColor="text1"/>
                      <w:szCs w:val="21"/>
                      <w:lang w:eastAsia="zh-CN"/>
                      <w14:textFill>
                        <w14:solidFill>
                          <w14:schemeClr w14:val="tx1"/>
                        </w14:solidFill>
                      </w14:textFill>
                    </w:rPr>
                    <w:t>损毁</w:t>
                  </w:r>
                  <w:r>
                    <w:rPr>
                      <w:color w:val="000000" w:themeColor="text1"/>
                      <w:szCs w:val="21"/>
                      <w14:textFill>
                        <w14:solidFill>
                          <w14:schemeClr w14:val="tx1"/>
                        </w14:solidFill>
                      </w14:textFill>
                    </w:rPr>
                    <w:t>。采用水保工程减缓破坏，维护原有生态系统稳定</w:t>
                  </w:r>
                  <w:r>
                    <w:rPr>
                      <w:rFonts w:hint="eastAsia"/>
                      <w:color w:val="000000" w:themeColor="text1"/>
                      <w:szCs w:val="21"/>
                      <w14:textFill>
                        <w14:solidFill>
                          <w14:schemeClr w14:val="tx1"/>
                        </w14:solidFill>
                      </w14:textFill>
                    </w:rPr>
                    <w:t>。</w:t>
                  </w:r>
                </w:p>
              </w:tc>
            </w:tr>
            <w:tr w14:paraId="5B36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4" w:type="pct"/>
                  <w:vAlign w:val="center"/>
                </w:tcPr>
                <w:p w14:paraId="20662FEB">
                  <w:pPr>
                    <w:pStyle w:val="17"/>
                    <w:spacing w:line="320" w:lineRule="exact"/>
                    <w:ind w:left="0"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w:t>
                  </w:r>
                  <w:r>
                    <w:rPr>
                      <w:rFonts w:hint="eastAsia"/>
                      <w:color w:val="000000" w:themeColor="text1"/>
                      <w:lang w:val="en-US" w:eastAsia="zh-CN"/>
                      <w14:textFill>
                        <w14:solidFill>
                          <w14:schemeClr w14:val="tx1"/>
                        </w14:solidFill>
                      </w14:textFill>
                    </w:rPr>
                    <w:t>74</w:t>
                  </w:r>
                  <w:r>
                    <w:rPr>
                      <w:rFonts w:hint="eastAsia"/>
                      <w:color w:val="000000" w:themeColor="text1"/>
                      <w14:textFill>
                        <w14:solidFill>
                          <w14:schemeClr w14:val="tx1"/>
                        </w14:solidFill>
                      </w14:textFill>
                    </w:rPr>
                    <w:t>~N</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6</w:t>
                  </w:r>
                </w:p>
              </w:tc>
              <w:tc>
                <w:tcPr>
                  <w:tcW w:w="755" w:type="pct"/>
                  <w:vMerge w:val="continue"/>
                  <w:vAlign w:val="center"/>
                </w:tcPr>
                <w:p w14:paraId="3F77EF12">
                  <w:pPr>
                    <w:pStyle w:val="17"/>
                    <w:ind w:left="0" w:firstLine="0" w:firstLineChars="0"/>
                    <w:jc w:val="center"/>
                    <w:rPr>
                      <w:color w:val="000000" w:themeColor="text1"/>
                      <w14:textFill>
                        <w14:solidFill>
                          <w14:schemeClr w14:val="tx1"/>
                        </w14:solidFill>
                      </w14:textFill>
                    </w:rPr>
                  </w:pPr>
                </w:p>
              </w:tc>
              <w:tc>
                <w:tcPr>
                  <w:tcW w:w="441" w:type="pct"/>
                  <w:vAlign w:val="center"/>
                </w:tcPr>
                <w:p w14:paraId="6E0AC7AF">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跨越</w:t>
                  </w:r>
                </w:p>
              </w:tc>
              <w:tc>
                <w:tcPr>
                  <w:tcW w:w="451" w:type="pct"/>
                  <w:vAlign w:val="center"/>
                </w:tcPr>
                <w:p w14:paraId="7E4910D1">
                  <w:pPr>
                    <w:pStyle w:val="17"/>
                    <w:ind w:left="0"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490" w:type="pct"/>
                  <w:vAlign w:val="center"/>
                </w:tcPr>
                <w:p w14:paraId="7EF601EA">
                  <w:pPr>
                    <w:pStyle w:val="17"/>
                    <w:ind w:left="0"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340</w:t>
                  </w:r>
                </w:p>
              </w:tc>
              <w:tc>
                <w:tcPr>
                  <w:tcW w:w="1786" w:type="pct"/>
                  <w:vAlign w:val="center"/>
                </w:tcPr>
                <w:p w14:paraId="10C85D09">
                  <w:pPr>
                    <w:pStyle w:val="1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color w:val="000000" w:themeColor="text1"/>
                      <w14:textFill>
                        <w14:solidFill>
                          <w14:schemeClr w14:val="tx1"/>
                        </w14:solidFill>
                      </w14:textFill>
                    </w:rPr>
                  </w:pPr>
                  <w:r>
                    <w:drawing>
                      <wp:inline distT="0" distB="0" distL="114300" distR="114300">
                        <wp:extent cx="1606550" cy="1228090"/>
                        <wp:effectExtent l="0" t="0" r="1270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1606550" cy="1228090"/>
                                </a:xfrm>
                                <a:prstGeom prst="rect">
                                  <a:avLst/>
                                </a:prstGeom>
                                <a:noFill/>
                                <a:ln>
                                  <a:noFill/>
                                </a:ln>
                              </pic:spPr>
                            </pic:pic>
                          </a:graphicData>
                        </a:graphic>
                      </wp:inline>
                    </w:drawing>
                  </w:r>
                </w:p>
              </w:tc>
              <w:tc>
                <w:tcPr>
                  <w:tcW w:w="628" w:type="pct"/>
                  <w:vMerge w:val="continue"/>
                  <w:vAlign w:val="center"/>
                </w:tcPr>
                <w:p w14:paraId="42367B23">
                  <w:pPr>
                    <w:pStyle w:val="17"/>
                    <w:spacing w:line="320" w:lineRule="exact"/>
                    <w:ind w:left="0" w:firstLine="0" w:firstLineChars="0"/>
                    <w:jc w:val="center"/>
                    <w:rPr>
                      <w:color w:val="000000" w:themeColor="text1"/>
                      <w14:textFill>
                        <w14:solidFill>
                          <w14:schemeClr w14:val="tx1"/>
                        </w14:solidFill>
                      </w14:textFill>
                    </w:rPr>
                  </w:pPr>
                </w:p>
              </w:tc>
            </w:tr>
            <w:tr w14:paraId="23F2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4" w:type="pct"/>
                  <w:vAlign w:val="center"/>
                </w:tcPr>
                <w:p w14:paraId="4F61EF8B">
                  <w:pPr>
                    <w:pStyle w:val="17"/>
                    <w:spacing w:line="320" w:lineRule="exact"/>
                    <w:ind w:left="0" w:firstLine="0" w:firstLineChars="0"/>
                    <w:jc w:val="center"/>
                    <w:rPr>
                      <w:rFonts w:hint="eastAsia"/>
                      <w:color w:val="000000" w:themeColor="text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N19~N20</w:t>
                  </w:r>
                </w:p>
              </w:tc>
              <w:tc>
                <w:tcPr>
                  <w:tcW w:w="755" w:type="pct"/>
                  <w:vAlign w:val="center"/>
                </w:tcPr>
                <w:p w14:paraId="4C16FFBD">
                  <w:pPr>
                    <w:pStyle w:val="17"/>
                    <w:ind w:left="0" w:firstLine="0" w:firstLineChars="0"/>
                    <w:jc w:val="center"/>
                    <w:rPr>
                      <w:color w:val="000000" w:themeColor="text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承德县六沟镇饮用水水源一级保护区</w:t>
                  </w:r>
                </w:p>
              </w:tc>
              <w:tc>
                <w:tcPr>
                  <w:tcW w:w="441" w:type="pct"/>
                  <w:vAlign w:val="center"/>
                </w:tcPr>
                <w:p w14:paraId="0D60C9A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跨越</w:t>
                  </w:r>
                </w:p>
              </w:tc>
              <w:tc>
                <w:tcPr>
                  <w:tcW w:w="451" w:type="pct"/>
                  <w:vAlign w:val="center"/>
                </w:tcPr>
                <w:p w14:paraId="3447580C">
                  <w:pPr>
                    <w:pStyle w:val="17"/>
                    <w:ind w:left="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490" w:type="pct"/>
                  <w:vAlign w:val="center"/>
                </w:tcPr>
                <w:p w14:paraId="11E60647">
                  <w:pPr>
                    <w:pStyle w:val="17"/>
                    <w:ind w:left="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445</w:t>
                  </w:r>
                </w:p>
              </w:tc>
              <w:tc>
                <w:tcPr>
                  <w:tcW w:w="1786" w:type="pct"/>
                  <w:vAlign w:val="center"/>
                </w:tcPr>
                <w:p w14:paraId="73FEDBCD">
                  <w:pPr>
                    <w:pStyle w:val="17"/>
                    <w:keepNext w:val="0"/>
                    <w:keepLines w:val="0"/>
                    <w:pageBreakBefore w:val="0"/>
                    <w:widowControl w:val="0"/>
                    <w:kinsoku/>
                    <w:wordWrap/>
                    <w:overflowPunct/>
                    <w:topLinePunct w:val="0"/>
                    <w:autoSpaceDE/>
                    <w:autoSpaceDN/>
                    <w:bidi w:val="0"/>
                    <w:adjustRightInd/>
                    <w:snapToGrid/>
                    <w:ind w:left="0" w:firstLine="0" w:firstLineChars="0"/>
                    <w:jc w:val="center"/>
                    <w:textAlignment w:val="auto"/>
                  </w:pPr>
                  <w:r>
                    <w:drawing>
                      <wp:inline distT="0" distB="0" distL="114300" distR="114300">
                        <wp:extent cx="1591310" cy="911860"/>
                        <wp:effectExtent l="0" t="0" r="889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1591310" cy="911860"/>
                                </a:xfrm>
                                <a:prstGeom prst="rect">
                                  <a:avLst/>
                                </a:prstGeom>
                                <a:noFill/>
                                <a:ln>
                                  <a:noFill/>
                                </a:ln>
                              </pic:spPr>
                            </pic:pic>
                          </a:graphicData>
                        </a:graphic>
                      </wp:inline>
                    </w:drawing>
                  </w:r>
                </w:p>
              </w:tc>
              <w:tc>
                <w:tcPr>
                  <w:tcW w:w="628" w:type="pct"/>
                  <w:vMerge w:val="restart"/>
                  <w:vAlign w:val="center"/>
                </w:tcPr>
                <w:p w14:paraId="06D8FB2F">
                  <w:pPr>
                    <w:pStyle w:val="17"/>
                    <w:spacing w:line="320" w:lineRule="exact"/>
                    <w:ind w:left="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水土流失与植被</w:t>
                  </w:r>
                  <w:r>
                    <w:rPr>
                      <w:rFonts w:hint="eastAsia"/>
                      <w:color w:val="000000" w:themeColor="text1"/>
                      <w:lang w:eastAsia="zh-CN"/>
                      <w14:textFill>
                        <w14:solidFill>
                          <w14:schemeClr w14:val="tx1"/>
                        </w14:solidFill>
                      </w14:textFill>
                    </w:rPr>
                    <w:t>损毁</w:t>
                  </w:r>
                  <w:r>
                    <w:rPr>
                      <w:color w:val="000000" w:themeColor="text1"/>
                      <w14:textFill>
                        <w14:solidFill>
                          <w14:schemeClr w14:val="tx1"/>
                        </w14:solidFill>
                      </w14:textFill>
                    </w:rPr>
                    <w:t>。采用水保工程减缓破坏，维护原有生态系统稳定。</w:t>
                  </w:r>
                  <w:r>
                    <w:rPr>
                      <w:rFonts w:hint="eastAsia"/>
                      <w:color w:val="000000" w:themeColor="text1"/>
                      <w14:textFill>
                        <w14:solidFill>
                          <w14:schemeClr w14:val="tx1"/>
                        </w14:solidFill>
                      </w14:textFill>
                    </w:rPr>
                    <w:t>保障饮用水水源安全</w:t>
                  </w:r>
                </w:p>
              </w:tc>
            </w:tr>
            <w:tr w14:paraId="28E2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4" w:type="pct"/>
                  <w:vAlign w:val="center"/>
                </w:tcPr>
                <w:p w14:paraId="66E3498C">
                  <w:pPr>
                    <w:pStyle w:val="17"/>
                    <w:spacing w:line="320" w:lineRule="exact"/>
                    <w:ind w:left="0" w:firstLine="0" w:firstLineChars="0"/>
                    <w:jc w:val="center"/>
                    <w:rPr>
                      <w:rFonts w:hint="eastAsia"/>
                      <w:color w:val="000000" w:themeColor="text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N16~N23</w:t>
                  </w:r>
                </w:p>
              </w:tc>
              <w:tc>
                <w:tcPr>
                  <w:tcW w:w="755" w:type="pct"/>
                  <w:vAlign w:val="center"/>
                </w:tcPr>
                <w:p w14:paraId="7E3E1B5C">
                  <w:pPr>
                    <w:pStyle w:val="17"/>
                    <w:ind w:left="0" w:firstLine="0" w:firstLineChars="0"/>
                    <w:jc w:val="center"/>
                    <w:rPr>
                      <w:color w:val="000000" w:themeColor="text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承德县六沟镇饮用水水源二级保护区</w:t>
                  </w:r>
                </w:p>
              </w:tc>
              <w:tc>
                <w:tcPr>
                  <w:tcW w:w="441" w:type="pct"/>
                  <w:vAlign w:val="center"/>
                </w:tcPr>
                <w:p w14:paraId="1770A313">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穿越</w:t>
                  </w:r>
                </w:p>
              </w:tc>
              <w:tc>
                <w:tcPr>
                  <w:tcW w:w="451" w:type="pct"/>
                  <w:vAlign w:val="center"/>
                </w:tcPr>
                <w:p w14:paraId="2F8F95DB">
                  <w:pPr>
                    <w:pStyle w:val="17"/>
                    <w:ind w:left="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490" w:type="pct"/>
                  <w:vAlign w:val="center"/>
                </w:tcPr>
                <w:p w14:paraId="0CFBAA1E">
                  <w:pPr>
                    <w:pStyle w:val="17"/>
                    <w:ind w:left="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1920</w:t>
                  </w:r>
                </w:p>
              </w:tc>
              <w:tc>
                <w:tcPr>
                  <w:tcW w:w="1786" w:type="pct"/>
                  <w:vAlign w:val="center"/>
                </w:tcPr>
                <w:p w14:paraId="2D396643">
                  <w:pPr>
                    <w:pStyle w:val="17"/>
                    <w:keepNext w:val="0"/>
                    <w:keepLines w:val="0"/>
                    <w:pageBreakBefore w:val="0"/>
                    <w:widowControl w:val="0"/>
                    <w:kinsoku/>
                    <w:wordWrap/>
                    <w:overflowPunct/>
                    <w:topLinePunct w:val="0"/>
                    <w:autoSpaceDE/>
                    <w:autoSpaceDN/>
                    <w:bidi w:val="0"/>
                    <w:adjustRightInd/>
                    <w:snapToGrid/>
                    <w:ind w:left="0" w:firstLine="0" w:firstLineChars="0"/>
                    <w:jc w:val="center"/>
                    <w:textAlignment w:val="auto"/>
                  </w:pPr>
                  <w:r>
                    <w:drawing>
                      <wp:inline distT="0" distB="0" distL="114300" distR="114300">
                        <wp:extent cx="1586865" cy="963295"/>
                        <wp:effectExtent l="0" t="0" r="1333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1586865" cy="963295"/>
                                </a:xfrm>
                                <a:prstGeom prst="rect">
                                  <a:avLst/>
                                </a:prstGeom>
                                <a:noFill/>
                                <a:ln>
                                  <a:noFill/>
                                </a:ln>
                              </pic:spPr>
                            </pic:pic>
                          </a:graphicData>
                        </a:graphic>
                      </wp:inline>
                    </w:drawing>
                  </w:r>
                </w:p>
              </w:tc>
              <w:tc>
                <w:tcPr>
                  <w:tcW w:w="628" w:type="pct"/>
                  <w:vMerge w:val="continue"/>
                  <w:vAlign w:val="center"/>
                </w:tcPr>
                <w:p w14:paraId="16FE1DE4">
                  <w:pPr>
                    <w:pStyle w:val="17"/>
                    <w:spacing w:line="320" w:lineRule="exact"/>
                    <w:ind w:left="0" w:firstLine="0" w:firstLineChars="0"/>
                    <w:jc w:val="center"/>
                    <w:rPr>
                      <w:color w:val="000000" w:themeColor="text1"/>
                      <w14:textFill>
                        <w14:solidFill>
                          <w14:schemeClr w14:val="tx1"/>
                        </w14:solidFill>
                      </w14:textFill>
                    </w:rPr>
                  </w:pPr>
                </w:p>
              </w:tc>
            </w:tr>
          </w:tbl>
          <w:p w14:paraId="5DBD04CE">
            <w:pPr>
              <w:adjustRightInd w:val="0"/>
              <w:snapToGrid w:val="0"/>
              <w:spacing w:line="480" w:lineRule="exact"/>
              <w:ind w:firstLine="420" w:firstLineChars="200"/>
              <w:jc w:val="left"/>
              <w:rPr>
                <w:rFonts w:hint="eastAsia" w:eastAsia="宋体"/>
                <w:color w:val="000000" w:themeColor="text1"/>
                <w:szCs w:val="21"/>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根据卫星图片识别线路中心线两侧50m范围内建构筑物，并逐一进行现场核对，线路中心线两侧50m范围建筑物如下。</w:t>
            </w:r>
          </w:p>
          <w:p w14:paraId="23F551A6">
            <w:pPr>
              <w:pStyle w:val="17"/>
              <w:spacing w:line="480" w:lineRule="exact"/>
              <w:ind w:left="422" w:hanging="422"/>
              <w:jc w:val="center"/>
              <w:rPr>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7 本项目声环境、电磁环境保护目标一览</w:t>
            </w:r>
            <w:r>
              <w:rPr>
                <w:rFonts w:hint="eastAsia"/>
                <w:b/>
                <w:bCs/>
                <w:color w:val="000000" w:themeColor="text1"/>
                <w:szCs w:val="21"/>
                <w14:textFill>
                  <w14:solidFill>
                    <w14:schemeClr w14:val="tx1"/>
                  </w14:solidFill>
                </w14:textFill>
              </w:rPr>
              <w:t>表</w:t>
            </w:r>
          </w:p>
          <w:tbl>
            <w:tblPr>
              <w:tblStyle w:val="24"/>
              <w:tblW w:w="7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693"/>
              <w:gridCol w:w="1010"/>
              <w:gridCol w:w="750"/>
              <w:gridCol w:w="547"/>
              <w:gridCol w:w="1017"/>
              <w:gridCol w:w="443"/>
              <w:gridCol w:w="630"/>
              <w:gridCol w:w="2045"/>
            </w:tblGrid>
            <w:tr w14:paraId="37C2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 w:type="dxa"/>
                  <w:vMerge w:val="restart"/>
                  <w:tcBorders>
                    <w:tl2br w:val="nil"/>
                    <w:tr2bl w:val="nil"/>
                  </w:tcBorders>
                  <w:vAlign w:val="center"/>
                </w:tcPr>
                <w:p w14:paraId="29B3860F">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r>
                    <w:rPr>
                      <w:rFonts w:ascii="Times New Roman" w:hAnsi="Times New Roman" w:eastAsia="宋体" w:cs="Times New Roman"/>
                      <w:b/>
                      <w:bCs/>
                      <w:szCs w:val="21"/>
                    </w:rPr>
                    <w:t>环境要素</w:t>
                  </w:r>
                </w:p>
              </w:tc>
              <w:tc>
                <w:tcPr>
                  <w:tcW w:w="693" w:type="dxa"/>
                  <w:vMerge w:val="restart"/>
                  <w:tcBorders>
                    <w:tl2br w:val="nil"/>
                    <w:tr2bl w:val="nil"/>
                  </w:tcBorders>
                  <w:vAlign w:val="center"/>
                </w:tcPr>
                <w:p w14:paraId="69AEACB0">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r>
                    <w:rPr>
                      <w:rFonts w:ascii="Times New Roman" w:hAnsi="Times New Roman" w:eastAsia="宋体" w:cs="Times New Roman"/>
                      <w:b/>
                      <w:bCs/>
                      <w:szCs w:val="21"/>
                    </w:rPr>
                    <w:t>评价范围</w:t>
                  </w:r>
                </w:p>
              </w:tc>
              <w:tc>
                <w:tcPr>
                  <w:tcW w:w="3324" w:type="dxa"/>
                  <w:gridSpan w:val="4"/>
                  <w:tcBorders>
                    <w:tl2br w:val="nil"/>
                    <w:tr2bl w:val="nil"/>
                  </w:tcBorders>
                  <w:vAlign w:val="center"/>
                </w:tcPr>
                <w:p w14:paraId="3813A762">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r>
                    <w:rPr>
                      <w:rFonts w:ascii="Times New Roman" w:hAnsi="Times New Roman" w:eastAsia="宋体" w:cs="Times New Roman"/>
                      <w:b/>
                      <w:bCs/>
                      <w:szCs w:val="21"/>
                    </w:rPr>
                    <w:t>保护目标</w:t>
                  </w:r>
                </w:p>
              </w:tc>
              <w:tc>
                <w:tcPr>
                  <w:tcW w:w="443" w:type="dxa"/>
                  <w:vMerge w:val="restart"/>
                  <w:tcBorders>
                    <w:tl2br w:val="nil"/>
                    <w:tr2bl w:val="nil"/>
                  </w:tcBorders>
                  <w:vAlign w:val="center"/>
                </w:tcPr>
                <w:p w14:paraId="7B0ACE9C">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r>
                    <w:rPr>
                      <w:rFonts w:ascii="Times New Roman" w:hAnsi="Times New Roman" w:eastAsia="宋体" w:cs="Times New Roman"/>
                      <w:b/>
                      <w:bCs/>
                      <w:szCs w:val="21"/>
                    </w:rPr>
                    <w:t>方位</w:t>
                  </w:r>
                </w:p>
              </w:tc>
              <w:tc>
                <w:tcPr>
                  <w:tcW w:w="630" w:type="dxa"/>
                  <w:vMerge w:val="restart"/>
                  <w:tcBorders>
                    <w:tl2br w:val="nil"/>
                    <w:tr2bl w:val="nil"/>
                  </w:tcBorders>
                  <w:vAlign w:val="center"/>
                </w:tcPr>
                <w:p w14:paraId="05DDF5CF">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r>
                    <w:rPr>
                      <w:rFonts w:ascii="Times New Roman" w:hAnsi="Times New Roman" w:eastAsia="宋体" w:cs="Times New Roman"/>
                      <w:b/>
                      <w:bCs/>
                      <w:szCs w:val="21"/>
                    </w:rPr>
                    <w:t>相对距离</w:t>
                  </w:r>
                </w:p>
              </w:tc>
              <w:tc>
                <w:tcPr>
                  <w:tcW w:w="2045" w:type="dxa"/>
                  <w:vMerge w:val="restart"/>
                  <w:tcBorders>
                    <w:tl2br w:val="nil"/>
                    <w:tr2bl w:val="nil"/>
                  </w:tcBorders>
                  <w:vAlign w:val="center"/>
                </w:tcPr>
                <w:p w14:paraId="20E7D13A">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r>
                    <w:rPr>
                      <w:rFonts w:ascii="Times New Roman" w:hAnsi="Times New Roman" w:eastAsia="宋体" w:cs="Times New Roman"/>
                      <w:b/>
                      <w:bCs/>
                      <w:szCs w:val="21"/>
                    </w:rPr>
                    <w:t>环境质量标准</w:t>
                  </w:r>
                </w:p>
              </w:tc>
            </w:tr>
            <w:tr w14:paraId="24EF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 w:type="dxa"/>
                  <w:vMerge w:val="continue"/>
                  <w:tcBorders>
                    <w:tl2br w:val="nil"/>
                    <w:tr2bl w:val="nil"/>
                  </w:tcBorders>
                  <w:vAlign w:val="center"/>
                </w:tcPr>
                <w:p w14:paraId="33AC9BD0">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p>
              </w:tc>
              <w:tc>
                <w:tcPr>
                  <w:tcW w:w="693" w:type="dxa"/>
                  <w:vMerge w:val="continue"/>
                  <w:tcBorders>
                    <w:tl2br w:val="nil"/>
                    <w:tr2bl w:val="nil"/>
                  </w:tcBorders>
                  <w:vAlign w:val="center"/>
                </w:tcPr>
                <w:p w14:paraId="6C764433">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p>
              </w:tc>
              <w:tc>
                <w:tcPr>
                  <w:tcW w:w="1010" w:type="dxa"/>
                  <w:tcBorders>
                    <w:tl2br w:val="nil"/>
                    <w:tr2bl w:val="nil"/>
                  </w:tcBorders>
                  <w:vAlign w:val="center"/>
                </w:tcPr>
                <w:p w14:paraId="5F2A2AA9">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r>
                    <w:rPr>
                      <w:rFonts w:ascii="Times New Roman" w:hAnsi="Times New Roman" w:eastAsia="宋体" w:cs="Times New Roman"/>
                      <w:b/>
                      <w:bCs/>
                      <w:szCs w:val="21"/>
                    </w:rPr>
                    <w:t>名称</w:t>
                  </w:r>
                </w:p>
              </w:tc>
              <w:tc>
                <w:tcPr>
                  <w:tcW w:w="750" w:type="dxa"/>
                  <w:tcBorders>
                    <w:tl2br w:val="nil"/>
                    <w:tr2bl w:val="nil"/>
                  </w:tcBorders>
                  <w:vAlign w:val="center"/>
                </w:tcPr>
                <w:p w14:paraId="5527A555">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r>
                    <w:rPr>
                      <w:rFonts w:ascii="Times New Roman" w:hAnsi="Times New Roman" w:eastAsia="宋体" w:cs="Times New Roman"/>
                      <w:b/>
                      <w:bCs/>
                      <w:szCs w:val="21"/>
                    </w:rPr>
                    <w:t>功能</w:t>
                  </w:r>
                </w:p>
              </w:tc>
              <w:tc>
                <w:tcPr>
                  <w:tcW w:w="547" w:type="dxa"/>
                  <w:tcBorders>
                    <w:tl2br w:val="nil"/>
                    <w:tr2bl w:val="nil"/>
                  </w:tcBorders>
                  <w:vAlign w:val="center"/>
                </w:tcPr>
                <w:p w14:paraId="1A46B327">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r>
                    <w:rPr>
                      <w:rFonts w:ascii="Times New Roman" w:hAnsi="Times New Roman" w:eastAsia="宋体" w:cs="Times New Roman"/>
                      <w:b/>
                      <w:bCs/>
                      <w:szCs w:val="21"/>
                    </w:rPr>
                    <w:t>高度</w:t>
                  </w:r>
                </w:p>
              </w:tc>
              <w:tc>
                <w:tcPr>
                  <w:tcW w:w="1017" w:type="dxa"/>
                  <w:tcBorders>
                    <w:tl2br w:val="nil"/>
                    <w:tr2bl w:val="nil"/>
                  </w:tcBorders>
                  <w:vAlign w:val="center"/>
                </w:tcPr>
                <w:p w14:paraId="3AB520FE">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b/>
                      <w:bCs/>
                      <w:szCs w:val="21"/>
                    </w:rPr>
                  </w:pPr>
                  <w:r>
                    <w:rPr>
                      <w:rFonts w:ascii="Times New Roman" w:hAnsi="Times New Roman" w:eastAsia="宋体" w:cs="Times New Roman"/>
                      <w:b/>
                      <w:bCs/>
                      <w:szCs w:val="21"/>
                    </w:rPr>
                    <w:t>数量及层数</w:t>
                  </w:r>
                </w:p>
              </w:tc>
              <w:tc>
                <w:tcPr>
                  <w:tcW w:w="443" w:type="dxa"/>
                  <w:vMerge w:val="continue"/>
                  <w:tcBorders>
                    <w:tl2br w:val="nil"/>
                    <w:tr2bl w:val="nil"/>
                  </w:tcBorders>
                  <w:vAlign w:val="center"/>
                </w:tcPr>
                <w:p w14:paraId="100191A5">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p>
              </w:tc>
              <w:tc>
                <w:tcPr>
                  <w:tcW w:w="630" w:type="dxa"/>
                  <w:vMerge w:val="continue"/>
                  <w:tcBorders>
                    <w:tl2br w:val="nil"/>
                    <w:tr2bl w:val="nil"/>
                  </w:tcBorders>
                  <w:vAlign w:val="center"/>
                </w:tcPr>
                <w:p w14:paraId="39C33F48">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p>
              </w:tc>
              <w:tc>
                <w:tcPr>
                  <w:tcW w:w="2045" w:type="dxa"/>
                  <w:vMerge w:val="continue"/>
                  <w:tcBorders>
                    <w:tl2br w:val="nil"/>
                    <w:tr2bl w:val="nil"/>
                  </w:tcBorders>
                  <w:vAlign w:val="center"/>
                </w:tcPr>
                <w:p w14:paraId="75BBD69C">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p>
              </w:tc>
            </w:tr>
            <w:tr w14:paraId="618F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 w:type="dxa"/>
                  <w:vMerge w:val="restart"/>
                  <w:tcBorders>
                    <w:tl2br w:val="nil"/>
                    <w:tr2bl w:val="nil"/>
                  </w:tcBorders>
                  <w:vAlign w:val="center"/>
                </w:tcPr>
                <w:p w14:paraId="06F52B58">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工频电磁场、等效连续A声级</w:t>
                  </w:r>
                </w:p>
              </w:tc>
              <w:tc>
                <w:tcPr>
                  <w:tcW w:w="693" w:type="dxa"/>
                  <w:vMerge w:val="restart"/>
                  <w:tcBorders>
                    <w:tl2br w:val="nil"/>
                    <w:tr2bl w:val="nil"/>
                  </w:tcBorders>
                  <w:vAlign w:val="center"/>
                </w:tcPr>
                <w:p w14:paraId="27592CB4">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color w:val="000000" w:themeColor="text1"/>
                      <w14:textFill>
                        <w14:solidFill>
                          <w14:schemeClr w14:val="tx1"/>
                        </w14:solidFill>
                      </w14:textFill>
                    </w:rPr>
                    <w:t>架空线路以导线地面投影中心线两侧外延50m</w:t>
                  </w:r>
                </w:p>
              </w:tc>
              <w:tc>
                <w:tcPr>
                  <w:tcW w:w="1010" w:type="dxa"/>
                  <w:tcBorders>
                    <w:tl2br w:val="nil"/>
                    <w:tr2bl w:val="nil"/>
                  </w:tcBorders>
                  <w:vAlign w:val="center"/>
                </w:tcPr>
                <w:p w14:paraId="55067FD3">
                  <w:pPr>
                    <w:keepNext w:val="0"/>
                    <w:keepLines w:val="0"/>
                    <w:pageBreakBefore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1#民房</w:t>
                  </w:r>
                </w:p>
              </w:tc>
              <w:tc>
                <w:tcPr>
                  <w:tcW w:w="750" w:type="dxa"/>
                  <w:tcBorders>
                    <w:tl2br w:val="nil"/>
                    <w:tr2bl w:val="nil"/>
                  </w:tcBorders>
                  <w:vAlign w:val="center"/>
                </w:tcPr>
                <w:p w14:paraId="0323AD57">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居住</w:t>
                  </w:r>
                </w:p>
              </w:tc>
              <w:tc>
                <w:tcPr>
                  <w:tcW w:w="547" w:type="dxa"/>
                  <w:tcBorders>
                    <w:tl2br w:val="nil"/>
                    <w:tr2bl w:val="nil"/>
                  </w:tcBorders>
                  <w:vAlign w:val="center"/>
                </w:tcPr>
                <w:p w14:paraId="780FB207">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m</w:t>
                  </w:r>
                </w:p>
              </w:tc>
              <w:tc>
                <w:tcPr>
                  <w:tcW w:w="1017" w:type="dxa"/>
                  <w:tcBorders>
                    <w:tl2br w:val="nil"/>
                    <w:tr2bl w:val="nil"/>
                  </w:tcBorders>
                  <w:vAlign w:val="center"/>
                </w:tcPr>
                <w:p w14:paraId="71EB30C4">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处/</w:t>
                  </w:r>
                  <w:r>
                    <w:rPr>
                      <w:rFonts w:hint="eastAsia" w:ascii="Times New Roman" w:hAnsi="Times New Roman" w:eastAsia="宋体" w:cs="Times New Roman"/>
                      <w:szCs w:val="21"/>
                      <w:lang w:val="en-US" w:eastAsia="zh-CN"/>
                    </w:rPr>
                    <w:t>1</w:t>
                  </w:r>
                  <w:r>
                    <w:rPr>
                      <w:rFonts w:ascii="Times New Roman" w:hAnsi="Times New Roman" w:eastAsia="宋体" w:cs="Times New Roman"/>
                      <w:szCs w:val="21"/>
                    </w:rPr>
                    <w:t>层</w:t>
                  </w:r>
                </w:p>
              </w:tc>
              <w:tc>
                <w:tcPr>
                  <w:tcW w:w="443" w:type="dxa"/>
                  <w:tcBorders>
                    <w:tl2br w:val="nil"/>
                    <w:tr2bl w:val="nil"/>
                  </w:tcBorders>
                  <w:vAlign w:val="center"/>
                </w:tcPr>
                <w:p w14:paraId="5DB5CF67">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线右</w:t>
                  </w:r>
                </w:p>
              </w:tc>
              <w:tc>
                <w:tcPr>
                  <w:tcW w:w="630" w:type="dxa"/>
                  <w:tcBorders>
                    <w:tl2br w:val="nil"/>
                    <w:tr2bl w:val="nil"/>
                  </w:tcBorders>
                  <w:vAlign w:val="center"/>
                </w:tcPr>
                <w:p w14:paraId="7E132560">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ascii="Times New Roman" w:hAnsi="Times New Roman" w:eastAsia="宋体" w:cs="Times New Roman"/>
                      <w:szCs w:val="21"/>
                    </w:rPr>
                    <w:t>m</w:t>
                  </w:r>
                </w:p>
                <w:p w14:paraId="10EB920A">
                  <w:pPr>
                    <w:keepNext w:val="0"/>
                    <w:keepLines w:val="0"/>
                    <w:pageBreakBefore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44m</w:t>
                  </w:r>
                </w:p>
              </w:tc>
              <w:tc>
                <w:tcPr>
                  <w:tcW w:w="2045" w:type="dxa"/>
                  <w:tcBorders>
                    <w:tl2br w:val="nil"/>
                    <w:tr2bl w:val="nil"/>
                  </w:tcBorders>
                  <w:vAlign w:val="center"/>
                </w:tcPr>
                <w:p w14:paraId="20DCADB1">
                  <w:pPr>
                    <w:keepNext w:val="0"/>
                    <w:keepLines w:val="0"/>
                    <w:pageBreakBefore w:val="0"/>
                    <w:widowControl/>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color w:val="000000" w:themeColor="text1"/>
                      <w:spacing w:val="-6"/>
                      <w:szCs w:val="21"/>
                      <w14:textFill>
                        <w14:solidFill>
                          <w14:schemeClr w14:val="tx1"/>
                        </w14:solidFill>
                      </w14:textFill>
                    </w:rPr>
                    <w:t>《电磁环境控制限值》（GB8702-2014）《声环境质量标准》（GB3096-2008）1类区标准要求</w:t>
                  </w:r>
                </w:p>
              </w:tc>
            </w:tr>
            <w:tr w14:paraId="73D6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 w:type="dxa"/>
                  <w:vMerge w:val="continue"/>
                  <w:tcBorders>
                    <w:tl2br w:val="nil"/>
                    <w:tr2bl w:val="nil"/>
                  </w:tcBorders>
                  <w:vAlign w:val="center"/>
                </w:tcPr>
                <w:p w14:paraId="597DF0C6">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p>
              </w:tc>
              <w:tc>
                <w:tcPr>
                  <w:tcW w:w="693" w:type="dxa"/>
                  <w:vMerge w:val="continue"/>
                  <w:tcBorders>
                    <w:tl2br w:val="nil"/>
                    <w:tr2bl w:val="nil"/>
                  </w:tcBorders>
                  <w:vAlign w:val="center"/>
                </w:tcPr>
                <w:p w14:paraId="20B453B8">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p>
              </w:tc>
              <w:tc>
                <w:tcPr>
                  <w:tcW w:w="1010" w:type="dxa"/>
                  <w:tcBorders>
                    <w:tl2br w:val="nil"/>
                    <w:tr2bl w:val="nil"/>
                  </w:tcBorders>
                  <w:vAlign w:val="center"/>
                </w:tcPr>
                <w:p w14:paraId="1892A3D2">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2#</w:t>
                  </w:r>
                  <w:r>
                    <w:rPr>
                      <w:rFonts w:hint="eastAsia" w:ascii="Times New Roman" w:hAnsi="Times New Roman" w:eastAsia="宋体" w:cs="Times New Roman"/>
                      <w:szCs w:val="21"/>
                      <w:lang w:val="en-US" w:eastAsia="zh-CN"/>
                    </w:rPr>
                    <w:t>看护房</w:t>
                  </w:r>
                </w:p>
              </w:tc>
              <w:tc>
                <w:tcPr>
                  <w:tcW w:w="750" w:type="dxa"/>
                  <w:tcBorders>
                    <w:tl2br w:val="nil"/>
                    <w:tr2bl w:val="nil"/>
                  </w:tcBorders>
                  <w:vAlign w:val="center"/>
                </w:tcPr>
                <w:p w14:paraId="18179DE3">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居住</w:t>
                  </w:r>
                </w:p>
              </w:tc>
              <w:tc>
                <w:tcPr>
                  <w:tcW w:w="547" w:type="dxa"/>
                  <w:tcBorders>
                    <w:tl2br w:val="nil"/>
                    <w:tr2bl w:val="nil"/>
                  </w:tcBorders>
                  <w:vAlign w:val="center"/>
                </w:tcPr>
                <w:p w14:paraId="1D08C9AC">
                  <w:pPr>
                    <w:keepNext w:val="0"/>
                    <w:keepLines w:val="0"/>
                    <w:pageBreakBefore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3m</w:t>
                  </w:r>
                </w:p>
              </w:tc>
              <w:tc>
                <w:tcPr>
                  <w:tcW w:w="1017" w:type="dxa"/>
                  <w:tcBorders>
                    <w:tl2br w:val="nil"/>
                    <w:tr2bl w:val="nil"/>
                  </w:tcBorders>
                  <w:vAlign w:val="center"/>
                </w:tcPr>
                <w:p w14:paraId="60A7BC4B">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ascii="Times New Roman" w:hAnsi="Times New Roman" w:eastAsia="宋体" w:cs="Times New Roman"/>
                      <w:szCs w:val="21"/>
                    </w:rPr>
                    <w:t>处/1层</w:t>
                  </w:r>
                </w:p>
              </w:tc>
              <w:tc>
                <w:tcPr>
                  <w:tcW w:w="443" w:type="dxa"/>
                  <w:tcBorders>
                    <w:tl2br w:val="nil"/>
                    <w:tr2bl w:val="nil"/>
                  </w:tcBorders>
                  <w:vAlign w:val="center"/>
                </w:tcPr>
                <w:p w14:paraId="693F01AF">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线左</w:t>
                  </w:r>
                </w:p>
              </w:tc>
              <w:tc>
                <w:tcPr>
                  <w:tcW w:w="630" w:type="dxa"/>
                  <w:tcBorders>
                    <w:tl2br w:val="nil"/>
                    <w:tr2bl w:val="nil"/>
                  </w:tcBorders>
                  <w:vAlign w:val="center"/>
                </w:tcPr>
                <w:p w14:paraId="6F2D72F2">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47</w:t>
                  </w:r>
                  <w:r>
                    <w:rPr>
                      <w:rFonts w:ascii="Times New Roman" w:hAnsi="Times New Roman" w:eastAsia="宋体" w:cs="Times New Roman"/>
                      <w:szCs w:val="21"/>
                    </w:rPr>
                    <w:t>m</w:t>
                  </w:r>
                </w:p>
              </w:tc>
              <w:tc>
                <w:tcPr>
                  <w:tcW w:w="2045" w:type="dxa"/>
                  <w:tcBorders>
                    <w:tl2br w:val="nil"/>
                    <w:tr2bl w:val="nil"/>
                  </w:tcBorders>
                  <w:vAlign w:val="center"/>
                </w:tcPr>
                <w:p w14:paraId="76E015F0">
                  <w:pPr>
                    <w:keepNext w:val="0"/>
                    <w:keepLines w:val="0"/>
                    <w:pageBreakBefore w:val="0"/>
                    <w:widowControl/>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color w:val="000000" w:themeColor="text1"/>
                      <w:spacing w:val="-6"/>
                      <w:szCs w:val="21"/>
                      <w14:textFill>
                        <w14:solidFill>
                          <w14:schemeClr w14:val="tx1"/>
                        </w14:solidFill>
                      </w14:textFill>
                    </w:rPr>
                  </w:pPr>
                  <w:r>
                    <w:rPr>
                      <w:rFonts w:ascii="Times New Roman" w:hAnsi="Times New Roman" w:eastAsia="宋体" w:cs="Times New Roman"/>
                      <w:color w:val="000000" w:themeColor="text1"/>
                      <w:spacing w:val="-6"/>
                      <w:szCs w:val="21"/>
                      <w14:textFill>
                        <w14:solidFill>
                          <w14:schemeClr w14:val="tx1"/>
                        </w14:solidFill>
                      </w14:textFill>
                    </w:rPr>
                    <w:t>《电磁环境控制限值》（GB8702-2014）</w:t>
                  </w:r>
                </w:p>
                <w:p w14:paraId="048F034B">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color w:val="000000" w:themeColor="text1"/>
                      <w:spacing w:val="-6"/>
                      <w:szCs w:val="21"/>
                      <w14:textFill>
                        <w14:solidFill>
                          <w14:schemeClr w14:val="tx1"/>
                        </w14:solidFill>
                      </w14:textFill>
                    </w:rPr>
                    <w:t>《声环境质量标准》（GB3096-2008）1类区标准要求</w:t>
                  </w:r>
                </w:p>
              </w:tc>
            </w:tr>
            <w:tr w14:paraId="4E72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 w:type="dxa"/>
                  <w:vMerge w:val="continue"/>
                  <w:tcBorders>
                    <w:tl2br w:val="nil"/>
                    <w:tr2bl w:val="nil"/>
                  </w:tcBorders>
                  <w:vAlign w:val="center"/>
                </w:tcPr>
                <w:p w14:paraId="4892DFB8">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p>
              </w:tc>
              <w:tc>
                <w:tcPr>
                  <w:tcW w:w="693" w:type="dxa"/>
                  <w:vMerge w:val="continue"/>
                  <w:tcBorders>
                    <w:tl2br w:val="nil"/>
                    <w:tr2bl w:val="nil"/>
                  </w:tcBorders>
                  <w:vAlign w:val="center"/>
                </w:tcPr>
                <w:p w14:paraId="65051CC7">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p>
              </w:tc>
              <w:tc>
                <w:tcPr>
                  <w:tcW w:w="1010" w:type="dxa"/>
                  <w:tcBorders>
                    <w:tl2br w:val="nil"/>
                    <w:tr2bl w:val="nil"/>
                  </w:tcBorders>
                  <w:vAlign w:val="center"/>
                </w:tcPr>
                <w:p w14:paraId="6DD48991">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3#</w:t>
                  </w:r>
                  <w:r>
                    <w:rPr>
                      <w:rFonts w:hint="eastAsia" w:ascii="Times New Roman" w:hAnsi="Times New Roman" w:eastAsia="宋体" w:cs="Times New Roman"/>
                      <w:szCs w:val="21"/>
                      <w:lang w:eastAsia="zh-CN"/>
                    </w:rPr>
                    <w:t>大棚</w:t>
                  </w:r>
                </w:p>
              </w:tc>
              <w:tc>
                <w:tcPr>
                  <w:tcW w:w="750" w:type="dxa"/>
                  <w:tcBorders>
                    <w:tl2br w:val="nil"/>
                    <w:tr2bl w:val="nil"/>
                  </w:tcBorders>
                  <w:vAlign w:val="center"/>
                </w:tcPr>
                <w:p w14:paraId="6D24A127">
                  <w:pPr>
                    <w:keepNext w:val="0"/>
                    <w:keepLines w:val="0"/>
                    <w:pageBreakBefore w:val="0"/>
                    <w:kinsoku/>
                    <w:wordWrap w:val="0"/>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种植</w:t>
                  </w:r>
                </w:p>
              </w:tc>
              <w:tc>
                <w:tcPr>
                  <w:tcW w:w="547" w:type="dxa"/>
                  <w:tcBorders>
                    <w:tl2br w:val="nil"/>
                    <w:tr2bl w:val="nil"/>
                  </w:tcBorders>
                  <w:vAlign w:val="center"/>
                </w:tcPr>
                <w:p w14:paraId="4C2ECBE7">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5</w:t>
                  </w:r>
                  <w:r>
                    <w:rPr>
                      <w:rFonts w:ascii="Times New Roman" w:hAnsi="Times New Roman" w:eastAsia="宋体" w:cs="Times New Roman"/>
                      <w:szCs w:val="21"/>
                    </w:rPr>
                    <w:t>m</w:t>
                  </w:r>
                </w:p>
              </w:tc>
              <w:tc>
                <w:tcPr>
                  <w:tcW w:w="1017" w:type="dxa"/>
                  <w:tcBorders>
                    <w:tl2br w:val="nil"/>
                    <w:tr2bl w:val="nil"/>
                  </w:tcBorders>
                  <w:vAlign w:val="center"/>
                </w:tcPr>
                <w:p w14:paraId="3C0397D1">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1处/1层</w:t>
                  </w:r>
                </w:p>
              </w:tc>
              <w:tc>
                <w:tcPr>
                  <w:tcW w:w="443" w:type="dxa"/>
                  <w:tcBorders>
                    <w:tl2br w:val="nil"/>
                    <w:tr2bl w:val="nil"/>
                  </w:tcBorders>
                  <w:vAlign w:val="center"/>
                </w:tcPr>
                <w:p w14:paraId="684BA396">
                  <w:pPr>
                    <w:keepNext w:val="0"/>
                    <w:keepLines w:val="0"/>
                    <w:pageBreakBefore w:val="0"/>
                    <w:kinsoku/>
                    <w:wordWrap w:val="0"/>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跨越</w:t>
                  </w:r>
                </w:p>
              </w:tc>
              <w:tc>
                <w:tcPr>
                  <w:tcW w:w="630" w:type="dxa"/>
                  <w:tcBorders>
                    <w:tl2br w:val="nil"/>
                    <w:tr2bl w:val="nil"/>
                  </w:tcBorders>
                  <w:vAlign w:val="center"/>
                </w:tcPr>
                <w:p w14:paraId="116A11C3">
                  <w:pPr>
                    <w:keepNext w:val="0"/>
                    <w:keepLines w:val="0"/>
                    <w:pageBreakBefore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0m</w:t>
                  </w:r>
                </w:p>
              </w:tc>
              <w:tc>
                <w:tcPr>
                  <w:tcW w:w="2045" w:type="dxa"/>
                  <w:tcBorders>
                    <w:tl2br w:val="nil"/>
                    <w:tr2bl w:val="nil"/>
                  </w:tcBorders>
                  <w:vAlign w:val="center"/>
                </w:tcPr>
                <w:p w14:paraId="04330E7D">
                  <w:pPr>
                    <w:keepNext w:val="0"/>
                    <w:keepLines w:val="0"/>
                    <w:pageBreakBefore w:val="0"/>
                    <w:widowControl/>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color w:val="000000" w:themeColor="text1"/>
                      <w:spacing w:val="-6"/>
                      <w:szCs w:val="21"/>
                      <w14:textFill>
                        <w14:solidFill>
                          <w14:schemeClr w14:val="tx1"/>
                        </w14:solidFill>
                      </w14:textFill>
                    </w:rPr>
                    <w:t>《电磁环境控制限值》（GB8702-2014）</w:t>
                  </w:r>
                </w:p>
              </w:tc>
            </w:tr>
            <w:tr w14:paraId="0268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 w:type="dxa"/>
                  <w:vMerge w:val="continue"/>
                  <w:tcBorders>
                    <w:tl2br w:val="nil"/>
                    <w:tr2bl w:val="nil"/>
                  </w:tcBorders>
                  <w:vAlign w:val="center"/>
                </w:tcPr>
                <w:p w14:paraId="2B4DE62C">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p>
              </w:tc>
              <w:tc>
                <w:tcPr>
                  <w:tcW w:w="693" w:type="dxa"/>
                  <w:vMerge w:val="continue"/>
                  <w:tcBorders>
                    <w:tl2br w:val="nil"/>
                    <w:tr2bl w:val="nil"/>
                  </w:tcBorders>
                  <w:vAlign w:val="center"/>
                </w:tcPr>
                <w:p w14:paraId="2C5D498A">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p>
              </w:tc>
              <w:tc>
                <w:tcPr>
                  <w:tcW w:w="1010" w:type="dxa"/>
                  <w:tcBorders>
                    <w:tl2br w:val="nil"/>
                    <w:tr2bl w:val="nil"/>
                  </w:tcBorders>
                  <w:vAlign w:val="center"/>
                </w:tcPr>
                <w:p w14:paraId="61F23CA7">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4#</w:t>
                  </w:r>
                  <w:r>
                    <w:rPr>
                      <w:rFonts w:hint="eastAsia" w:ascii="Times New Roman" w:hAnsi="Times New Roman" w:eastAsia="宋体" w:cs="Times New Roman"/>
                      <w:szCs w:val="21"/>
                      <w:lang w:eastAsia="zh-CN"/>
                    </w:rPr>
                    <w:t>民房</w:t>
                  </w:r>
                </w:p>
              </w:tc>
              <w:tc>
                <w:tcPr>
                  <w:tcW w:w="750" w:type="dxa"/>
                  <w:tcBorders>
                    <w:tl2br w:val="nil"/>
                    <w:tr2bl w:val="nil"/>
                  </w:tcBorders>
                  <w:vAlign w:val="center"/>
                </w:tcPr>
                <w:p w14:paraId="59EA69AE">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居住</w:t>
                  </w:r>
                </w:p>
              </w:tc>
              <w:tc>
                <w:tcPr>
                  <w:tcW w:w="547" w:type="dxa"/>
                  <w:tcBorders>
                    <w:tl2br w:val="nil"/>
                    <w:tr2bl w:val="nil"/>
                  </w:tcBorders>
                  <w:vAlign w:val="center"/>
                </w:tcPr>
                <w:p w14:paraId="29A0A7B2">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3m</w:t>
                  </w:r>
                </w:p>
              </w:tc>
              <w:tc>
                <w:tcPr>
                  <w:tcW w:w="1017" w:type="dxa"/>
                  <w:tcBorders>
                    <w:tl2br w:val="nil"/>
                    <w:tr2bl w:val="nil"/>
                  </w:tcBorders>
                  <w:vAlign w:val="center"/>
                </w:tcPr>
                <w:p w14:paraId="07518127">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1处/1层</w:t>
                  </w:r>
                </w:p>
              </w:tc>
              <w:tc>
                <w:tcPr>
                  <w:tcW w:w="443" w:type="dxa"/>
                  <w:tcBorders>
                    <w:tl2br w:val="nil"/>
                    <w:tr2bl w:val="nil"/>
                  </w:tcBorders>
                  <w:vAlign w:val="center"/>
                </w:tcPr>
                <w:p w14:paraId="010B0295">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线左</w:t>
                  </w:r>
                </w:p>
              </w:tc>
              <w:tc>
                <w:tcPr>
                  <w:tcW w:w="630" w:type="dxa"/>
                  <w:tcBorders>
                    <w:tl2br w:val="nil"/>
                    <w:tr2bl w:val="nil"/>
                  </w:tcBorders>
                  <w:vAlign w:val="center"/>
                </w:tcPr>
                <w:p w14:paraId="799F27FB">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46</w:t>
                  </w:r>
                  <w:r>
                    <w:rPr>
                      <w:rFonts w:ascii="Times New Roman" w:hAnsi="Times New Roman" w:eastAsia="宋体" w:cs="Times New Roman"/>
                      <w:szCs w:val="21"/>
                    </w:rPr>
                    <w:t>m</w:t>
                  </w:r>
                </w:p>
              </w:tc>
              <w:tc>
                <w:tcPr>
                  <w:tcW w:w="2045" w:type="dxa"/>
                  <w:tcBorders>
                    <w:tl2br w:val="nil"/>
                    <w:tr2bl w:val="nil"/>
                  </w:tcBorders>
                  <w:vAlign w:val="center"/>
                </w:tcPr>
                <w:p w14:paraId="45F74993">
                  <w:pPr>
                    <w:keepNext w:val="0"/>
                    <w:keepLines w:val="0"/>
                    <w:pageBreakBefore w:val="0"/>
                    <w:widowControl/>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color w:val="000000" w:themeColor="text1"/>
                      <w:spacing w:val="-6"/>
                      <w:szCs w:val="21"/>
                      <w14:textFill>
                        <w14:solidFill>
                          <w14:schemeClr w14:val="tx1"/>
                        </w14:solidFill>
                      </w14:textFill>
                    </w:rPr>
                  </w:pPr>
                  <w:r>
                    <w:rPr>
                      <w:rFonts w:ascii="Times New Roman" w:hAnsi="Times New Roman" w:eastAsia="宋体" w:cs="Times New Roman"/>
                      <w:color w:val="000000" w:themeColor="text1"/>
                      <w:spacing w:val="-6"/>
                      <w:szCs w:val="21"/>
                      <w14:textFill>
                        <w14:solidFill>
                          <w14:schemeClr w14:val="tx1"/>
                        </w14:solidFill>
                      </w14:textFill>
                    </w:rPr>
                    <w:t>《电磁环境控制限值》（GB8702-2014）</w:t>
                  </w:r>
                </w:p>
                <w:p w14:paraId="2562E09A">
                  <w:pPr>
                    <w:keepNext w:val="0"/>
                    <w:keepLines w:val="0"/>
                    <w:pageBreakBefore w:val="0"/>
                    <w:widowControl/>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color w:val="000000" w:themeColor="text1"/>
                      <w:spacing w:val="-6"/>
                      <w:szCs w:val="21"/>
                      <w14:textFill>
                        <w14:solidFill>
                          <w14:schemeClr w14:val="tx1"/>
                        </w14:solidFill>
                      </w14:textFill>
                    </w:rPr>
                  </w:pPr>
                  <w:r>
                    <w:rPr>
                      <w:rFonts w:ascii="Times New Roman" w:hAnsi="Times New Roman" w:eastAsia="宋体" w:cs="Times New Roman"/>
                      <w:color w:val="000000" w:themeColor="text1"/>
                      <w:spacing w:val="-6"/>
                      <w:szCs w:val="21"/>
                      <w14:textFill>
                        <w14:solidFill>
                          <w14:schemeClr w14:val="tx1"/>
                        </w14:solidFill>
                      </w14:textFill>
                    </w:rPr>
                    <w:t>《声环境质量标准》（GB3096-2008）1类区标准要求</w:t>
                  </w:r>
                </w:p>
              </w:tc>
            </w:tr>
            <w:tr w14:paraId="12E3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 w:type="dxa"/>
                  <w:vMerge w:val="continue"/>
                  <w:tcBorders>
                    <w:tl2br w:val="nil"/>
                    <w:tr2bl w:val="nil"/>
                  </w:tcBorders>
                  <w:vAlign w:val="center"/>
                </w:tcPr>
                <w:p w14:paraId="7DDEDF1D">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p>
              </w:tc>
              <w:tc>
                <w:tcPr>
                  <w:tcW w:w="693" w:type="dxa"/>
                  <w:vMerge w:val="continue"/>
                  <w:tcBorders>
                    <w:tl2br w:val="nil"/>
                    <w:tr2bl w:val="nil"/>
                  </w:tcBorders>
                  <w:vAlign w:val="center"/>
                </w:tcPr>
                <w:p w14:paraId="0DA1D1B1">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p>
              </w:tc>
              <w:tc>
                <w:tcPr>
                  <w:tcW w:w="1010" w:type="dxa"/>
                  <w:tcBorders>
                    <w:tl2br w:val="nil"/>
                    <w:tr2bl w:val="nil"/>
                  </w:tcBorders>
                  <w:vAlign w:val="center"/>
                </w:tcPr>
                <w:p w14:paraId="3DF3E05E">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 xml:space="preserve">5# </w:t>
                  </w:r>
                  <w:r>
                    <w:rPr>
                      <w:rFonts w:hint="eastAsia" w:ascii="Times New Roman" w:hAnsi="Times New Roman" w:eastAsia="宋体" w:cs="Times New Roman"/>
                      <w:szCs w:val="21"/>
                      <w:lang w:eastAsia="zh-CN"/>
                    </w:rPr>
                    <w:t>甲山建材物流园</w:t>
                  </w:r>
                </w:p>
              </w:tc>
              <w:tc>
                <w:tcPr>
                  <w:tcW w:w="750" w:type="dxa"/>
                  <w:tcBorders>
                    <w:tl2br w:val="nil"/>
                    <w:tr2bl w:val="nil"/>
                  </w:tcBorders>
                  <w:vAlign w:val="center"/>
                </w:tcPr>
                <w:p w14:paraId="36B269CD">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厂房</w:t>
                  </w:r>
                </w:p>
              </w:tc>
              <w:tc>
                <w:tcPr>
                  <w:tcW w:w="547" w:type="dxa"/>
                  <w:tcBorders>
                    <w:tl2br w:val="nil"/>
                    <w:tr2bl w:val="nil"/>
                  </w:tcBorders>
                  <w:vAlign w:val="center"/>
                </w:tcPr>
                <w:p w14:paraId="40F90C3A">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m</w:t>
                  </w:r>
                </w:p>
                <w:p w14:paraId="63B22E79">
                  <w:pPr>
                    <w:keepNext w:val="0"/>
                    <w:keepLines w:val="0"/>
                    <w:pageBreakBefore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4m</w:t>
                  </w:r>
                </w:p>
                <w:p w14:paraId="6F4166F7">
                  <w:pPr>
                    <w:keepNext w:val="0"/>
                    <w:keepLines w:val="0"/>
                    <w:pageBreakBefore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5m</w:t>
                  </w:r>
                </w:p>
              </w:tc>
              <w:tc>
                <w:tcPr>
                  <w:tcW w:w="1017" w:type="dxa"/>
                  <w:tcBorders>
                    <w:tl2br w:val="nil"/>
                    <w:tr2bl w:val="nil"/>
                  </w:tcBorders>
                  <w:vAlign w:val="center"/>
                </w:tcPr>
                <w:p w14:paraId="0139CADC">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处/1层</w:t>
                  </w:r>
                </w:p>
              </w:tc>
              <w:tc>
                <w:tcPr>
                  <w:tcW w:w="443" w:type="dxa"/>
                  <w:tcBorders>
                    <w:tl2br w:val="nil"/>
                    <w:tr2bl w:val="nil"/>
                  </w:tcBorders>
                  <w:vAlign w:val="center"/>
                </w:tcPr>
                <w:p w14:paraId="2A66A00F">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szCs w:val="21"/>
                    </w:rPr>
                    <w:t>线右</w:t>
                  </w:r>
                </w:p>
              </w:tc>
              <w:tc>
                <w:tcPr>
                  <w:tcW w:w="630" w:type="dxa"/>
                  <w:tcBorders>
                    <w:tl2br w:val="nil"/>
                    <w:tr2bl w:val="nil"/>
                  </w:tcBorders>
                  <w:vAlign w:val="center"/>
                </w:tcPr>
                <w:p w14:paraId="2D4F695C">
                  <w:pPr>
                    <w:keepNext w:val="0"/>
                    <w:keepLines w:val="0"/>
                    <w:pageBreakBefore w:val="0"/>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16</w:t>
                  </w:r>
                  <w:r>
                    <w:rPr>
                      <w:rFonts w:ascii="Times New Roman" w:hAnsi="Times New Roman" w:eastAsia="宋体" w:cs="Times New Roman"/>
                      <w:szCs w:val="21"/>
                    </w:rPr>
                    <w:t>m</w:t>
                  </w:r>
                </w:p>
                <w:p w14:paraId="2AEF0410">
                  <w:pPr>
                    <w:keepNext w:val="0"/>
                    <w:keepLines w:val="0"/>
                    <w:pageBreakBefore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18m</w:t>
                  </w:r>
                </w:p>
                <w:p w14:paraId="28AAF72A">
                  <w:pPr>
                    <w:keepNext w:val="0"/>
                    <w:keepLines w:val="0"/>
                    <w:pageBreakBefore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48m</w:t>
                  </w:r>
                </w:p>
              </w:tc>
              <w:tc>
                <w:tcPr>
                  <w:tcW w:w="2045" w:type="dxa"/>
                  <w:tcBorders>
                    <w:tl2br w:val="nil"/>
                    <w:tr2bl w:val="nil"/>
                  </w:tcBorders>
                  <w:vAlign w:val="center"/>
                </w:tcPr>
                <w:p w14:paraId="19E266F7">
                  <w:pPr>
                    <w:keepNext w:val="0"/>
                    <w:keepLines w:val="0"/>
                    <w:pageBreakBefore w:val="0"/>
                    <w:widowControl/>
                    <w:kinsoku/>
                    <w:wordWrap w:val="0"/>
                    <w:overflowPunct/>
                    <w:topLinePunct w:val="0"/>
                    <w:autoSpaceDE/>
                    <w:autoSpaceDN/>
                    <w:bidi w:val="0"/>
                    <w:adjustRightInd/>
                    <w:snapToGrid/>
                    <w:spacing w:line="320" w:lineRule="exact"/>
                    <w:jc w:val="center"/>
                    <w:textAlignment w:val="auto"/>
                    <w:rPr>
                      <w:rFonts w:ascii="Times New Roman" w:hAnsi="Times New Roman" w:eastAsia="宋体" w:cs="Times New Roman"/>
                      <w:szCs w:val="21"/>
                    </w:rPr>
                  </w:pPr>
                  <w:r>
                    <w:rPr>
                      <w:rFonts w:ascii="Times New Roman" w:hAnsi="Times New Roman" w:eastAsia="宋体" w:cs="Times New Roman"/>
                      <w:color w:val="000000" w:themeColor="text1"/>
                      <w:spacing w:val="-6"/>
                      <w:szCs w:val="21"/>
                      <w14:textFill>
                        <w14:solidFill>
                          <w14:schemeClr w14:val="tx1"/>
                        </w14:solidFill>
                      </w14:textFill>
                    </w:rPr>
                    <w:t>《电磁环境控制限值》（GB8702-2014）</w:t>
                  </w:r>
                </w:p>
              </w:tc>
            </w:tr>
          </w:tbl>
          <w:p w14:paraId="1F9F4434">
            <w:pPr>
              <w:pStyle w:val="17"/>
              <w:spacing w:line="480" w:lineRule="exact"/>
              <w:ind w:left="422" w:hanging="422"/>
              <w:jc w:val="center"/>
              <w:rPr>
                <w:rFonts w:hint="eastAsia"/>
                <w:b/>
                <w:bCs/>
                <w:color w:val="000000" w:themeColor="text1"/>
                <w:szCs w:val="21"/>
                <w14:textFill>
                  <w14:solidFill>
                    <w14:schemeClr w14:val="tx1"/>
                  </w14:solidFill>
                </w14:textFill>
              </w:rPr>
            </w:pPr>
          </w:p>
          <w:p w14:paraId="31AFBA62">
            <w:pPr>
              <w:pStyle w:val="17"/>
              <w:spacing w:line="480" w:lineRule="exact"/>
              <w:ind w:left="422" w:hanging="422"/>
              <w:jc w:val="center"/>
              <w:rPr>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8</w:t>
            </w:r>
            <w:r>
              <w:rPr>
                <w:rFonts w:hint="eastAsia"/>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 xml:space="preserve"> 敏感点周围情况一览</w:t>
            </w:r>
            <w:r>
              <w:rPr>
                <w:rFonts w:hint="eastAsia"/>
                <w:b/>
                <w:bCs/>
                <w:color w:val="000000" w:themeColor="text1"/>
                <w:szCs w:val="21"/>
                <w14:textFill>
                  <w14:solidFill>
                    <w14:schemeClr w14:val="tx1"/>
                  </w14:solidFill>
                </w14:textFill>
              </w:rPr>
              <w:t>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2552"/>
              <w:gridCol w:w="2552"/>
            </w:tblGrid>
            <w:tr w14:paraId="34F9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52" w:type="dxa"/>
                  <w:vAlign w:val="center"/>
                </w:tcPr>
                <w:p w14:paraId="6D885D4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eastAsia="宋体"/>
                      <w:b/>
                      <w:bCs/>
                      <w:color w:val="000000" w:themeColor="text1"/>
                      <w:sz w:val="21"/>
                      <w:szCs w:val="21"/>
                      <w:vertAlign w:val="baseline"/>
                      <w:lang w:val="en-US" w:eastAsia="zh-CN"/>
                      <w14:textFill>
                        <w14:solidFill>
                          <w14:schemeClr w14:val="tx1"/>
                        </w14:solidFill>
                      </w14:textFill>
                    </w:rPr>
                  </w:pPr>
                  <w:r>
                    <w:rPr>
                      <w:rFonts w:hint="eastAsia" w:eastAsia="宋体"/>
                      <w:b/>
                      <w:bCs/>
                      <w:color w:val="000000" w:themeColor="text1"/>
                      <w:sz w:val="21"/>
                      <w:szCs w:val="21"/>
                      <w:vertAlign w:val="baseline"/>
                      <w:lang w:val="en-US" w:eastAsia="zh-CN"/>
                      <w14:textFill>
                        <w14:solidFill>
                          <w14:schemeClr w14:val="tx1"/>
                        </w14:solidFill>
                      </w14:textFill>
                    </w:rPr>
                    <w:t>敏感点</w:t>
                  </w:r>
                </w:p>
              </w:tc>
              <w:tc>
                <w:tcPr>
                  <w:tcW w:w="2552" w:type="dxa"/>
                  <w:vAlign w:val="center"/>
                </w:tcPr>
                <w:p w14:paraId="7E3EAE3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eastAsia="宋体"/>
                      <w:b/>
                      <w:bCs/>
                      <w:color w:val="000000" w:themeColor="text1"/>
                      <w:sz w:val="21"/>
                      <w:szCs w:val="21"/>
                      <w:vertAlign w:val="baseline"/>
                      <w:lang w:val="en-US" w:eastAsia="zh-CN"/>
                      <w14:textFill>
                        <w14:solidFill>
                          <w14:schemeClr w14:val="tx1"/>
                        </w14:solidFill>
                      </w14:textFill>
                    </w:rPr>
                  </w:pPr>
                  <w:r>
                    <w:rPr>
                      <w:rFonts w:hint="eastAsia" w:eastAsia="宋体"/>
                      <w:b/>
                      <w:bCs/>
                      <w:color w:val="000000" w:themeColor="text1"/>
                      <w:sz w:val="21"/>
                      <w:szCs w:val="21"/>
                      <w:vertAlign w:val="baseline"/>
                      <w:lang w:val="en-US" w:eastAsia="zh-CN"/>
                      <w14:textFill>
                        <w14:solidFill>
                          <w14:schemeClr w14:val="tx1"/>
                        </w14:solidFill>
                      </w14:textFill>
                    </w:rPr>
                    <w:t>卫星图片</w:t>
                  </w:r>
                </w:p>
              </w:tc>
              <w:tc>
                <w:tcPr>
                  <w:tcW w:w="2552" w:type="dxa"/>
                  <w:vAlign w:val="center"/>
                </w:tcPr>
                <w:p w14:paraId="7F25CE7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eastAsia="宋体"/>
                      <w:b/>
                      <w:bCs/>
                      <w:color w:val="000000" w:themeColor="text1"/>
                      <w:sz w:val="21"/>
                      <w:szCs w:val="21"/>
                      <w:vertAlign w:val="baseline"/>
                      <w:lang w:val="en-US" w:eastAsia="zh-CN"/>
                      <w14:textFill>
                        <w14:solidFill>
                          <w14:schemeClr w14:val="tx1"/>
                        </w14:solidFill>
                      </w14:textFill>
                    </w:rPr>
                  </w:pPr>
                  <w:r>
                    <w:rPr>
                      <w:rFonts w:hint="eastAsia" w:eastAsia="宋体"/>
                      <w:b/>
                      <w:bCs/>
                      <w:color w:val="000000" w:themeColor="text1"/>
                      <w:sz w:val="21"/>
                      <w:szCs w:val="21"/>
                      <w:vertAlign w:val="baseline"/>
                      <w:lang w:val="en-US" w:eastAsia="zh-CN"/>
                      <w14:textFill>
                        <w14:solidFill>
                          <w14:schemeClr w14:val="tx1"/>
                        </w14:solidFill>
                      </w14:textFill>
                    </w:rPr>
                    <w:t>现场照片</w:t>
                  </w:r>
                </w:p>
              </w:tc>
            </w:tr>
            <w:tr w14:paraId="7F9F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52" w:type="dxa"/>
                  <w:vAlign w:val="center"/>
                </w:tcPr>
                <w:p w14:paraId="5F51E660">
                  <w:pPr>
                    <w:keepNext w:val="0"/>
                    <w:keepLines w:val="0"/>
                    <w:pageBreakBefore w:val="0"/>
                    <w:kinsoku/>
                    <w:wordWrap w:val="0"/>
                    <w:overflowPunct/>
                    <w:topLinePunct w:val="0"/>
                    <w:autoSpaceDE/>
                    <w:autoSpaceDN/>
                    <w:bidi w:val="0"/>
                    <w:adjustRightInd/>
                    <w:snapToGrid/>
                    <w:jc w:val="center"/>
                    <w:textAlignment w:val="auto"/>
                    <w:rPr>
                      <w:rFonts w:hint="eastAsia" w:eastAsia="宋体"/>
                      <w:color w:val="000000" w:themeColor="text1"/>
                      <w:sz w:val="21"/>
                      <w:szCs w:val="21"/>
                      <w:vertAlign w:val="baseline"/>
                      <w14:textFill>
                        <w14:solidFill>
                          <w14:schemeClr w14:val="tx1"/>
                        </w14:solidFill>
                      </w14:textFill>
                    </w:rPr>
                  </w:pPr>
                  <w:r>
                    <w:rPr>
                      <w:rFonts w:hint="eastAsia" w:ascii="Times New Roman" w:hAnsi="Times New Roman" w:eastAsia="宋体" w:cs="Times New Roman"/>
                      <w:szCs w:val="21"/>
                      <w:lang w:val="en-US" w:eastAsia="zh-CN"/>
                    </w:rPr>
                    <w:t>1#民房</w:t>
                  </w:r>
                </w:p>
              </w:tc>
              <w:tc>
                <w:tcPr>
                  <w:tcW w:w="2552" w:type="dxa"/>
                  <w:vAlign w:val="center"/>
                </w:tcPr>
                <w:p w14:paraId="6C41F0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1"/>
                      <w:szCs w:val="21"/>
                      <w:vertAlign w:val="baseline"/>
                      <w14:textFill>
                        <w14:solidFill>
                          <w14:schemeClr w14:val="tx1"/>
                        </w14:solidFill>
                      </w14:textFill>
                    </w:rPr>
                  </w:pPr>
                  <w:r>
                    <w:drawing>
                      <wp:inline distT="0" distB="0" distL="114300" distR="114300">
                        <wp:extent cx="1482090" cy="1175385"/>
                        <wp:effectExtent l="0" t="0" r="381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1482090" cy="1175385"/>
                                </a:xfrm>
                                <a:prstGeom prst="rect">
                                  <a:avLst/>
                                </a:prstGeom>
                                <a:noFill/>
                                <a:ln>
                                  <a:noFill/>
                                </a:ln>
                              </pic:spPr>
                            </pic:pic>
                          </a:graphicData>
                        </a:graphic>
                      </wp:inline>
                    </w:drawing>
                  </w:r>
                </w:p>
              </w:tc>
              <w:tc>
                <w:tcPr>
                  <w:tcW w:w="2552" w:type="dxa"/>
                  <w:vAlign w:val="center"/>
                </w:tcPr>
                <w:p w14:paraId="19B143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eastAsia="宋体"/>
                      <w:color w:val="000000" w:themeColor="text1"/>
                      <w:sz w:val="21"/>
                      <w:szCs w:val="21"/>
                      <w:vertAlign w:val="baseline"/>
                      <w:lang w:eastAsia="zh-CN"/>
                      <w14:textFill>
                        <w14:solidFill>
                          <w14:schemeClr w14:val="tx1"/>
                        </w14:solidFill>
                      </w14:textFill>
                    </w:rPr>
                    <w:drawing>
                      <wp:inline distT="0" distB="0" distL="114300" distR="114300">
                        <wp:extent cx="1478280" cy="1109345"/>
                        <wp:effectExtent l="0" t="0" r="7620" b="14605"/>
                        <wp:docPr id="26" name="图片 26" descr="跨越人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跨越人家"/>
                                <pic:cNvPicPr>
                                  <a:picLocks noChangeAspect="1"/>
                                </pic:cNvPicPr>
                              </pic:nvPicPr>
                              <pic:blipFill>
                                <a:blip r:embed="rId31"/>
                                <a:stretch>
                                  <a:fillRect/>
                                </a:stretch>
                              </pic:blipFill>
                              <pic:spPr>
                                <a:xfrm>
                                  <a:off x="0" y="0"/>
                                  <a:ext cx="1478280" cy="1109345"/>
                                </a:xfrm>
                                <a:prstGeom prst="rect">
                                  <a:avLst/>
                                </a:prstGeom>
                              </pic:spPr>
                            </pic:pic>
                          </a:graphicData>
                        </a:graphic>
                      </wp:inline>
                    </w:drawing>
                  </w:r>
                </w:p>
              </w:tc>
            </w:tr>
            <w:tr w14:paraId="4AB1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52" w:type="dxa"/>
                  <w:vAlign w:val="center"/>
                </w:tcPr>
                <w:p w14:paraId="3FE0E65F">
                  <w:pPr>
                    <w:keepNext w:val="0"/>
                    <w:keepLines w:val="0"/>
                    <w:pageBreakBefore w:val="0"/>
                    <w:kinsoku/>
                    <w:wordWrap w:val="0"/>
                    <w:overflowPunct/>
                    <w:topLinePunct w:val="0"/>
                    <w:autoSpaceDE/>
                    <w:autoSpaceDN/>
                    <w:bidi w:val="0"/>
                    <w:adjustRightInd/>
                    <w:snapToGrid/>
                    <w:jc w:val="center"/>
                    <w:textAlignment w:val="auto"/>
                    <w:rPr>
                      <w:rFonts w:hint="eastAsia" w:eastAsia="宋体"/>
                      <w:color w:val="000000" w:themeColor="text1"/>
                      <w:sz w:val="21"/>
                      <w:szCs w:val="21"/>
                      <w:vertAlign w:val="baseline"/>
                      <w14:textFill>
                        <w14:solidFill>
                          <w14:schemeClr w14:val="tx1"/>
                        </w14:solidFill>
                      </w14:textFill>
                    </w:rPr>
                  </w:pPr>
                  <w:r>
                    <w:rPr>
                      <w:rFonts w:hint="eastAsia" w:ascii="Times New Roman" w:hAnsi="Times New Roman" w:eastAsia="宋体" w:cs="Times New Roman"/>
                      <w:szCs w:val="21"/>
                    </w:rPr>
                    <w:t>2#</w:t>
                  </w:r>
                  <w:r>
                    <w:rPr>
                      <w:rFonts w:hint="eastAsia" w:ascii="Times New Roman" w:hAnsi="Times New Roman" w:eastAsia="宋体" w:cs="Times New Roman"/>
                      <w:szCs w:val="21"/>
                      <w:lang w:val="en-US" w:eastAsia="zh-CN"/>
                    </w:rPr>
                    <w:t>看护房</w:t>
                  </w:r>
                </w:p>
              </w:tc>
              <w:tc>
                <w:tcPr>
                  <w:tcW w:w="2552" w:type="dxa"/>
                  <w:vAlign w:val="center"/>
                </w:tcPr>
                <w:p w14:paraId="48D3F0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1"/>
                      <w:szCs w:val="21"/>
                      <w:vertAlign w:val="baseline"/>
                      <w14:textFill>
                        <w14:solidFill>
                          <w14:schemeClr w14:val="tx1"/>
                        </w14:solidFill>
                      </w14:textFill>
                    </w:rPr>
                  </w:pPr>
                  <w:r>
                    <w:drawing>
                      <wp:inline distT="0" distB="0" distL="114300" distR="114300">
                        <wp:extent cx="1480820" cy="1134745"/>
                        <wp:effectExtent l="0" t="0" r="508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1480820" cy="1134745"/>
                                </a:xfrm>
                                <a:prstGeom prst="rect">
                                  <a:avLst/>
                                </a:prstGeom>
                                <a:noFill/>
                                <a:ln>
                                  <a:noFill/>
                                </a:ln>
                              </pic:spPr>
                            </pic:pic>
                          </a:graphicData>
                        </a:graphic>
                      </wp:inline>
                    </w:drawing>
                  </w:r>
                </w:p>
              </w:tc>
              <w:tc>
                <w:tcPr>
                  <w:tcW w:w="2552" w:type="dxa"/>
                  <w:vAlign w:val="center"/>
                </w:tcPr>
                <w:p w14:paraId="04CE05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eastAsia="宋体"/>
                      <w:color w:val="000000" w:themeColor="text1"/>
                      <w:sz w:val="21"/>
                      <w:szCs w:val="21"/>
                      <w:vertAlign w:val="baseline"/>
                      <w:lang w:eastAsia="zh-CN"/>
                      <w14:textFill>
                        <w14:solidFill>
                          <w14:schemeClr w14:val="tx1"/>
                        </w14:solidFill>
                      </w14:textFill>
                    </w:rPr>
                    <w:drawing>
                      <wp:inline distT="0" distB="0" distL="114300" distR="114300">
                        <wp:extent cx="1447800" cy="1352550"/>
                        <wp:effectExtent l="0" t="0" r="0" b="0"/>
                        <wp:docPr id="28" name="图片 28" descr="ba30bf592dad13f1d440a8933140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a30bf592dad13f1d440a89331405ae"/>
                                <pic:cNvPicPr>
                                  <a:picLocks noChangeAspect="1"/>
                                </pic:cNvPicPr>
                              </pic:nvPicPr>
                              <pic:blipFill>
                                <a:blip r:embed="rId33"/>
                                <a:srcRect t="29934"/>
                                <a:stretch>
                                  <a:fillRect/>
                                </a:stretch>
                              </pic:blipFill>
                              <pic:spPr>
                                <a:xfrm>
                                  <a:off x="0" y="0"/>
                                  <a:ext cx="1447800" cy="1352550"/>
                                </a:xfrm>
                                <a:prstGeom prst="rect">
                                  <a:avLst/>
                                </a:prstGeom>
                              </pic:spPr>
                            </pic:pic>
                          </a:graphicData>
                        </a:graphic>
                      </wp:inline>
                    </w:drawing>
                  </w:r>
                </w:p>
              </w:tc>
            </w:tr>
            <w:tr w14:paraId="7530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52" w:type="dxa"/>
                  <w:vAlign w:val="center"/>
                </w:tcPr>
                <w:p w14:paraId="67BAFBCD">
                  <w:pPr>
                    <w:keepNext w:val="0"/>
                    <w:keepLines w:val="0"/>
                    <w:pageBreakBefore w:val="0"/>
                    <w:kinsoku/>
                    <w:wordWrap w:val="0"/>
                    <w:overflowPunct/>
                    <w:topLinePunct w:val="0"/>
                    <w:autoSpaceDE/>
                    <w:autoSpaceDN/>
                    <w:bidi w:val="0"/>
                    <w:adjustRightInd/>
                    <w:snapToGrid/>
                    <w:jc w:val="center"/>
                    <w:textAlignment w:val="auto"/>
                    <w:rPr>
                      <w:rFonts w:hint="eastAsia" w:eastAsia="宋体"/>
                      <w:color w:val="000000" w:themeColor="text1"/>
                      <w:sz w:val="21"/>
                      <w:szCs w:val="21"/>
                      <w:vertAlign w:val="baseline"/>
                      <w14:textFill>
                        <w14:solidFill>
                          <w14:schemeClr w14:val="tx1"/>
                        </w14:solidFill>
                      </w14:textFill>
                    </w:rPr>
                  </w:pPr>
                  <w:r>
                    <w:rPr>
                      <w:rFonts w:hint="eastAsia" w:ascii="Times New Roman" w:hAnsi="Times New Roman" w:eastAsia="宋体" w:cs="Times New Roman"/>
                      <w:szCs w:val="21"/>
                    </w:rPr>
                    <w:t>3#</w:t>
                  </w:r>
                  <w:r>
                    <w:rPr>
                      <w:rFonts w:hint="eastAsia" w:ascii="Times New Roman" w:hAnsi="Times New Roman" w:eastAsia="宋体" w:cs="Times New Roman"/>
                      <w:szCs w:val="21"/>
                      <w:lang w:eastAsia="zh-CN"/>
                    </w:rPr>
                    <w:t>大棚</w:t>
                  </w:r>
                </w:p>
              </w:tc>
              <w:tc>
                <w:tcPr>
                  <w:tcW w:w="2552" w:type="dxa"/>
                  <w:vAlign w:val="center"/>
                </w:tcPr>
                <w:p w14:paraId="4F59DF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1"/>
                      <w:szCs w:val="21"/>
                      <w:vertAlign w:val="baseline"/>
                      <w14:textFill>
                        <w14:solidFill>
                          <w14:schemeClr w14:val="tx1"/>
                        </w14:solidFill>
                      </w14:textFill>
                    </w:rPr>
                  </w:pPr>
                  <w:r>
                    <w:drawing>
                      <wp:inline distT="0" distB="0" distL="114300" distR="114300">
                        <wp:extent cx="1481455" cy="1284605"/>
                        <wp:effectExtent l="0" t="0" r="4445" b="1079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4"/>
                                <a:stretch>
                                  <a:fillRect/>
                                </a:stretch>
                              </pic:blipFill>
                              <pic:spPr>
                                <a:xfrm>
                                  <a:off x="0" y="0"/>
                                  <a:ext cx="1481455" cy="1284605"/>
                                </a:xfrm>
                                <a:prstGeom prst="rect">
                                  <a:avLst/>
                                </a:prstGeom>
                                <a:noFill/>
                                <a:ln>
                                  <a:noFill/>
                                </a:ln>
                              </pic:spPr>
                            </pic:pic>
                          </a:graphicData>
                        </a:graphic>
                      </wp:inline>
                    </w:drawing>
                  </w:r>
                </w:p>
              </w:tc>
              <w:tc>
                <w:tcPr>
                  <w:tcW w:w="2552" w:type="dxa"/>
                  <w:vAlign w:val="center"/>
                </w:tcPr>
                <w:p w14:paraId="43DFEE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eastAsia="宋体"/>
                      <w:color w:val="000000" w:themeColor="text1"/>
                      <w:sz w:val="21"/>
                      <w:szCs w:val="21"/>
                      <w:vertAlign w:val="baseline"/>
                      <w:lang w:eastAsia="zh-CN"/>
                      <w14:textFill>
                        <w14:solidFill>
                          <w14:schemeClr w14:val="tx1"/>
                        </w14:solidFill>
                      </w14:textFill>
                    </w:rPr>
                    <w:drawing>
                      <wp:inline distT="0" distB="0" distL="114300" distR="114300">
                        <wp:extent cx="1447800" cy="1188085"/>
                        <wp:effectExtent l="0" t="0" r="0" b="12065"/>
                        <wp:docPr id="29" name="图片 29" descr="4db8165048430e14150fa047cc02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db8165048430e14150fa047cc028ab"/>
                                <pic:cNvPicPr>
                                  <a:picLocks noChangeAspect="1"/>
                                </pic:cNvPicPr>
                              </pic:nvPicPr>
                              <pic:blipFill>
                                <a:blip r:embed="rId35"/>
                                <a:stretch>
                                  <a:fillRect/>
                                </a:stretch>
                              </pic:blipFill>
                              <pic:spPr>
                                <a:xfrm>
                                  <a:off x="0" y="0"/>
                                  <a:ext cx="1447800" cy="1188085"/>
                                </a:xfrm>
                                <a:prstGeom prst="rect">
                                  <a:avLst/>
                                </a:prstGeom>
                              </pic:spPr>
                            </pic:pic>
                          </a:graphicData>
                        </a:graphic>
                      </wp:inline>
                    </w:drawing>
                  </w:r>
                </w:p>
              </w:tc>
            </w:tr>
            <w:tr w14:paraId="5B30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52" w:type="dxa"/>
                  <w:vAlign w:val="center"/>
                </w:tcPr>
                <w:p w14:paraId="3E3D47A0">
                  <w:pPr>
                    <w:keepNext w:val="0"/>
                    <w:keepLines w:val="0"/>
                    <w:pageBreakBefore w:val="0"/>
                    <w:kinsoku/>
                    <w:wordWrap w:val="0"/>
                    <w:overflowPunct/>
                    <w:topLinePunct w:val="0"/>
                    <w:autoSpaceDE/>
                    <w:autoSpaceDN/>
                    <w:bidi w:val="0"/>
                    <w:adjustRightInd/>
                    <w:snapToGrid/>
                    <w:jc w:val="center"/>
                    <w:textAlignment w:val="auto"/>
                    <w:rPr>
                      <w:rFonts w:hint="eastAsia" w:eastAsia="宋体"/>
                      <w:color w:val="000000" w:themeColor="text1"/>
                      <w:sz w:val="21"/>
                      <w:szCs w:val="21"/>
                      <w:vertAlign w:val="baseline"/>
                      <w14:textFill>
                        <w14:solidFill>
                          <w14:schemeClr w14:val="tx1"/>
                        </w14:solidFill>
                      </w14:textFill>
                    </w:rPr>
                  </w:pPr>
                  <w:r>
                    <w:rPr>
                      <w:rFonts w:hint="eastAsia" w:ascii="Times New Roman" w:hAnsi="Times New Roman" w:eastAsia="宋体" w:cs="Times New Roman"/>
                      <w:szCs w:val="21"/>
                    </w:rPr>
                    <w:t>4#</w:t>
                  </w:r>
                  <w:r>
                    <w:rPr>
                      <w:rFonts w:hint="eastAsia" w:ascii="Times New Roman" w:hAnsi="Times New Roman" w:eastAsia="宋体" w:cs="Times New Roman"/>
                      <w:szCs w:val="21"/>
                      <w:lang w:eastAsia="zh-CN"/>
                    </w:rPr>
                    <w:t>民房</w:t>
                  </w:r>
                </w:p>
              </w:tc>
              <w:tc>
                <w:tcPr>
                  <w:tcW w:w="2552" w:type="dxa"/>
                  <w:vAlign w:val="center"/>
                </w:tcPr>
                <w:p w14:paraId="13B383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1"/>
                      <w:szCs w:val="21"/>
                      <w:vertAlign w:val="baseline"/>
                      <w14:textFill>
                        <w14:solidFill>
                          <w14:schemeClr w14:val="tx1"/>
                        </w14:solidFill>
                      </w14:textFill>
                    </w:rPr>
                  </w:pPr>
                  <w:r>
                    <w:drawing>
                      <wp:inline distT="0" distB="0" distL="114300" distR="114300">
                        <wp:extent cx="1482090" cy="1307465"/>
                        <wp:effectExtent l="0" t="0" r="3810" b="698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6"/>
                                <a:stretch>
                                  <a:fillRect/>
                                </a:stretch>
                              </pic:blipFill>
                              <pic:spPr>
                                <a:xfrm>
                                  <a:off x="0" y="0"/>
                                  <a:ext cx="1482090" cy="1307465"/>
                                </a:xfrm>
                                <a:prstGeom prst="rect">
                                  <a:avLst/>
                                </a:prstGeom>
                                <a:noFill/>
                                <a:ln>
                                  <a:noFill/>
                                </a:ln>
                              </pic:spPr>
                            </pic:pic>
                          </a:graphicData>
                        </a:graphic>
                      </wp:inline>
                    </w:drawing>
                  </w:r>
                </w:p>
              </w:tc>
              <w:tc>
                <w:tcPr>
                  <w:tcW w:w="2552" w:type="dxa"/>
                  <w:vAlign w:val="center"/>
                </w:tcPr>
                <w:p w14:paraId="4B3DB3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eastAsia="宋体"/>
                      <w:color w:val="000000" w:themeColor="text1"/>
                      <w:sz w:val="21"/>
                      <w:szCs w:val="21"/>
                      <w:vertAlign w:val="baseline"/>
                      <w:lang w:eastAsia="zh-CN"/>
                      <w14:textFill>
                        <w14:solidFill>
                          <w14:schemeClr w14:val="tx1"/>
                        </w14:solidFill>
                      </w14:textFill>
                    </w:rPr>
                    <w:drawing>
                      <wp:inline distT="0" distB="0" distL="114300" distR="114300">
                        <wp:extent cx="1410335" cy="1409700"/>
                        <wp:effectExtent l="0" t="0" r="0" b="0"/>
                        <wp:docPr id="31" name="图片 31" descr="5f8a15f3c08856b0fde2e1d975df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f8a15f3c08856b0fde2e1d975df515"/>
                                <pic:cNvPicPr>
                                  <a:picLocks noChangeAspect="1"/>
                                </pic:cNvPicPr>
                              </pic:nvPicPr>
                              <pic:blipFill>
                                <a:blip r:embed="rId37"/>
                                <a:srcRect l="2588" t="26974"/>
                                <a:stretch>
                                  <a:fillRect/>
                                </a:stretch>
                              </pic:blipFill>
                              <pic:spPr>
                                <a:xfrm>
                                  <a:off x="0" y="0"/>
                                  <a:ext cx="1410335" cy="1409700"/>
                                </a:xfrm>
                                <a:prstGeom prst="rect">
                                  <a:avLst/>
                                </a:prstGeom>
                              </pic:spPr>
                            </pic:pic>
                          </a:graphicData>
                        </a:graphic>
                      </wp:inline>
                    </w:drawing>
                  </w:r>
                </w:p>
              </w:tc>
            </w:tr>
            <w:tr w14:paraId="1317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52" w:type="dxa"/>
                  <w:vAlign w:val="center"/>
                </w:tcPr>
                <w:p w14:paraId="3D000301">
                  <w:pPr>
                    <w:keepNext w:val="0"/>
                    <w:keepLines w:val="0"/>
                    <w:pageBreakBefore w:val="0"/>
                    <w:kinsoku/>
                    <w:wordWrap w:val="0"/>
                    <w:overflowPunct/>
                    <w:topLinePunct w:val="0"/>
                    <w:autoSpaceDE/>
                    <w:autoSpaceDN/>
                    <w:bidi w:val="0"/>
                    <w:adjustRightInd/>
                    <w:snapToGrid/>
                    <w:jc w:val="center"/>
                    <w:textAlignment w:val="auto"/>
                    <w:rPr>
                      <w:rFonts w:hint="eastAsia" w:eastAsia="宋体"/>
                      <w:color w:val="000000" w:themeColor="text1"/>
                      <w:sz w:val="21"/>
                      <w:szCs w:val="21"/>
                      <w:vertAlign w:val="baseline"/>
                      <w14:textFill>
                        <w14:solidFill>
                          <w14:schemeClr w14:val="tx1"/>
                        </w14:solidFill>
                      </w14:textFill>
                    </w:rPr>
                  </w:pPr>
                  <w:r>
                    <w:rPr>
                      <w:rFonts w:hint="eastAsia" w:ascii="Times New Roman" w:hAnsi="Times New Roman" w:eastAsia="宋体" w:cs="Times New Roman"/>
                      <w:szCs w:val="21"/>
                    </w:rPr>
                    <w:t xml:space="preserve">5# </w:t>
                  </w:r>
                  <w:r>
                    <w:rPr>
                      <w:rFonts w:hint="eastAsia" w:ascii="Times New Roman" w:hAnsi="Times New Roman" w:eastAsia="宋体" w:cs="Times New Roman"/>
                      <w:szCs w:val="21"/>
                      <w:lang w:eastAsia="zh-CN"/>
                    </w:rPr>
                    <w:t>甲山建材物流园</w:t>
                  </w:r>
                </w:p>
              </w:tc>
              <w:tc>
                <w:tcPr>
                  <w:tcW w:w="2552" w:type="dxa"/>
                  <w:vAlign w:val="center"/>
                </w:tcPr>
                <w:p w14:paraId="39D59B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1"/>
                      <w:szCs w:val="21"/>
                      <w:vertAlign w:val="baseline"/>
                      <w14:textFill>
                        <w14:solidFill>
                          <w14:schemeClr w14:val="tx1"/>
                        </w14:solidFill>
                      </w14:textFill>
                    </w:rPr>
                  </w:pPr>
                  <w:r>
                    <w:drawing>
                      <wp:inline distT="0" distB="0" distL="114300" distR="114300">
                        <wp:extent cx="1481455" cy="1058545"/>
                        <wp:effectExtent l="0" t="0" r="4445" b="825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8"/>
                                <a:stretch>
                                  <a:fillRect/>
                                </a:stretch>
                              </pic:blipFill>
                              <pic:spPr>
                                <a:xfrm>
                                  <a:off x="0" y="0"/>
                                  <a:ext cx="1481455" cy="1058545"/>
                                </a:xfrm>
                                <a:prstGeom prst="rect">
                                  <a:avLst/>
                                </a:prstGeom>
                                <a:noFill/>
                                <a:ln>
                                  <a:noFill/>
                                </a:ln>
                              </pic:spPr>
                            </pic:pic>
                          </a:graphicData>
                        </a:graphic>
                      </wp:inline>
                    </w:drawing>
                  </w:r>
                </w:p>
              </w:tc>
              <w:tc>
                <w:tcPr>
                  <w:tcW w:w="2552" w:type="dxa"/>
                  <w:vAlign w:val="center"/>
                </w:tcPr>
                <w:p w14:paraId="351764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eastAsia="宋体"/>
                      <w:color w:val="000000" w:themeColor="text1"/>
                      <w:sz w:val="21"/>
                      <w:szCs w:val="21"/>
                      <w:vertAlign w:val="baseline"/>
                      <w:lang w:eastAsia="zh-CN"/>
                      <w14:textFill>
                        <w14:solidFill>
                          <w14:schemeClr w14:val="tx1"/>
                        </w14:solidFill>
                      </w14:textFill>
                    </w:rPr>
                    <w:drawing>
                      <wp:inline distT="0" distB="0" distL="114300" distR="114300">
                        <wp:extent cx="1478915" cy="1108710"/>
                        <wp:effectExtent l="0" t="0" r="6985" b="15240"/>
                        <wp:docPr id="24" name="图片 24" descr="甲山物流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甲山物流园"/>
                                <pic:cNvPicPr>
                                  <a:picLocks noChangeAspect="1"/>
                                </pic:cNvPicPr>
                              </pic:nvPicPr>
                              <pic:blipFill>
                                <a:blip r:embed="rId39"/>
                                <a:stretch>
                                  <a:fillRect/>
                                </a:stretch>
                              </pic:blipFill>
                              <pic:spPr>
                                <a:xfrm>
                                  <a:off x="0" y="0"/>
                                  <a:ext cx="1478915" cy="1108710"/>
                                </a:xfrm>
                                <a:prstGeom prst="rect">
                                  <a:avLst/>
                                </a:prstGeom>
                              </pic:spPr>
                            </pic:pic>
                          </a:graphicData>
                        </a:graphic>
                      </wp:inline>
                    </w:drawing>
                  </w:r>
                </w:p>
              </w:tc>
            </w:tr>
          </w:tbl>
          <w:p w14:paraId="7A419C8D">
            <w:pPr>
              <w:adjustRightInd w:val="0"/>
              <w:snapToGrid w:val="0"/>
              <w:spacing w:line="480" w:lineRule="exact"/>
              <w:ind w:firstLine="420" w:firstLineChars="200"/>
              <w:jc w:val="left"/>
              <w:rPr>
                <w:rFonts w:hint="eastAsia" w:eastAsia="宋体"/>
                <w:color w:val="000000" w:themeColor="text1"/>
                <w:szCs w:val="21"/>
                <w14:textFill>
                  <w14:solidFill>
                    <w14:schemeClr w14:val="tx1"/>
                  </w14:solidFill>
                </w14:textFill>
              </w:rPr>
            </w:pPr>
          </w:p>
          <w:p w14:paraId="6813D055">
            <w:pPr>
              <w:adjustRightInd w:val="0"/>
              <w:snapToGrid w:val="0"/>
              <w:spacing w:line="480" w:lineRule="exact"/>
              <w:ind w:firstLine="420" w:firstLineChars="200"/>
              <w:jc w:val="left"/>
              <w:rPr>
                <w:rFonts w:hint="eastAsia" w:eastAsia="宋体"/>
                <w:color w:val="000000" w:themeColor="text1"/>
                <w:szCs w:val="21"/>
                <w14:textFill>
                  <w14:solidFill>
                    <w14:schemeClr w14:val="tx1"/>
                  </w14:solidFill>
                </w14:textFill>
              </w:rPr>
            </w:pPr>
          </w:p>
          <w:p w14:paraId="59AAFE03">
            <w:pPr>
              <w:adjustRightInd w:val="0"/>
              <w:snapToGrid w:val="0"/>
              <w:spacing w:line="480" w:lineRule="exact"/>
              <w:ind w:firstLine="420" w:firstLineChars="200"/>
              <w:jc w:val="left"/>
              <w:rPr>
                <w:rFonts w:hint="eastAsia" w:eastAsia="宋体"/>
                <w:color w:val="000000" w:themeColor="text1"/>
                <w:szCs w:val="21"/>
                <w14:textFill>
                  <w14:solidFill>
                    <w14:schemeClr w14:val="tx1"/>
                  </w14:solidFill>
                </w14:textFill>
              </w:rPr>
            </w:pPr>
          </w:p>
          <w:p w14:paraId="56AD7DCF">
            <w:pPr>
              <w:adjustRightInd w:val="0"/>
              <w:snapToGrid w:val="0"/>
              <w:spacing w:line="480" w:lineRule="exact"/>
              <w:ind w:firstLine="420" w:firstLineChars="200"/>
              <w:jc w:val="left"/>
              <w:rPr>
                <w:rFonts w:hint="eastAsia" w:eastAsia="宋体"/>
                <w:color w:val="000000" w:themeColor="text1"/>
                <w:szCs w:val="21"/>
                <w14:textFill>
                  <w14:solidFill>
                    <w14:schemeClr w14:val="tx1"/>
                  </w14:solidFill>
                </w14:textFill>
              </w:rPr>
            </w:pPr>
          </w:p>
          <w:p w14:paraId="58B3B994">
            <w:pPr>
              <w:adjustRightInd w:val="0"/>
              <w:snapToGrid w:val="0"/>
              <w:spacing w:line="480" w:lineRule="exact"/>
              <w:ind w:firstLine="420" w:firstLineChars="200"/>
              <w:jc w:val="left"/>
              <w:rPr>
                <w:rFonts w:hint="eastAsia" w:eastAsia="宋体"/>
                <w:color w:val="000000" w:themeColor="text1"/>
                <w:szCs w:val="21"/>
                <w14:textFill>
                  <w14:solidFill>
                    <w14:schemeClr w14:val="tx1"/>
                  </w14:solidFill>
                </w14:textFill>
              </w:rPr>
            </w:pPr>
          </w:p>
          <w:p w14:paraId="23EBE4F2">
            <w:pPr>
              <w:pStyle w:val="17"/>
              <w:ind w:left="0" w:firstLine="0" w:firstLineChars="0"/>
              <w:rPr>
                <w:color w:val="000000" w:themeColor="text1"/>
                <w14:textFill>
                  <w14:solidFill>
                    <w14:schemeClr w14:val="tx1"/>
                  </w14:solidFill>
                </w14:textFill>
              </w:rPr>
            </w:pPr>
          </w:p>
        </w:tc>
      </w:tr>
      <w:tr w14:paraId="7551A6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79" w:hRule="atLeast"/>
          <w:jc w:val="center"/>
        </w:trPr>
        <w:tc>
          <w:tcPr>
            <w:tcW w:w="380" w:type="pct"/>
            <w:vAlign w:val="center"/>
          </w:tcPr>
          <w:p w14:paraId="4D4A526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评价标准</w:t>
            </w:r>
          </w:p>
        </w:tc>
        <w:tc>
          <w:tcPr>
            <w:tcW w:w="4619" w:type="pct"/>
            <w:vAlign w:val="center"/>
          </w:tcPr>
          <w:p w14:paraId="4B500E72">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（一）环境质量标准</w:t>
            </w:r>
          </w:p>
          <w:p w14:paraId="68F011E8">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1、环境空气</w:t>
            </w:r>
          </w:p>
          <w:p w14:paraId="24634C4F">
            <w:pPr>
              <w:adjustRightInd w:val="0"/>
              <w:snapToGrid w:val="0"/>
              <w:spacing w:line="480" w:lineRule="exact"/>
              <w:ind w:firstLine="420" w:firstLineChars="200"/>
              <w:jc w:val="left"/>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区域大气环境执行《环境空气质量标准》（GB3095-2012）及修改单二级标准。</w:t>
            </w:r>
          </w:p>
          <w:p w14:paraId="0ACFB23F">
            <w:pPr>
              <w:adjustRightInd w:val="0"/>
              <w:snapToGrid w:val="0"/>
              <w:spacing w:line="4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9</w:t>
            </w:r>
            <w:r>
              <w:rPr>
                <w:rFonts w:hint="eastAsia"/>
                <w:b/>
                <w:bCs/>
                <w:color w:val="000000" w:themeColor="text1"/>
                <w:szCs w:val="21"/>
                <w14:textFill>
                  <w14:solidFill>
                    <w14:schemeClr w14:val="tx1"/>
                  </w14:solidFill>
                </w14:textFill>
              </w:rPr>
              <w:t xml:space="preserve"> </w:t>
            </w:r>
            <w:r>
              <w:rPr>
                <w:rFonts w:hint="eastAsia"/>
                <w:b/>
                <w:bCs/>
                <w:color w:val="000000" w:themeColor="text1"/>
                <w:kern w:val="0"/>
                <w:szCs w:val="21"/>
                <w14:textFill>
                  <w14:solidFill>
                    <w14:schemeClr w14:val="tx1"/>
                  </w14:solidFill>
                </w14:textFill>
              </w:rPr>
              <w:t>环境空气质量标准</w:t>
            </w:r>
          </w:p>
          <w:tbl>
            <w:tblPr>
              <w:tblStyle w:val="23"/>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00"/>
              <w:gridCol w:w="1330"/>
              <w:gridCol w:w="2752"/>
              <w:gridCol w:w="1229"/>
              <w:gridCol w:w="1122"/>
            </w:tblGrid>
            <w:tr w14:paraId="46F43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86" w:type="pct"/>
                  <w:vAlign w:val="center"/>
                </w:tcPr>
                <w:p w14:paraId="4AC89A33">
                  <w:pPr>
                    <w:pStyle w:val="57"/>
                    <w:framePr w:hSpace="0" w:wrap="auto" w:vAnchor="margin" w:hAnchor="text" w:xAlign="left" w:yAlign="inline"/>
                    <w:spacing w:line="300" w:lineRule="exact"/>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环境要素</w:t>
                  </w:r>
                </w:p>
              </w:tc>
              <w:tc>
                <w:tcPr>
                  <w:tcW w:w="2673" w:type="pct"/>
                  <w:gridSpan w:val="2"/>
                  <w:vAlign w:val="center"/>
                </w:tcPr>
                <w:p w14:paraId="7542A533">
                  <w:pPr>
                    <w:pStyle w:val="57"/>
                    <w:framePr w:hSpace="0" w:wrap="auto" w:vAnchor="margin" w:hAnchor="text" w:xAlign="left" w:yAlign="inline"/>
                    <w:spacing w:line="300" w:lineRule="exact"/>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污染物名称</w:t>
                  </w:r>
                </w:p>
              </w:tc>
              <w:tc>
                <w:tcPr>
                  <w:tcW w:w="805" w:type="pct"/>
                  <w:vAlign w:val="center"/>
                </w:tcPr>
                <w:p w14:paraId="119FA224">
                  <w:pPr>
                    <w:pStyle w:val="57"/>
                    <w:framePr w:hSpace="0" w:wrap="auto" w:vAnchor="margin" w:hAnchor="text" w:xAlign="left" w:yAlign="inline"/>
                    <w:spacing w:line="300" w:lineRule="exact"/>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标准值</w:t>
                  </w:r>
                </w:p>
              </w:tc>
              <w:tc>
                <w:tcPr>
                  <w:tcW w:w="734" w:type="pct"/>
                  <w:vAlign w:val="center"/>
                </w:tcPr>
                <w:p w14:paraId="1D641E76">
                  <w:pPr>
                    <w:pStyle w:val="57"/>
                    <w:framePr w:hSpace="0" w:wrap="auto" w:vAnchor="margin" w:hAnchor="text" w:xAlign="left" w:yAlign="inline"/>
                    <w:spacing w:line="300" w:lineRule="exact"/>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单位</w:t>
                  </w:r>
                </w:p>
              </w:tc>
            </w:tr>
            <w:tr w14:paraId="2099F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restart"/>
                  <w:vAlign w:val="center"/>
                </w:tcPr>
                <w:p w14:paraId="24B11BFE">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大气环境</w:t>
                  </w:r>
                </w:p>
              </w:tc>
              <w:tc>
                <w:tcPr>
                  <w:tcW w:w="871" w:type="pct"/>
                  <w:vMerge w:val="restart"/>
                  <w:vAlign w:val="center"/>
                </w:tcPr>
                <w:p w14:paraId="70CD0997">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SO</w:t>
                  </w:r>
                  <w:r>
                    <w:rPr>
                      <w:rFonts w:ascii="Times New Roman"/>
                      <w:color w:val="000000" w:themeColor="text1"/>
                      <w:szCs w:val="21"/>
                      <w:vertAlign w:val="subscript"/>
                      <w14:textFill>
                        <w14:solidFill>
                          <w14:schemeClr w14:val="tx1"/>
                        </w14:solidFill>
                      </w14:textFill>
                    </w:rPr>
                    <w:t>2</w:t>
                  </w:r>
                </w:p>
              </w:tc>
              <w:tc>
                <w:tcPr>
                  <w:tcW w:w="1801" w:type="pct"/>
                  <w:vAlign w:val="center"/>
                </w:tcPr>
                <w:p w14:paraId="789DA525">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年平均</w:t>
                  </w:r>
                </w:p>
              </w:tc>
              <w:tc>
                <w:tcPr>
                  <w:tcW w:w="805" w:type="pct"/>
                  <w:vAlign w:val="center"/>
                </w:tcPr>
                <w:p w14:paraId="5FBA097D">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60</w:t>
                  </w:r>
                </w:p>
              </w:tc>
              <w:tc>
                <w:tcPr>
                  <w:tcW w:w="734" w:type="pct"/>
                  <w:vMerge w:val="restart"/>
                  <w:vAlign w:val="center"/>
                </w:tcPr>
                <w:p w14:paraId="4FB3D79F">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μg/m</w:t>
                  </w:r>
                  <w:r>
                    <w:rPr>
                      <w:rFonts w:ascii="Times New Roman"/>
                      <w:color w:val="000000" w:themeColor="text1"/>
                      <w:szCs w:val="21"/>
                      <w:vertAlign w:val="superscript"/>
                      <w14:textFill>
                        <w14:solidFill>
                          <w14:schemeClr w14:val="tx1"/>
                        </w14:solidFill>
                      </w14:textFill>
                    </w:rPr>
                    <w:t>3</w:t>
                  </w:r>
                </w:p>
              </w:tc>
            </w:tr>
            <w:tr w14:paraId="38E39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77B82C8C">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continue"/>
                  <w:vAlign w:val="center"/>
                </w:tcPr>
                <w:p w14:paraId="32B4A678">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1801" w:type="pct"/>
                  <w:vAlign w:val="center"/>
                </w:tcPr>
                <w:p w14:paraId="58678BF5">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24小时平均</w:t>
                  </w:r>
                </w:p>
              </w:tc>
              <w:tc>
                <w:tcPr>
                  <w:tcW w:w="805" w:type="pct"/>
                  <w:vAlign w:val="center"/>
                </w:tcPr>
                <w:p w14:paraId="23F6A06A">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150</w:t>
                  </w:r>
                </w:p>
              </w:tc>
              <w:tc>
                <w:tcPr>
                  <w:tcW w:w="734" w:type="pct"/>
                  <w:vMerge w:val="continue"/>
                  <w:vAlign w:val="center"/>
                </w:tcPr>
                <w:p w14:paraId="0F95F22D">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r>
            <w:tr w14:paraId="55EBD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38F84D2C">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continue"/>
                  <w:vAlign w:val="center"/>
                </w:tcPr>
                <w:p w14:paraId="141E42A9">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1801" w:type="pct"/>
                  <w:vAlign w:val="center"/>
                </w:tcPr>
                <w:p w14:paraId="28B6B26C">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1小时平均</w:t>
                  </w:r>
                </w:p>
              </w:tc>
              <w:tc>
                <w:tcPr>
                  <w:tcW w:w="805" w:type="pct"/>
                  <w:vAlign w:val="center"/>
                </w:tcPr>
                <w:p w14:paraId="23C138C0">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500</w:t>
                  </w:r>
                </w:p>
              </w:tc>
              <w:tc>
                <w:tcPr>
                  <w:tcW w:w="734" w:type="pct"/>
                  <w:vMerge w:val="continue"/>
                  <w:vAlign w:val="center"/>
                </w:tcPr>
                <w:p w14:paraId="477EA08F">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r>
            <w:tr w14:paraId="690AA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5CF7802D">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restart"/>
                  <w:vAlign w:val="center"/>
                </w:tcPr>
                <w:p w14:paraId="7F2A570B">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NO</w:t>
                  </w:r>
                  <w:r>
                    <w:rPr>
                      <w:rFonts w:ascii="Times New Roman"/>
                      <w:color w:val="000000" w:themeColor="text1"/>
                      <w:szCs w:val="21"/>
                      <w:vertAlign w:val="subscript"/>
                      <w14:textFill>
                        <w14:solidFill>
                          <w14:schemeClr w14:val="tx1"/>
                        </w14:solidFill>
                      </w14:textFill>
                    </w:rPr>
                    <w:t>2</w:t>
                  </w:r>
                </w:p>
              </w:tc>
              <w:tc>
                <w:tcPr>
                  <w:tcW w:w="1801" w:type="pct"/>
                  <w:vAlign w:val="center"/>
                </w:tcPr>
                <w:p w14:paraId="1550E8C6">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年平均</w:t>
                  </w:r>
                </w:p>
              </w:tc>
              <w:tc>
                <w:tcPr>
                  <w:tcW w:w="805" w:type="pct"/>
                  <w:vAlign w:val="center"/>
                </w:tcPr>
                <w:p w14:paraId="1A3C7221">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40</w:t>
                  </w:r>
                </w:p>
              </w:tc>
              <w:tc>
                <w:tcPr>
                  <w:tcW w:w="734" w:type="pct"/>
                  <w:vMerge w:val="continue"/>
                  <w:vAlign w:val="center"/>
                </w:tcPr>
                <w:p w14:paraId="4B044F15">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r>
            <w:tr w14:paraId="1FFC0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2F535D3C">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continue"/>
                  <w:vAlign w:val="center"/>
                </w:tcPr>
                <w:p w14:paraId="78480843">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1801" w:type="pct"/>
                  <w:vAlign w:val="center"/>
                </w:tcPr>
                <w:p w14:paraId="5D55B297">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24小时平均</w:t>
                  </w:r>
                </w:p>
              </w:tc>
              <w:tc>
                <w:tcPr>
                  <w:tcW w:w="805" w:type="pct"/>
                  <w:vAlign w:val="center"/>
                </w:tcPr>
                <w:p w14:paraId="11417D31">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80</w:t>
                  </w:r>
                </w:p>
              </w:tc>
              <w:tc>
                <w:tcPr>
                  <w:tcW w:w="734" w:type="pct"/>
                  <w:vMerge w:val="continue"/>
                  <w:vAlign w:val="center"/>
                </w:tcPr>
                <w:p w14:paraId="4F33028A">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r>
            <w:tr w14:paraId="1DCE9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3F8AC3E0">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continue"/>
                  <w:vAlign w:val="center"/>
                </w:tcPr>
                <w:p w14:paraId="7FDFD503">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1801" w:type="pct"/>
                  <w:vAlign w:val="center"/>
                </w:tcPr>
                <w:p w14:paraId="36AF5040">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1小时平均</w:t>
                  </w:r>
                </w:p>
              </w:tc>
              <w:tc>
                <w:tcPr>
                  <w:tcW w:w="805" w:type="pct"/>
                  <w:vAlign w:val="center"/>
                </w:tcPr>
                <w:p w14:paraId="628578C8">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200</w:t>
                  </w:r>
                </w:p>
              </w:tc>
              <w:tc>
                <w:tcPr>
                  <w:tcW w:w="734" w:type="pct"/>
                  <w:vMerge w:val="continue"/>
                  <w:vAlign w:val="center"/>
                </w:tcPr>
                <w:p w14:paraId="460AEAFB">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r>
            <w:tr w14:paraId="425DC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505AD160">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restart"/>
                  <w:vAlign w:val="center"/>
                </w:tcPr>
                <w:p w14:paraId="0F089223">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CO</w:t>
                  </w:r>
                </w:p>
              </w:tc>
              <w:tc>
                <w:tcPr>
                  <w:tcW w:w="1801" w:type="pct"/>
                  <w:vAlign w:val="center"/>
                </w:tcPr>
                <w:p w14:paraId="0D7FB9F4">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24小时平均</w:t>
                  </w:r>
                </w:p>
              </w:tc>
              <w:tc>
                <w:tcPr>
                  <w:tcW w:w="805" w:type="pct"/>
                  <w:vAlign w:val="center"/>
                </w:tcPr>
                <w:p w14:paraId="409B234E">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4</w:t>
                  </w:r>
                </w:p>
              </w:tc>
              <w:tc>
                <w:tcPr>
                  <w:tcW w:w="734" w:type="pct"/>
                  <w:vMerge w:val="restart"/>
                  <w:vAlign w:val="center"/>
                </w:tcPr>
                <w:p w14:paraId="40E75DD1">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mg/m</w:t>
                  </w:r>
                  <w:r>
                    <w:rPr>
                      <w:rFonts w:ascii="Times New Roman"/>
                      <w:color w:val="000000" w:themeColor="text1"/>
                      <w:szCs w:val="21"/>
                      <w:vertAlign w:val="superscript"/>
                      <w14:textFill>
                        <w14:solidFill>
                          <w14:schemeClr w14:val="tx1"/>
                        </w14:solidFill>
                      </w14:textFill>
                    </w:rPr>
                    <w:t>3</w:t>
                  </w:r>
                </w:p>
              </w:tc>
            </w:tr>
            <w:tr w14:paraId="7932B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13F6560C">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continue"/>
                  <w:vAlign w:val="center"/>
                </w:tcPr>
                <w:p w14:paraId="2DFF0C54">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1801" w:type="pct"/>
                  <w:vAlign w:val="center"/>
                </w:tcPr>
                <w:p w14:paraId="5647047A">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1小时平均</w:t>
                  </w:r>
                </w:p>
              </w:tc>
              <w:tc>
                <w:tcPr>
                  <w:tcW w:w="805" w:type="pct"/>
                  <w:vAlign w:val="center"/>
                </w:tcPr>
                <w:p w14:paraId="3848FFF5">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10</w:t>
                  </w:r>
                </w:p>
              </w:tc>
              <w:tc>
                <w:tcPr>
                  <w:tcW w:w="734" w:type="pct"/>
                  <w:vMerge w:val="continue"/>
                  <w:vAlign w:val="center"/>
                </w:tcPr>
                <w:p w14:paraId="585293AC">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r>
            <w:tr w14:paraId="699C2F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3CBB7B2E">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restart"/>
                  <w:vAlign w:val="center"/>
                </w:tcPr>
                <w:p w14:paraId="483C0B61">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O</w:t>
                  </w:r>
                  <w:r>
                    <w:rPr>
                      <w:rFonts w:ascii="Times New Roman"/>
                      <w:color w:val="000000" w:themeColor="text1"/>
                      <w:szCs w:val="21"/>
                      <w:vertAlign w:val="subscript"/>
                      <w14:textFill>
                        <w14:solidFill>
                          <w14:schemeClr w14:val="tx1"/>
                        </w14:solidFill>
                      </w14:textFill>
                    </w:rPr>
                    <w:t>3</w:t>
                  </w:r>
                </w:p>
              </w:tc>
              <w:tc>
                <w:tcPr>
                  <w:tcW w:w="1801" w:type="pct"/>
                  <w:vAlign w:val="center"/>
                </w:tcPr>
                <w:p w14:paraId="4DF8CDFD">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日最大8小时平均</w:t>
                  </w:r>
                </w:p>
              </w:tc>
              <w:tc>
                <w:tcPr>
                  <w:tcW w:w="805" w:type="pct"/>
                  <w:vAlign w:val="center"/>
                </w:tcPr>
                <w:p w14:paraId="0E9E336C">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160</w:t>
                  </w:r>
                </w:p>
              </w:tc>
              <w:tc>
                <w:tcPr>
                  <w:tcW w:w="734" w:type="pct"/>
                  <w:vMerge w:val="restart"/>
                  <w:vAlign w:val="center"/>
                </w:tcPr>
                <w:p w14:paraId="6753FB83">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μg/m</w:t>
                  </w:r>
                  <w:r>
                    <w:rPr>
                      <w:rFonts w:ascii="Times New Roman"/>
                      <w:color w:val="000000" w:themeColor="text1"/>
                      <w:szCs w:val="21"/>
                      <w:vertAlign w:val="superscript"/>
                      <w14:textFill>
                        <w14:solidFill>
                          <w14:schemeClr w14:val="tx1"/>
                        </w14:solidFill>
                      </w14:textFill>
                    </w:rPr>
                    <w:t>3</w:t>
                  </w:r>
                </w:p>
              </w:tc>
            </w:tr>
            <w:tr w14:paraId="1AED9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0B497260">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continue"/>
                  <w:vAlign w:val="center"/>
                </w:tcPr>
                <w:p w14:paraId="38A0C989">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1801" w:type="pct"/>
                  <w:vAlign w:val="center"/>
                </w:tcPr>
                <w:p w14:paraId="1E300E0C">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1小时平均</w:t>
                  </w:r>
                </w:p>
              </w:tc>
              <w:tc>
                <w:tcPr>
                  <w:tcW w:w="805" w:type="pct"/>
                  <w:vAlign w:val="center"/>
                </w:tcPr>
                <w:p w14:paraId="7B0D53FA">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200</w:t>
                  </w:r>
                </w:p>
              </w:tc>
              <w:tc>
                <w:tcPr>
                  <w:tcW w:w="734" w:type="pct"/>
                  <w:vMerge w:val="continue"/>
                  <w:vAlign w:val="center"/>
                </w:tcPr>
                <w:p w14:paraId="003764B2">
                  <w:pPr>
                    <w:pStyle w:val="57"/>
                    <w:framePr w:hSpace="0" w:wrap="auto" w:vAnchor="margin" w:hAnchor="text" w:xAlign="left" w:yAlign="inline"/>
                    <w:spacing w:line="300" w:lineRule="exact"/>
                    <w:jc w:val="left"/>
                    <w:rPr>
                      <w:rFonts w:ascii="Times New Roman"/>
                      <w:color w:val="000000" w:themeColor="text1"/>
                      <w:szCs w:val="21"/>
                      <w14:textFill>
                        <w14:solidFill>
                          <w14:schemeClr w14:val="tx1"/>
                        </w14:solidFill>
                      </w14:textFill>
                    </w:rPr>
                  </w:pPr>
                </w:p>
              </w:tc>
            </w:tr>
            <w:tr w14:paraId="5AF8D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5E31A3C9">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restart"/>
                  <w:vAlign w:val="center"/>
                </w:tcPr>
                <w:p w14:paraId="6184159E">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TSP</w:t>
                  </w:r>
                </w:p>
              </w:tc>
              <w:tc>
                <w:tcPr>
                  <w:tcW w:w="1801" w:type="pct"/>
                  <w:vAlign w:val="center"/>
                </w:tcPr>
                <w:p w14:paraId="44D08068">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年平均</w:t>
                  </w:r>
                </w:p>
              </w:tc>
              <w:tc>
                <w:tcPr>
                  <w:tcW w:w="805" w:type="pct"/>
                  <w:vAlign w:val="center"/>
                </w:tcPr>
                <w:p w14:paraId="477F345E">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200</w:t>
                  </w:r>
                </w:p>
              </w:tc>
              <w:tc>
                <w:tcPr>
                  <w:tcW w:w="734" w:type="pct"/>
                  <w:vMerge w:val="continue"/>
                  <w:vAlign w:val="center"/>
                </w:tcPr>
                <w:p w14:paraId="1246A5B5">
                  <w:pPr>
                    <w:pStyle w:val="57"/>
                    <w:framePr w:hSpace="0" w:wrap="auto" w:vAnchor="margin" w:hAnchor="text" w:xAlign="left" w:yAlign="inline"/>
                    <w:spacing w:line="300" w:lineRule="exact"/>
                    <w:jc w:val="left"/>
                    <w:rPr>
                      <w:rFonts w:ascii="Times New Roman"/>
                      <w:color w:val="000000" w:themeColor="text1"/>
                      <w:szCs w:val="21"/>
                      <w14:textFill>
                        <w14:solidFill>
                          <w14:schemeClr w14:val="tx1"/>
                        </w14:solidFill>
                      </w14:textFill>
                    </w:rPr>
                  </w:pPr>
                </w:p>
              </w:tc>
            </w:tr>
            <w:tr w14:paraId="29C01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27F95CE9">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continue"/>
                  <w:vAlign w:val="center"/>
                </w:tcPr>
                <w:p w14:paraId="031BC384">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1801" w:type="pct"/>
                  <w:vAlign w:val="center"/>
                </w:tcPr>
                <w:p w14:paraId="622DD703">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24小时平均</w:t>
                  </w:r>
                </w:p>
              </w:tc>
              <w:tc>
                <w:tcPr>
                  <w:tcW w:w="805" w:type="pct"/>
                  <w:vAlign w:val="center"/>
                </w:tcPr>
                <w:p w14:paraId="6BAE69B9">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300</w:t>
                  </w:r>
                </w:p>
              </w:tc>
              <w:tc>
                <w:tcPr>
                  <w:tcW w:w="734" w:type="pct"/>
                  <w:vMerge w:val="continue"/>
                  <w:vAlign w:val="center"/>
                </w:tcPr>
                <w:p w14:paraId="20D4757E">
                  <w:pPr>
                    <w:pStyle w:val="57"/>
                    <w:framePr w:hSpace="0" w:wrap="auto" w:vAnchor="margin" w:hAnchor="text" w:xAlign="left" w:yAlign="inline"/>
                    <w:spacing w:line="300" w:lineRule="exact"/>
                    <w:jc w:val="left"/>
                    <w:rPr>
                      <w:rFonts w:ascii="Times New Roman"/>
                      <w:color w:val="000000" w:themeColor="text1"/>
                      <w:szCs w:val="21"/>
                      <w14:textFill>
                        <w14:solidFill>
                          <w14:schemeClr w14:val="tx1"/>
                        </w14:solidFill>
                      </w14:textFill>
                    </w:rPr>
                  </w:pPr>
                </w:p>
              </w:tc>
            </w:tr>
            <w:tr w14:paraId="7C245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69B59786">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restart"/>
                  <w:vAlign w:val="center"/>
                </w:tcPr>
                <w:p w14:paraId="148CA555">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PM</w:t>
                  </w:r>
                  <w:r>
                    <w:rPr>
                      <w:rFonts w:ascii="Times New Roman"/>
                      <w:color w:val="000000" w:themeColor="text1"/>
                      <w:szCs w:val="21"/>
                      <w:vertAlign w:val="subscript"/>
                      <w14:textFill>
                        <w14:solidFill>
                          <w14:schemeClr w14:val="tx1"/>
                        </w14:solidFill>
                      </w14:textFill>
                    </w:rPr>
                    <w:t>10</w:t>
                  </w:r>
                </w:p>
              </w:tc>
              <w:tc>
                <w:tcPr>
                  <w:tcW w:w="1801" w:type="pct"/>
                  <w:vAlign w:val="center"/>
                </w:tcPr>
                <w:p w14:paraId="2E5893A5">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年平均</w:t>
                  </w:r>
                </w:p>
              </w:tc>
              <w:tc>
                <w:tcPr>
                  <w:tcW w:w="805" w:type="pct"/>
                  <w:vAlign w:val="center"/>
                </w:tcPr>
                <w:p w14:paraId="79D61A2B">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70</w:t>
                  </w:r>
                </w:p>
              </w:tc>
              <w:tc>
                <w:tcPr>
                  <w:tcW w:w="734" w:type="pct"/>
                  <w:vMerge w:val="continue"/>
                  <w:vAlign w:val="center"/>
                </w:tcPr>
                <w:p w14:paraId="5AC3ABA7">
                  <w:pPr>
                    <w:pStyle w:val="57"/>
                    <w:framePr w:hSpace="0" w:wrap="auto" w:vAnchor="margin" w:hAnchor="text" w:xAlign="left" w:yAlign="inline"/>
                    <w:spacing w:line="300" w:lineRule="exact"/>
                    <w:jc w:val="left"/>
                    <w:rPr>
                      <w:rFonts w:ascii="Times New Roman"/>
                      <w:color w:val="000000" w:themeColor="text1"/>
                      <w:szCs w:val="21"/>
                      <w14:textFill>
                        <w14:solidFill>
                          <w14:schemeClr w14:val="tx1"/>
                        </w14:solidFill>
                      </w14:textFill>
                    </w:rPr>
                  </w:pPr>
                </w:p>
              </w:tc>
            </w:tr>
            <w:tr w14:paraId="6FB10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04B261B0">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continue"/>
                  <w:tcBorders>
                    <w:bottom w:val="single" w:color="auto" w:sz="4" w:space="0"/>
                  </w:tcBorders>
                  <w:vAlign w:val="center"/>
                </w:tcPr>
                <w:p w14:paraId="78BD1F6A">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1801" w:type="pct"/>
                  <w:tcBorders>
                    <w:bottom w:val="single" w:color="auto" w:sz="4" w:space="0"/>
                  </w:tcBorders>
                  <w:vAlign w:val="center"/>
                </w:tcPr>
                <w:p w14:paraId="1286D386">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24小时平均</w:t>
                  </w:r>
                </w:p>
              </w:tc>
              <w:tc>
                <w:tcPr>
                  <w:tcW w:w="805" w:type="pct"/>
                  <w:vAlign w:val="center"/>
                </w:tcPr>
                <w:p w14:paraId="6BB2D8DA">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150</w:t>
                  </w:r>
                </w:p>
              </w:tc>
              <w:tc>
                <w:tcPr>
                  <w:tcW w:w="734" w:type="pct"/>
                  <w:vMerge w:val="continue"/>
                  <w:vAlign w:val="center"/>
                </w:tcPr>
                <w:p w14:paraId="5B12F9A7">
                  <w:pPr>
                    <w:pStyle w:val="57"/>
                    <w:framePr w:hSpace="0" w:wrap="auto" w:vAnchor="margin" w:hAnchor="text" w:xAlign="left" w:yAlign="inline"/>
                    <w:spacing w:line="300" w:lineRule="exact"/>
                    <w:jc w:val="left"/>
                    <w:rPr>
                      <w:rFonts w:ascii="Times New Roman"/>
                      <w:color w:val="000000" w:themeColor="text1"/>
                      <w:szCs w:val="21"/>
                      <w14:textFill>
                        <w14:solidFill>
                          <w14:schemeClr w14:val="tx1"/>
                        </w14:solidFill>
                      </w14:textFill>
                    </w:rPr>
                  </w:pPr>
                </w:p>
              </w:tc>
            </w:tr>
            <w:tr w14:paraId="45145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0DB1FE71">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restart"/>
                  <w:tcBorders>
                    <w:top w:val="single" w:color="auto" w:sz="4" w:space="0"/>
                  </w:tcBorders>
                  <w:vAlign w:val="center"/>
                </w:tcPr>
                <w:p w14:paraId="23D1466B">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PM</w:t>
                  </w:r>
                  <w:r>
                    <w:rPr>
                      <w:rFonts w:ascii="Times New Roman"/>
                      <w:color w:val="000000" w:themeColor="text1"/>
                      <w:szCs w:val="21"/>
                      <w:vertAlign w:val="subscript"/>
                      <w14:textFill>
                        <w14:solidFill>
                          <w14:schemeClr w14:val="tx1"/>
                        </w14:solidFill>
                      </w14:textFill>
                    </w:rPr>
                    <w:t>2.5</w:t>
                  </w:r>
                </w:p>
              </w:tc>
              <w:tc>
                <w:tcPr>
                  <w:tcW w:w="1801" w:type="pct"/>
                  <w:tcBorders>
                    <w:top w:val="single" w:color="auto" w:sz="4" w:space="0"/>
                  </w:tcBorders>
                  <w:vAlign w:val="center"/>
                </w:tcPr>
                <w:p w14:paraId="41B76D85">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年平均</w:t>
                  </w:r>
                </w:p>
              </w:tc>
              <w:tc>
                <w:tcPr>
                  <w:tcW w:w="805" w:type="pct"/>
                  <w:vAlign w:val="center"/>
                </w:tcPr>
                <w:p w14:paraId="30694AF4">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35</w:t>
                  </w:r>
                </w:p>
              </w:tc>
              <w:tc>
                <w:tcPr>
                  <w:tcW w:w="734" w:type="pct"/>
                  <w:vMerge w:val="continue"/>
                  <w:vAlign w:val="center"/>
                </w:tcPr>
                <w:p w14:paraId="4EF61F51">
                  <w:pPr>
                    <w:pStyle w:val="57"/>
                    <w:framePr w:hSpace="0" w:wrap="auto" w:vAnchor="margin" w:hAnchor="text" w:xAlign="left" w:yAlign="inline"/>
                    <w:spacing w:line="300" w:lineRule="exact"/>
                    <w:jc w:val="left"/>
                    <w:rPr>
                      <w:rFonts w:ascii="Times New Roman"/>
                      <w:color w:val="000000" w:themeColor="text1"/>
                      <w:szCs w:val="21"/>
                      <w14:textFill>
                        <w14:solidFill>
                          <w14:schemeClr w14:val="tx1"/>
                        </w14:solidFill>
                      </w14:textFill>
                    </w:rPr>
                  </w:pPr>
                </w:p>
              </w:tc>
            </w:tr>
            <w:tr w14:paraId="7115D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86" w:type="pct"/>
                  <w:vMerge w:val="continue"/>
                  <w:vAlign w:val="center"/>
                </w:tcPr>
                <w:p w14:paraId="4203605B">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871" w:type="pct"/>
                  <w:vMerge w:val="continue"/>
                  <w:vAlign w:val="center"/>
                </w:tcPr>
                <w:p w14:paraId="5AF9C145">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p>
              </w:tc>
              <w:tc>
                <w:tcPr>
                  <w:tcW w:w="1801" w:type="pct"/>
                  <w:vAlign w:val="center"/>
                </w:tcPr>
                <w:p w14:paraId="121B64EA">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24小时平均</w:t>
                  </w:r>
                </w:p>
              </w:tc>
              <w:tc>
                <w:tcPr>
                  <w:tcW w:w="805" w:type="pct"/>
                  <w:vAlign w:val="center"/>
                </w:tcPr>
                <w:p w14:paraId="02AE7201">
                  <w:pPr>
                    <w:pStyle w:val="57"/>
                    <w:framePr w:hSpace="0" w:wrap="auto" w:vAnchor="margin" w:hAnchor="text" w:xAlign="left" w:yAlign="inline"/>
                    <w:spacing w:line="30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75</w:t>
                  </w:r>
                </w:p>
              </w:tc>
              <w:tc>
                <w:tcPr>
                  <w:tcW w:w="734" w:type="pct"/>
                  <w:vMerge w:val="continue"/>
                  <w:vAlign w:val="center"/>
                </w:tcPr>
                <w:p w14:paraId="004DCC30">
                  <w:pPr>
                    <w:pStyle w:val="57"/>
                    <w:framePr w:hSpace="0" w:wrap="auto" w:vAnchor="margin" w:hAnchor="text" w:xAlign="left" w:yAlign="inline"/>
                    <w:spacing w:line="300" w:lineRule="exact"/>
                    <w:jc w:val="left"/>
                    <w:rPr>
                      <w:rFonts w:ascii="Times New Roman"/>
                      <w:color w:val="000000" w:themeColor="text1"/>
                      <w:szCs w:val="21"/>
                      <w14:textFill>
                        <w14:solidFill>
                          <w14:schemeClr w14:val="tx1"/>
                        </w14:solidFill>
                      </w14:textFill>
                    </w:rPr>
                  </w:pPr>
                </w:p>
              </w:tc>
            </w:tr>
          </w:tbl>
          <w:p w14:paraId="52B95636">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2、声环境</w:t>
            </w:r>
          </w:p>
          <w:p w14:paraId="7A17A7E9">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输电线路沿线执行《声环境质量标准》 （GB3096-2008）中的1类标准限值，即昼间≤55dB（A），夜间≤45dB（A）。</w:t>
            </w:r>
          </w:p>
          <w:p w14:paraId="298BE817">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3、电磁环境评价标准</w:t>
            </w:r>
          </w:p>
          <w:p w14:paraId="1B65A70F">
            <w:pPr>
              <w:adjustRightInd w:val="0"/>
              <w:snapToGrid w:val="0"/>
              <w:spacing w:line="480" w:lineRule="exact"/>
              <w:ind w:firstLine="420" w:firstLineChars="200"/>
              <w:jc w:val="left"/>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工频电场强度、工频磁感应强度执行《电磁环境控制限值》（GB8702-2014）中0.05kHz对应的公众曝露控制限值，具体指标参见表3-</w:t>
            </w:r>
            <w:r>
              <w:rPr>
                <w:rFonts w:hint="eastAsia"/>
                <w:color w:val="000000" w:themeColor="text1"/>
                <w:szCs w:val="21"/>
                <w:lang w:val="en-US" w:eastAsia="zh-CN"/>
                <w14:textFill>
                  <w14:solidFill>
                    <w14:schemeClr w14:val="tx1"/>
                  </w14:solidFill>
                </w14:textFill>
              </w:rPr>
              <w:t>10</w:t>
            </w:r>
            <w:r>
              <w:rPr>
                <w:rFonts w:hint="eastAsia"/>
                <w:color w:val="000000" w:themeColor="text1"/>
                <w:szCs w:val="21"/>
                <w14:textFill>
                  <w14:solidFill>
                    <w14:schemeClr w14:val="tx1"/>
                  </w14:solidFill>
                </w14:textFill>
              </w:rPr>
              <w:t>：</w:t>
            </w:r>
          </w:p>
          <w:p w14:paraId="175C9E4B">
            <w:pPr>
              <w:adjustRightInd w:val="0"/>
              <w:snapToGrid w:val="0"/>
              <w:spacing w:line="480" w:lineRule="exact"/>
              <w:jc w:val="center"/>
              <w:rPr>
                <w:rFonts w:hint="eastAsia"/>
                <w:b/>
                <w:bCs/>
                <w:color w:val="000000" w:themeColor="text1"/>
                <w:szCs w:val="21"/>
                <w14:textFill>
                  <w14:solidFill>
                    <w14:schemeClr w14:val="tx1"/>
                  </w14:solidFill>
                </w14:textFill>
              </w:rPr>
            </w:pPr>
          </w:p>
          <w:p w14:paraId="3EEFC051">
            <w:pPr>
              <w:adjustRightInd w:val="0"/>
              <w:snapToGrid w:val="0"/>
              <w:spacing w:line="480" w:lineRule="exact"/>
              <w:jc w:val="center"/>
              <w:rPr>
                <w:rFonts w:hint="eastAsia"/>
                <w:b/>
                <w:bCs/>
                <w:color w:val="000000" w:themeColor="text1"/>
                <w:szCs w:val="21"/>
                <w14:textFill>
                  <w14:solidFill>
                    <w14:schemeClr w14:val="tx1"/>
                  </w14:solidFill>
                </w14:textFill>
              </w:rPr>
            </w:pPr>
          </w:p>
          <w:p w14:paraId="5709DD33">
            <w:pPr>
              <w:adjustRightInd w:val="0"/>
              <w:snapToGrid w:val="0"/>
              <w:spacing w:line="480" w:lineRule="exact"/>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10</w:t>
            </w:r>
            <w:r>
              <w:rPr>
                <w:rFonts w:hint="eastAsia"/>
                <w:b/>
                <w:bCs/>
                <w:color w:val="000000" w:themeColor="text1"/>
                <w:szCs w:val="21"/>
                <w14:textFill>
                  <w14:solidFill>
                    <w14:schemeClr w14:val="tx1"/>
                  </w14:solidFill>
                </w14:textFill>
              </w:rPr>
              <w:t xml:space="preserve"> </w:t>
            </w:r>
            <w:r>
              <w:rPr>
                <w:rFonts w:hint="eastAsia"/>
                <w:b/>
                <w:bCs/>
                <w:color w:val="000000" w:themeColor="text1"/>
                <w:kern w:val="0"/>
                <w:szCs w:val="21"/>
                <w14:textFill>
                  <w14:solidFill>
                    <w14:schemeClr w14:val="tx1"/>
                  </w14:solidFill>
                </w14:textFill>
              </w:rPr>
              <w:t>电磁环境评价标准</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494"/>
              <w:gridCol w:w="1523"/>
              <w:gridCol w:w="1762"/>
              <w:gridCol w:w="1737"/>
            </w:tblGrid>
            <w:tr w14:paraId="72E0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pct"/>
                  <w:vAlign w:val="center"/>
                </w:tcPr>
                <w:p w14:paraId="6358B38C">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频率</w:t>
                  </w:r>
                </w:p>
              </w:tc>
              <w:tc>
                <w:tcPr>
                  <w:tcW w:w="977" w:type="pct"/>
                  <w:vAlign w:val="center"/>
                </w:tcPr>
                <w:p w14:paraId="2C1530D7">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电场强度E（V</w:t>
                  </w:r>
                  <w:r>
                    <w:rPr>
                      <w:b/>
                      <w:bCs/>
                      <w:color w:val="000000" w:themeColor="text1"/>
                      <w:szCs w:val="21"/>
                      <w14:textFill>
                        <w14:solidFill>
                          <w14:schemeClr w14:val="tx1"/>
                        </w14:solidFill>
                      </w14:textFill>
                    </w:rPr>
                    <w:t>/m</w:t>
                  </w:r>
                  <w:r>
                    <w:rPr>
                      <w:rFonts w:hint="eastAsia"/>
                      <w:b/>
                      <w:bCs/>
                      <w:color w:val="000000" w:themeColor="text1"/>
                      <w:szCs w:val="21"/>
                      <w14:textFill>
                        <w14:solidFill>
                          <w14:schemeClr w14:val="tx1"/>
                        </w14:solidFill>
                      </w14:textFill>
                    </w:rPr>
                    <w:t>）</w:t>
                  </w:r>
                </w:p>
              </w:tc>
              <w:tc>
                <w:tcPr>
                  <w:tcW w:w="996" w:type="pct"/>
                  <w:vAlign w:val="center"/>
                </w:tcPr>
                <w:p w14:paraId="246DB2AF">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磁场强度H（A</w:t>
                  </w:r>
                  <w:r>
                    <w:rPr>
                      <w:b/>
                      <w:bCs/>
                      <w:color w:val="000000" w:themeColor="text1"/>
                      <w:szCs w:val="21"/>
                      <w14:textFill>
                        <w14:solidFill>
                          <w14:schemeClr w14:val="tx1"/>
                        </w14:solidFill>
                      </w14:textFill>
                    </w:rPr>
                    <w:t>/m</w:t>
                  </w:r>
                  <w:r>
                    <w:rPr>
                      <w:rFonts w:hint="eastAsia"/>
                      <w:b/>
                      <w:bCs/>
                      <w:color w:val="000000" w:themeColor="text1"/>
                      <w:szCs w:val="21"/>
                      <w14:textFill>
                        <w14:solidFill>
                          <w14:schemeClr w14:val="tx1"/>
                        </w14:solidFill>
                      </w14:textFill>
                    </w:rPr>
                    <w:t>）</w:t>
                  </w:r>
                </w:p>
              </w:tc>
              <w:tc>
                <w:tcPr>
                  <w:tcW w:w="1152" w:type="pct"/>
                  <w:vAlign w:val="center"/>
                </w:tcPr>
                <w:p w14:paraId="6C275A3E">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磁感应强度B（</w:t>
                  </w:r>
                  <w:r>
                    <w:rPr>
                      <w:b/>
                      <w:bCs/>
                      <w:color w:val="000000" w:themeColor="text1"/>
                      <w:szCs w:val="21"/>
                      <w14:textFill>
                        <w14:solidFill>
                          <w14:schemeClr w14:val="tx1"/>
                        </w14:solidFill>
                      </w14:textFill>
                    </w:rPr>
                    <w:t>μ</w:t>
                  </w:r>
                  <w:r>
                    <w:rPr>
                      <w:rFonts w:hint="eastAsia"/>
                      <w:b/>
                      <w:bCs/>
                      <w:color w:val="000000" w:themeColor="text1"/>
                      <w:szCs w:val="21"/>
                      <w14:textFill>
                        <w14:solidFill>
                          <w14:schemeClr w14:val="tx1"/>
                        </w14:solidFill>
                      </w14:textFill>
                    </w:rPr>
                    <w:t>T）</w:t>
                  </w:r>
                </w:p>
              </w:tc>
              <w:tc>
                <w:tcPr>
                  <w:tcW w:w="1136" w:type="pct"/>
                  <w:vAlign w:val="center"/>
                </w:tcPr>
                <w:p w14:paraId="53FC35DA">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等效平面波功率密度Se</w:t>
                  </w:r>
                  <w:r>
                    <w:rPr>
                      <w:b/>
                      <w:bCs/>
                      <w:color w:val="000000" w:themeColor="text1"/>
                      <w:szCs w:val="21"/>
                      <w14:textFill>
                        <w14:solidFill>
                          <w14:schemeClr w14:val="tx1"/>
                        </w14:solidFill>
                      </w14:textFill>
                    </w:rPr>
                    <w:t>q</w:t>
                  </w:r>
                  <w:r>
                    <w:rPr>
                      <w:rFonts w:hint="eastAsia"/>
                      <w:b/>
                      <w:bCs/>
                      <w:color w:val="000000" w:themeColor="text1"/>
                      <w:szCs w:val="21"/>
                      <w14:textFill>
                        <w14:solidFill>
                          <w14:schemeClr w14:val="tx1"/>
                        </w14:solidFill>
                      </w14:textFill>
                    </w:rPr>
                    <w:t>（W</w:t>
                  </w:r>
                  <w:r>
                    <w:rPr>
                      <w:b/>
                      <w:bCs/>
                      <w:color w:val="000000" w:themeColor="text1"/>
                      <w:szCs w:val="21"/>
                      <w14:textFill>
                        <w14:solidFill>
                          <w14:schemeClr w14:val="tx1"/>
                        </w14:solidFill>
                      </w14:textFill>
                    </w:rPr>
                    <w:t>/m</w:t>
                  </w:r>
                  <w:r>
                    <w:rPr>
                      <w:b/>
                      <w:bCs/>
                      <w:color w:val="000000" w:themeColor="text1"/>
                      <w:szCs w:val="21"/>
                      <w:vertAlign w:val="superscript"/>
                      <w14:textFill>
                        <w14:solidFill>
                          <w14:schemeClr w14:val="tx1"/>
                        </w14:solidFill>
                      </w14:textFill>
                    </w:rPr>
                    <w:t>2</w:t>
                  </w:r>
                  <w:r>
                    <w:rPr>
                      <w:rFonts w:hint="eastAsia"/>
                      <w:b/>
                      <w:bCs/>
                      <w:color w:val="000000" w:themeColor="text1"/>
                      <w:szCs w:val="21"/>
                      <w14:textFill>
                        <w14:solidFill>
                          <w14:schemeClr w14:val="tx1"/>
                        </w14:solidFill>
                      </w14:textFill>
                    </w:rPr>
                    <w:t>）</w:t>
                  </w:r>
                </w:p>
              </w:tc>
            </w:tr>
            <w:tr w14:paraId="5174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pct"/>
                  <w:vAlign w:val="center"/>
                </w:tcPr>
                <w:p w14:paraId="1E5BE0ED">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r>
                    <w:rPr>
                      <w:rFonts w:hint="eastAsia"/>
                      <w:color w:val="000000" w:themeColor="text1"/>
                      <w:szCs w:val="21"/>
                      <w14:textFill>
                        <w14:solidFill>
                          <w14:schemeClr w14:val="tx1"/>
                        </w14:solidFill>
                      </w14:textFill>
                    </w:rPr>
                    <w:t>kHz</w:t>
                  </w:r>
                </w:p>
              </w:tc>
              <w:tc>
                <w:tcPr>
                  <w:tcW w:w="977" w:type="pct"/>
                  <w:vAlign w:val="center"/>
                </w:tcPr>
                <w:p w14:paraId="0CECCA23">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996" w:type="pct"/>
                  <w:vAlign w:val="center"/>
                </w:tcPr>
                <w:p w14:paraId="6179ED8C">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1152" w:type="pct"/>
                  <w:vAlign w:val="center"/>
                </w:tcPr>
                <w:p w14:paraId="48A5975D">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136" w:type="pct"/>
                  <w:vAlign w:val="center"/>
                </w:tcPr>
                <w:p w14:paraId="48D46899">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14:paraId="1F42D3BC">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电线路沿线区域的工频电场强度执行4kV/m的公众曝露控制限值的要求，工频磁感应强度执行100μT的公众曝露控制限值的要求。架空输电线路线下的耕地、园地、牧草地、畜禽饲养地、养殖水面、道路等场所，电场强度控制限值为 10kV/m，且应给出警示和防护指示标志。</w:t>
            </w:r>
          </w:p>
          <w:p w14:paraId="488FDCDD">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（二）污染物排放标准</w:t>
            </w:r>
          </w:p>
          <w:p w14:paraId="3F9669B3">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1、废气</w:t>
            </w:r>
          </w:p>
          <w:p w14:paraId="18C07CD9">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本项目施工期扬尘执行《施工场地扬尘排放标准》（DB 13/2934-2019）表1扬尘排放浓度限值</w:t>
            </w:r>
            <w:r>
              <w:rPr>
                <w:rFonts w:hint="eastAsia"/>
                <w:color w:val="000000" w:themeColor="text1"/>
                <w14:textFill>
                  <w14:solidFill>
                    <w14:schemeClr w14:val="tx1"/>
                  </w14:solidFill>
                </w14:textFill>
              </w:rPr>
              <w:t>；本项目运营期无废气产生</w:t>
            </w:r>
            <w:r>
              <w:rPr>
                <w:rFonts w:hint="eastAsia"/>
                <w:color w:val="000000" w:themeColor="text1"/>
                <w:szCs w:val="21"/>
                <w14:textFill>
                  <w14:solidFill>
                    <w14:schemeClr w14:val="tx1"/>
                  </w14:solidFill>
                </w14:textFill>
              </w:rPr>
              <w:t>。</w:t>
            </w:r>
          </w:p>
          <w:p w14:paraId="1E54BF5C">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2、废水</w:t>
            </w:r>
          </w:p>
          <w:p w14:paraId="5E78AEDA">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本项目施工期将生活污水用于洒水降尘、道路清扫，无污水外排；运营期无污水产生和排放；</w:t>
            </w:r>
            <w:r>
              <w:rPr>
                <w:rFonts w:hint="eastAsia"/>
                <w:color w:val="000000" w:themeColor="text1"/>
                <w14:textFill>
                  <w14:solidFill>
                    <w14:schemeClr w14:val="tx1"/>
                  </w14:solidFill>
                </w14:textFill>
              </w:rPr>
              <w:t>本运营期无生产废水产生</w:t>
            </w:r>
            <w:r>
              <w:rPr>
                <w:rFonts w:hint="eastAsia"/>
                <w:color w:val="000000" w:themeColor="text1"/>
                <w:szCs w:val="21"/>
                <w14:textFill>
                  <w14:solidFill>
                    <w14:schemeClr w14:val="tx1"/>
                  </w14:solidFill>
                </w14:textFill>
              </w:rPr>
              <w:t>。</w:t>
            </w:r>
          </w:p>
          <w:p w14:paraId="42483660">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3、噪声</w:t>
            </w:r>
          </w:p>
          <w:p w14:paraId="3C6B7C83">
            <w:pPr>
              <w:adjustRightInd w:val="0"/>
              <w:snapToGrid w:val="0"/>
              <w:spacing w:line="480" w:lineRule="exact"/>
              <w:ind w:firstLine="420" w:firstLineChars="200"/>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本项目施工期噪声执行《建筑施工场界环境噪声排放标准》（GB12523-2011）标准，昼间70dB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A</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，夜间55dB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A</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w:t>
            </w:r>
          </w:p>
          <w:p w14:paraId="655953C9">
            <w:pPr>
              <w:adjustRightInd w:val="0"/>
              <w:snapToGrid w:val="0"/>
              <w:spacing w:line="480" w:lineRule="exact"/>
              <w:ind w:firstLine="420" w:firstLineChars="200"/>
              <w:jc w:val="left"/>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本项目架空线路周围声环境保护目标执行《声环境质量标准》（GB3096-2008）1类标准。</w:t>
            </w:r>
          </w:p>
          <w:p w14:paraId="4E79F6C8">
            <w:pPr>
              <w:numPr>
                <w:ilvl w:val="0"/>
                <w:numId w:val="2"/>
              </w:num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电磁环境</w:t>
            </w:r>
          </w:p>
          <w:p w14:paraId="2ECE47C8">
            <w:pPr>
              <w:adjustRightInd w:val="0"/>
              <w:snapToGrid w:val="0"/>
              <w:spacing w:line="480" w:lineRule="exact"/>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依据《电磁环境控制限值》（GB </w:t>
            </w:r>
            <w:r>
              <w:rPr>
                <w:rFonts w:hint="eastAsia"/>
                <w:color w:val="000000" w:themeColor="text1"/>
                <w:szCs w:val="21"/>
                <w:lang w:val="en-US" w:eastAsia="zh-CN"/>
                <w14:textFill>
                  <w14:solidFill>
                    <w14:schemeClr w14:val="tx1"/>
                  </w14:solidFill>
                </w14:textFill>
              </w:rPr>
              <w:t>8702</w:t>
            </w:r>
            <w:r>
              <w:rPr>
                <w:rFonts w:hint="eastAsia"/>
                <w:color w:val="000000" w:themeColor="text1"/>
                <w:szCs w:val="21"/>
                <w14:textFill>
                  <w14:solidFill>
                    <w14:schemeClr w14:val="tx1"/>
                  </w14:solidFill>
                </w14:textFill>
              </w:rPr>
              <w:t>-2014）中公众曝露控制限值执行，我国输变电工程的工作频率为 0.05kHz，因此工频电场强度执行4000V/m的公众曝露控制限值的要求，工频磁感应强度执行100</w:t>
            </w:r>
            <w:r>
              <w:rPr>
                <w:color w:val="000000" w:themeColor="text1"/>
                <w:szCs w:val="21"/>
                <w14:textFill>
                  <w14:solidFill>
                    <w14:schemeClr w14:val="tx1"/>
                  </w14:solidFill>
                </w14:textFill>
              </w:rPr>
              <w:t>μ</w:t>
            </w:r>
            <w:r>
              <w:rPr>
                <w:rFonts w:hint="eastAsia"/>
                <w:color w:val="000000" w:themeColor="text1"/>
                <w:szCs w:val="21"/>
                <w14:textFill>
                  <w14:solidFill>
                    <w14:schemeClr w14:val="tx1"/>
                  </w14:solidFill>
                </w14:textFill>
              </w:rPr>
              <w:t>T的公众曝露控制限值的要求。架空输电线路线下的耕地、园地、牧草地、畜禽饲养地、养殖水面、道路等场所，其频率50Hz的电场强度控制限值为10kV/m，且应给出警示和防护指示标志。</w:t>
            </w:r>
          </w:p>
          <w:p w14:paraId="3C0EB462">
            <w:pPr>
              <w:adjustRightInd w:val="0"/>
              <w:snapToGrid w:val="0"/>
              <w:spacing w:line="480" w:lineRule="exact"/>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11</w:t>
            </w:r>
            <w:r>
              <w:rPr>
                <w:rFonts w:hint="eastAsia"/>
                <w:b/>
                <w:bCs/>
                <w:color w:val="000000" w:themeColor="text1"/>
                <w:szCs w:val="21"/>
                <w14:textFill>
                  <w14:solidFill>
                    <w14:schemeClr w14:val="tx1"/>
                  </w14:solidFill>
                </w14:textFill>
              </w:rPr>
              <w:t xml:space="preserve"> </w:t>
            </w:r>
            <w:r>
              <w:rPr>
                <w:rFonts w:hint="eastAsia"/>
                <w:b/>
                <w:bCs/>
                <w:color w:val="000000" w:themeColor="text1"/>
                <w:kern w:val="0"/>
                <w:szCs w:val="21"/>
                <w14:textFill>
                  <w14:solidFill>
                    <w14:schemeClr w14:val="tx1"/>
                  </w14:solidFill>
                </w14:textFill>
              </w:rPr>
              <w:t>污染物排放标准</w:t>
            </w:r>
          </w:p>
          <w:tbl>
            <w:tblPr>
              <w:tblStyle w:val="23"/>
              <w:tblW w:w="7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4038"/>
              <w:gridCol w:w="2518"/>
            </w:tblGrid>
            <w:tr w14:paraId="3FDE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vAlign w:val="center"/>
                </w:tcPr>
                <w:p w14:paraId="5A5B68AD">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要素类别</w:t>
                  </w:r>
                </w:p>
              </w:tc>
              <w:tc>
                <w:tcPr>
                  <w:tcW w:w="4038" w:type="dxa"/>
                  <w:vAlign w:val="center"/>
                </w:tcPr>
                <w:p w14:paraId="311CE59D">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标准限值</w:t>
                  </w:r>
                </w:p>
              </w:tc>
              <w:tc>
                <w:tcPr>
                  <w:tcW w:w="2518" w:type="dxa"/>
                  <w:vAlign w:val="center"/>
                </w:tcPr>
                <w:p w14:paraId="10A821E7">
                  <w:pPr>
                    <w:widowControl/>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标准来源</w:t>
                  </w:r>
                </w:p>
              </w:tc>
            </w:tr>
            <w:tr w14:paraId="15E0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vAlign w:val="center"/>
                </w:tcPr>
                <w:p w14:paraId="75ADF1E7">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工频电场强度</w:t>
                  </w:r>
                </w:p>
              </w:tc>
              <w:tc>
                <w:tcPr>
                  <w:tcW w:w="4038" w:type="dxa"/>
                  <w:vAlign w:val="center"/>
                </w:tcPr>
                <w:p w14:paraId="63CB2193">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架空输电线路线下的耕地、园地、牧草地、畜禽饲养地、养殖水面、道路等场所，其频率50Hz的电场强度控制限值为10kV/m，且应给出警示和防护指示标志。其他区域执行 4kV/m。</w:t>
                  </w:r>
                </w:p>
              </w:tc>
              <w:tc>
                <w:tcPr>
                  <w:tcW w:w="2518" w:type="dxa"/>
                  <w:vMerge w:val="restart"/>
                  <w:vAlign w:val="center"/>
                </w:tcPr>
                <w:p w14:paraId="7D8C7DB2">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《电磁环境控制限值》 （GB8702-2014）</w:t>
                  </w:r>
                </w:p>
              </w:tc>
            </w:tr>
            <w:tr w14:paraId="774A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vAlign w:val="center"/>
                </w:tcPr>
                <w:p w14:paraId="29390DE2">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工频磁感应强度</w:t>
                  </w:r>
                </w:p>
              </w:tc>
              <w:tc>
                <w:tcPr>
                  <w:tcW w:w="4038" w:type="dxa"/>
                  <w:vAlign w:val="center"/>
                </w:tcPr>
                <w:p w14:paraId="26F229DD">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100μT</w:t>
                  </w:r>
                </w:p>
              </w:tc>
              <w:tc>
                <w:tcPr>
                  <w:tcW w:w="2518" w:type="dxa"/>
                  <w:vMerge w:val="continue"/>
                  <w:vAlign w:val="center"/>
                </w:tcPr>
                <w:p w14:paraId="73FCF344">
                  <w:pPr>
                    <w:widowControl/>
                    <w:adjustRightInd w:val="0"/>
                    <w:snapToGrid w:val="0"/>
                    <w:jc w:val="center"/>
                    <w:rPr>
                      <w:color w:val="000000" w:themeColor="text1"/>
                      <w:szCs w:val="21"/>
                      <w14:textFill>
                        <w14:solidFill>
                          <w14:schemeClr w14:val="tx1"/>
                        </w14:solidFill>
                      </w14:textFill>
                    </w:rPr>
                  </w:pPr>
                </w:p>
              </w:tc>
            </w:tr>
            <w:tr w14:paraId="4DE3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vAlign w:val="center"/>
                </w:tcPr>
                <w:p w14:paraId="71FB4D53">
                  <w:pPr>
                    <w:widowControl/>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线路噪声</w:t>
                  </w:r>
                </w:p>
              </w:tc>
              <w:tc>
                <w:tcPr>
                  <w:tcW w:w="4038" w:type="dxa"/>
                  <w:vAlign w:val="center"/>
                </w:tcPr>
                <w:p w14:paraId="78BF1D93">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r>
                    <w:rPr>
                      <w:rFonts w:hint="eastAsia"/>
                      <w:color w:val="000000" w:themeColor="text1"/>
                      <w:szCs w:val="21"/>
                      <w:lang w:val="en-US" w:eastAsia="zh-CN"/>
                      <w14:textFill>
                        <w14:solidFill>
                          <w14:schemeClr w14:val="tx1"/>
                        </w14:solidFill>
                      </w14:textFill>
                    </w:rPr>
                    <w:t>55</w:t>
                  </w:r>
                  <w:r>
                    <w:rPr>
                      <w:color w:val="000000" w:themeColor="text1"/>
                      <w:szCs w:val="21"/>
                      <w14:textFill>
                        <w14:solidFill>
                          <w14:schemeClr w14:val="tx1"/>
                        </w14:solidFill>
                      </w14:textFill>
                    </w:rPr>
                    <w:t>dB</w:t>
                  </w:r>
                  <w:r>
                    <w:rPr>
                      <w:rFonts w:hint="eastAsia"/>
                      <w:color w:val="000000" w:themeColor="text1"/>
                      <w:szCs w:val="21"/>
                      <w14:textFill>
                        <w14:solidFill>
                          <w14:schemeClr w14:val="tx1"/>
                        </w14:solidFill>
                      </w14:textFill>
                    </w:rPr>
                    <w:t>（A）</w:t>
                  </w:r>
                </w:p>
                <w:p w14:paraId="6A6D2D63">
                  <w:pPr>
                    <w:widowControl/>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5dB</w:t>
                  </w:r>
                  <w:r>
                    <w:rPr>
                      <w:rFonts w:hint="eastAsia"/>
                      <w:color w:val="000000" w:themeColor="text1"/>
                      <w:szCs w:val="21"/>
                      <w14:textFill>
                        <w14:solidFill>
                          <w14:schemeClr w14:val="tx1"/>
                        </w14:solidFill>
                      </w14:textFill>
                    </w:rPr>
                    <w:t>（A）</w:t>
                  </w:r>
                </w:p>
              </w:tc>
              <w:tc>
                <w:tcPr>
                  <w:tcW w:w="2518" w:type="dxa"/>
                  <w:vAlign w:val="center"/>
                </w:tcPr>
                <w:p w14:paraId="7D1C7C3E">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《声环境质量标准》（GB3096-2008）1类标准</w:t>
                  </w:r>
                </w:p>
              </w:tc>
            </w:tr>
            <w:tr w14:paraId="0DCC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vAlign w:val="center"/>
                </w:tcPr>
                <w:p w14:paraId="54E554F5">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施工噪声</w:t>
                  </w:r>
                </w:p>
              </w:tc>
              <w:tc>
                <w:tcPr>
                  <w:tcW w:w="4038" w:type="dxa"/>
                  <w:vAlign w:val="center"/>
                </w:tcPr>
                <w:p w14:paraId="64AF4445">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r>
                    <w:rPr>
                      <w:color w:val="000000" w:themeColor="text1"/>
                      <w:szCs w:val="21"/>
                      <w14:textFill>
                        <w14:solidFill>
                          <w14:schemeClr w14:val="tx1"/>
                        </w14:solidFill>
                      </w14:textFill>
                    </w:rPr>
                    <w:t>70dB</w:t>
                  </w:r>
                  <w:r>
                    <w:rPr>
                      <w:rFonts w:hint="eastAsia"/>
                      <w:color w:val="000000" w:themeColor="text1"/>
                      <w:szCs w:val="21"/>
                      <w14:textFill>
                        <w14:solidFill>
                          <w14:schemeClr w14:val="tx1"/>
                        </w14:solidFill>
                      </w14:textFill>
                    </w:rPr>
                    <w:t>（A）</w:t>
                  </w:r>
                </w:p>
                <w:p w14:paraId="2B8C492F">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r>
                    <w:rPr>
                      <w:color w:val="000000" w:themeColor="text1"/>
                      <w:szCs w:val="21"/>
                      <w14:textFill>
                        <w14:solidFill>
                          <w14:schemeClr w14:val="tx1"/>
                        </w14:solidFill>
                      </w14:textFill>
                    </w:rPr>
                    <w:t>55dB</w:t>
                  </w:r>
                  <w:r>
                    <w:rPr>
                      <w:rFonts w:hint="eastAsia"/>
                      <w:color w:val="000000" w:themeColor="text1"/>
                      <w:szCs w:val="21"/>
                      <w14:textFill>
                        <w14:solidFill>
                          <w14:schemeClr w14:val="tx1"/>
                        </w14:solidFill>
                      </w14:textFill>
                    </w:rPr>
                    <w:t>（A）</w:t>
                  </w:r>
                </w:p>
              </w:tc>
              <w:tc>
                <w:tcPr>
                  <w:tcW w:w="2518" w:type="dxa"/>
                  <w:vAlign w:val="center"/>
                </w:tcPr>
                <w:p w14:paraId="1EF266E3">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《建筑施工场界环境噪声排放标准》（GB12523-2011）标准</w:t>
                  </w:r>
                </w:p>
              </w:tc>
            </w:tr>
            <w:tr w14:paraId="1866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vAlign w:val="center"/>
                </w:tcPr>
                <w:p w14:paraId="02C74ABA">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施工期扬尘</w:t>
                  </w:r>
                </w:p>
              </w:tc>
              <w:tc>
                <w:tcPr>
                  <w:tcW w:w="4038" w:type="dxa"/>
                  <w:vAlign w:val="center"/>
                </w:tcPr>
                <w:p w14:paraId="54091E76">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80μ</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p>
              </w:tc>
              <w:tc>
                <w:tcPr>
                  <w:tcW w:w="2518" w:type="dxa"/>
                  <w:vAlign w:val="center"/>
                </w:tcPr>
                <w:p w14:paraId="0D470453">
                  <w:pPr>
                    <w:widowControl/>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《施工场地扬尘排放标准》</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DB13/2934-2019</w:t>
                  </w:r>
                  <w:r>
                    <w:rPr>
                      <w:rFonts w:hint="eastAsia"/>
                      <w:color w:val="000000" w:themeColor="text1"/>
                      <w:szCs w:val="21"/>
                      <w:lang w:eastAsia="zh-CN"/>
                      <w14:textFill>
                        <w14:solidFill>
                          <w14:schemeClr w14:val="tx1"/>
                        </w14:solidFill>
                      </w14:textFill>
                    </w:rPr>
                    <w:t>）</w:t>
                  </w:r>
                </w:p>
              </w:tc>
            </w:tr>
            <w:tr w14:paraId="15BC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59" w:type="dxa"/>
                  <w:gridSpan w:val="3"/>
                  <w:vAlign w:val="center"/>
                </w:tcPr>
                <w:p w14:paraId="09BB0944">
                  <w:pPr>
                    <w:widowControl/>
                    <w:adjustRightInd w:val="0"/>
                    <w:snapToGrid w:val="0"/>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备注：*PM</w:t>
                  </w:r>
                  <w:r>
                    <w:rPr>
                      <w:rFonts w:hint="eastAsia"/>
                      <w:color w:val="000000" w:themeColor="text1"/>
                      <w:szCs w:val="21"/>
                      <w:vertAlign w:val="subscript"/>
                      <w14:textFill>
                        <w14:solidFill>
                          <w14:schemeClr w14:val="tx1"/>
                        </w14:solidFill>
                      </w14:textFill>
                    </w:rPr>
                    <w:t>10</w:t>
                  </w:r>
                  <w:r>
                    <w:rPr>
                      <w:rFonts w:hint="eastAsia"/>
                      <w:color w:val="000000" w:themeColor="text1"/>
                      <w:szCs w:val="21"/>
                      <w14:textFill>
                        <w14:solidFill>
                          <w14:schemeClr w14:val="tx1"/>
                        </w14:solidFill>
                      </w14:textFill>
                    </w:rPr>
                    <w:t>排放标准为监测点浓度限值指监测点PM</w:t>
                  </w:r>
                  <w:r>
                    <w:rPr>
                      <w:rFonts w:hint="eastAsia"/>
                      <w:color w:val="000000" w:themeColor="text1"/>
                      <w:szCs w:val="21"/>
                      <w:vertAlign w:val="subscript"/>
                      <w14:textFill>
                        <w14:solidFill>
                          <w14:schemeClr w14:val="tx1"/>
                        </w14:solidFill>
                      </w14:textFill>
                    </w:rPr>
                    <w:t>10</w:t>
                  </w:r>
                  <w:r>
                    <w:rPr>
                      <w:rFonts w:hint="eastAsia"/>
                      <w:color w:val="000000" w:themeColor="text1"/>
                      <w:szCs w:val="21"/>
                      <w14:textFill>
                        <w14:solidFill>
                          <w14:schemeClr w14:val="tx1"/>
                        </w14:solidFill>
                      </w14:textFill>
                    </w:rPr>
                    <w:t>小时平均浓度实测值与同时段所属县（市、区）PM</w:t>
                  </w:r>
                  <w:r>
                    <w:rPr>
                      <w:rFonts w:hint="eastAsia"/>
                      <w:color w:val="000000" w:themeColor="text1"/>
                      <w:szCs w:val="21"/>
                      <w:vertAlign w:val="subscript"/>
                      <w14:textFill>
                        <w14:solidFill>
                          <w14:schemeClr w14:val="tx1"/>
                        </w14:solidFill>
                      </w14:textFill>
                    </w:rPr>
                    <w:t>10</w:t>
                  </w:r>
                  <w:r>
                    <w:rPr>
                      <w:rFonts w:hint="eastAsia"/>
                      <w:color w:val="000000" w:themeColor="text1"/>
                      <w:szCs w:val="21"/>
                      <w14:textFill>
                        <w14:solidFill>
                          <w14:schemeClr w14:val="tx1"/>
                        </w14:solidFill>
                      </w14:textFill>
                    </w:rPr>
                    <w:t>小时平均浓度的差值。</w:t>
                  </w:r>
                </w:p>
              </w:tc>
            </w:tr>
          </w:tbl>
          <w:p w14:paraId="6FAFB4C1">
            <w:pPr>
              <w:pStyle w:val="55"/>
              <w:tabs>
                <w:tab w:val="left" w:pos="420"/>
              </w:tabs>
              <w:ind w:firstLine="0" w:firstLineChars="0"/>
              <w:jc w:val="center"/>
              <w:rPr>
                <w:b/>
                <w:bCs/>
                <w:color w:val="000000" w:themeColor="text1"/>
                <w:sz w:val="21"/>
                <w:szCs w:val="21"/>
                <w14:textFill>
                  <w14:solidFill>
                    <w14:schemeClr w14:val="tx1"/>
                  </w14:solidFill>
                </w14:textFill>
              </w:rPr>
            </w:pPr>
          </w:p>
        </w:tc>
      </w:tr>
      <w:tr w14:paraId="5207F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9" w:hRule="atLeast"/>
          <w:jc w:val="center"/>
        </w:trPr>
        <w:tc>
          <w:tcPr>
            <w:tcW w:w="380" w:type="pct"/>
            <w:vAlign w:val="center"/>
          </w:tcPr>
          <w:p w14:paraId="31551232">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其他</w:t>
            </w:r>
          </w:p>
        </w:tc>
        <w:tc>
          <w:tcPr>
            <w:tcW w:w="4619" w:type="pct"/>
            <w:vAlign w:val="center"/>
          </w:tcPr>
          <w:p w14:paraId="13D12C92">
            <w:pPr>
              <w:spacing w:line="480" w:lineRule="exact"/>
              <w:ind w:firstLine="420" w:firstLineChars="20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无</w:t>
            </w:r>
          </w:p>
        </w:tc>
      </w:tr>
    </w:tbl>
    <w:p w14:paraId="29EA9E38">
      <w:pPr>
        <w:pStyle w:val="20"/>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kern w:val="2"/>
          <w:sz w:val="36"/>
          <w:szCs w:val="36"/>
          <w14:textFill>
            <w14:solidFill>
              <w14:schemeClr w14:val="tx1"/>
            </w14:solidFill>
          </w14:textFill>
        </w:rPr>
        <w:br w:type="page"/>
      </w:r>
      <w:bookmarkStart w:id="6" w:name="_Toc14952"/>
      <w:r>
        <w:rPr>
          <w:rFonts w:hint="eastAsia" w:ascii="黑体" w:hAnsi="黑体" w:eastAsia="黑体"/>
          <w:snapToGrid w:val="0"/>
          <w:color w:val="000000" w:themeColor="text1"/>
          <w:sz w:val="30"/>
          <w:szCs w:val="30"/>
          <w14:textFill>
            <w14:solidFill>
              <w14:schemeClr w14:val="tx1"/>
            </w14:solidFill>
          </w14:textFill>
        </w:rPr>
        <w:t>四、主要环境影响</w:t>
      </w:r>
      <w:bookmarkEnd w:id="6"/>
    </w:p>
    <w:tbl>
      <w:tblPr>
        <w:tblStyle w:val="2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3"/>
        <w:gridCol w:w="8077"/>
      </w:tblGrid>
      <w:tr w14:paraId="7EE24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5" w:hRule="atLeast"/>
          <w:jc w:val="center"/>
        </w:trPr>
        <w:tc>
          <w:tcPr>
            <w:tcW w:w="215" w:type="pct"/>
            <w:tcMar>
              <w:left w:w="28" w:type="dxa"/>
              <w:right w:w="28" w:type="dxa"/>
            </w:tcMar>
            <w:vAlign w:val="center"/>
          </w:tcPr>
          <w:p w14:paraId="26F6C1FD">
            <w:pPr>
              <w:pStyle w:val="20"/>
              <w:adjustRightInd w:val="0"/>
              <w:snapToGrid w:val="0"/>
              <w:spacing w:before="0" w:beforeAutospacing="0" w:after="0" w:afterAutospacing="0" w:line="480" w:lineRule="exact"/>
              <w:jc w:val="center"/>
              <w:rPr>
                <w:rFonts w:ascii="Times New Roman" w:hAnsi="Times New Roman"/>
                <w:bCs/>
                <w:color w:val="000000" w:themeColor="text1"/>
                <w:kern w:val="2"/>
                <w:sz w:val="21"/>
                <w:szCs w:val="21"/>
                <w14:textFill>
                  <w14:solidFill>
                    <w14:schemeClr w14:val="tx1"/>
                  </w14:solidFill>
                </w14:textFill>
              </w:rPr>
            </w:pPr>
            <w:bookmarkStart w:id="7" w:name="_Hlk49796138"/>
            <w:r>
              <w:rPr>
                <w:rFonts w:ascii="Times New Roman" w:hAnsi="Times New Roman"/>
                <w:bCs/>
                <w:color w:val="000000" w:themeColor="text1"/>
                <w:spacing w:val="10"/>
                <w:kern w:val="2"/>
                <w:sz w:val="21"/>
                <w:szCs w:val="21"/>
                <w14:textFill>
                  <w14:solidFill>
                    <w14:schemeClr w14:val="tx1"/>
                  </w14:solidFill>
                </w14:textFill>
              </w:rPr>
              <w:t>施工期生态环境影响分析</w:t>
            </w:r>
            <w:bookmarkEnd w:id="7"/>
          </w:p>
        </w:tc>
        <w:tc>
          <w:tcPr>
            <w:tcW w:w="4784" w:type="pct"/>
          </w:tcPr>
          <w:p w14:paraId="563459CE">
            <w:pPr>
              <w:adjustRightInd w:val="0"/>
              <w:snapToGrid w:val="0"/>
              <w:spacing w:line="480" w:lineRule="exact"/>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本项目施工内容主要包括土方开挖、塔基施工、杆塔组立、架设线路、附件安装、引流线安装以及接地安装等工艺流程。施工期可能对周围环境影响的因子主要为施工扬尘、环境噪声、废水以及固体废物等</w:t>
            </w:r>
            <w:r>
              <w:rPr>
                <w:rFonts w:hint="eastAsia"/>
                <w:color w:val="000000" w:themeColor="text1"/>
                <w:szCs w:val="21"/>
                <w14:textFill>
                  <w14:solidFill>
                    <w14:schemeClr w14:val="tx1"/>
                  </w14:solidFill>
                </w14:textFill>
              </w:rPr>
              <w:t>。</w:t>
            </w:r>
          </w:p>
          <w:p w14:paraId="64ED1769">
            <w:pPr>
              <w:adjustRightInd w:val="0"/>
              <w:snapToGrid w:val="0"/>
              <w:spacing w:line="48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一、大气污染影响分析</w:t>
            </w:r>
          </w:p>
          <w:p w14:paraId="43F90C09">
            <w:pPr>
              <w:adjustRightInd w:val="0"/>
              <w:snapToGrid w:val="0"/>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施工阶段，主要有塔基开挖、道路建设、车辆行驶等施工活动和裸露场地风蚀产生扬尘。</w:t>
            </w:r>
          </w:p>
          <w:p w14:paraId="1C028153">
            <w:pPr>
              <w:adjustRightInd w:val="0"/>
              <w:snapToGrid w:val="0"/>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过程中，车辆运输散体材料和废弃物时，必须采用密闭式防尘布进行苫盖，避免沿途漏撒；加强材料转运与使用的管理，合理堆料，加盖苫布，防止物料裸露，文明施工；对进出施工场地的车辆进行冲洗、限制车速，减少或避免产生扬尘；施工现场设置围挡，施工临时中转土方以及弃土弃渣等要合理堆放苫盖；定期洒水进行扬尘控制；施工结束后，按“工完料尽场地清”的原则立即进行空地硬化和覆盖，减少裸露地面面积。</w:t>
            </w:r>
          </w:p>
          <w:p w14:paraId="314AE5C0">
            <w:pPr>
              <w:adjustRightInd w:val="0"/>
              <w:snapToGrid w:val="0"/>
              <w:spacing w:line="480" w:lineRule="exact"/>
              <w:ind w:firstLine="420" w:firstLineChars="200"/>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经过严格采取上述一系列措施，施工期扬尘可控制在合理范围内。施工场地下风向PM</w:t>
            </w:r>
            <w:r>
              <w:rPr>
                <w:rFonts w:hint="eastAsia"/>
                <w:color w:val="000000" w:themeColor="text1"/>
                <w:szCs w:val="21"/>
                <w:vertAlign w:val="subscript"/>
                <w14:textFill>
                  <w14:solidFill>
                    <w14:schemeClr w14:val="tx1"/>
                  </w14:solidFill>
                </w14:textFill>
              </w:rPr>
              <w:t>10</w:t>
            </w:r>
            <w:r>
              <w:rPr>
                <w:rFonts w:hint="eastAsia"/>
                <w:color w:val="000000" w:themeColor="text1"/>
                <w:szCs w:val="21"/>
                <w14:textFill>
                  <w14:solidFill>
                    <w14:schemeClr w14:val="tx1"/>
                  </w14:solidFill>
                </w14:textFill>
              </w:rPr>
              <w:t>浓度低于《施工场地扬尘排放标准》（DB 13/2934-2019）表 1 扬尘排放浓度限值。项目施工期较短，采取措施后可有效抑制扬尘的产生，对周围大气环境影响较小</w:t>
            </w:r>
            <w:r>
              <w:rPr>
                <w:rFonts w:hint="eastAsia"/>
                <w:color w:val="000000" w:themeColor="text1"/>
                <w:szCs w:val="21"/>
                <w:lang w:eastAsia="zh-CN"/>
                <w14:textFill>
                  <w14:solidFill>
                    <w14:schemeClr w14:val="tx1"/>
                  </w14:solidFill>
                </w14:textFill>
              </w:rPr>
              <w:t>。</w:t>
            </w:r>
          </w:p>
          <w:p w14:paraId="44DA5CB9">
            <w:pPr>
              <w:adjustRightInd w:val="0"/>
              <w:snapToGrid w:val="0"/>
              <w:spacing w:line="480" w:lineRule="exact"/>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二、水环境影响分析</w:t>
            </w:r>
          </w:p>
          <w:p w14:paraId="50674FFD">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施工期废水主要为施工人员产生的生活污水。项目不设置施工营地，施工人员产生的生活污水用于洒水降尘和道路清扫，污水不外排，不影响地表水环境质量</w:t>
            </w:r>
            <w:r>
              <w:rPr>
                <w:color w:val="000000" w:themeColor="text1"/>
                <w:szCs w:val="21"/>
                <w14:textFill>
                  <w14:solidFill>
                    <w14:schemeClr w14:val="tx1"/>
                  </w14:solidFill>
                </w14:textFill>
              </w:rPr>
              <w:t>。</w:t>
            </w:r>
          </w:p>
          <w:p w14:paraId="4BB53DA5">
            <w:pPr>
              <w:adjustRightInd w:val="0"/>
              <w:snapToGrid w:val="0"/>
              <w:spacing w:line="48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三、噪声影响分析</w:t>
            </w:r>
          </w:p>
          <w:p w14:paraId="26FBE4E3">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施工期噪声主要为施工设备噪声，大多为不连续性噪声，线路工程施工产噪设备均位于室外。</w:t>
            </w:r>
          </w:p>
          <w:p w14:paraId="5017EEB9">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程施工时通过采用低噪声施工机械设备，控制设备噪声源强；设置围挡，削弱噪声传播；优化施工机械布置、加强施工管理，文明施工，错开高噪声设备使用时间；禁止夜间施工等措施最大程度减轻施工噪声对周围环境的影响，以满足《建筑施工场界环境噪声排放标准》（GB 12523-2011）的要求。</w:t>
            </w:r>
          </w:p>
          <w:p w14:paraId="5BC3A6C5">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本工程施工量小、施工时间短，对环境的影响是小范围的、短暂的，随着施工期的结束，其对环境的影响也将消失，对周围声环境影响很小</w:t>
            </w:r>
            <w:r>
              <w:rPr>
                <w:color w:val="000000" w:themeColor="text1"/>
                <w:szCs w:val="21"/>
                <w14:textFill>
                  <w14:solidFill>
                    <w14:schemeClr w14:val="tx1"/>
                  </w14:solidFill>
                </w14:textFill>
              </w:rPr>
              <w:t>。</w:t>
            </w:r>
          </w:p>
          <w:p w14:paraId="20F1C2CC">
            <w:pPr>
              <w:adjustRightInd w:val="0"/>
              <w:snapToGrid w:val="0"/>
              <w:spacing w:line="48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四、固体废物影响分析</w:t>
            </w:r>
          </w:p>
          <w:p w14:paraId="0A1F81B1">
            <w:pPr>
              <w:spacing w:line="480" w:lineRule="exact"/>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施工期固体废物主要为施工渣土和垃圾，来源于土地平整、塔基施工等。塔基施工中挖方全部用于回填或塔座基面四周地面平整，无弃渣产生。施工中产生的建筑垃圾运至指定场所处置，并采取挡护、排水等措施进行防护；施工人员生活垃圾集中堆放，委托当地环卫部门清运。经实施以上措施后，施工期产生的固体废物均可得到妥善安置，不会对周围环境产生不利影响。</w:t>
            </w:r>
          </w:p>
          <w:p w14:paraId="5A333333">
            <w:pPr>
              <w:adjustRightInd w:val="0"/>
              <w:snapToGrid w:val="0"/>
              <w:spacing w:line="480" w:lineRule="exact"/>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五、生态环境影响分析</w:t>
            </w:r>
          </w:p>
          <w:p w14:paraId="7FCF087D">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（1）水土流失分析</w:t>
            </w:r>
          </w:p>
          <w:p w14:paraId="5C4B31FA">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目前</w:t>
            </w:r>
            <w:r>
              <w:rPr>
                <w:color w:val="000000" w:themeColor="text1"/>
                <w:szCs w:val="21"/>
                <w14:textFill>
                  <w14:solidFill>
                    <w14:schemeClr w14:val="tx1"/>
                  </w14:solidFill>
                </w14:textFill>
              </w:rPr>
              <w:t>施工期可能导致水土流失的主要原因是降雨和地表开挖。区域降雨量大部分集中在雨季（6月至8月），夏季暴雨较集中，降雨大，降雨时间长。这些气象条件将会造成项目建设施工期的水土流失。</w:t>
            </w:r>
          </w:p>
          <w:p w14:paraId="14353D04">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在施工过程中土壤暴露在雨、风和其它干扰之中，另外，部分的土方填挖、边坡的形成和整理，会使土壤暴露情况加剧。同时，施工中土壤结构会受到破坏，土壤抵抗侵蚀的能力将会大大减弱，在暴雨中由降雨所产生的土壤侵蚀，可能造成项目建设过程中的水土流失。</w:t>
            </w:r>
          </w:p>
          <w:p w14:paraId="255293AD">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本工程施工期，基础的开挖，扰动了地表的原生地貌，在风力作用下，可能引起水土轻微流失。</w:t>
            </w:r>
          </w:p>
          <w:p w14:paraId="48DC11B3">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对于容易流失的建筑材料集中堆放、加强管理，在堆料场周边设置临时排水沟。临时堆土场四周设置临时排水沟，并用装土麻袋进行拦挡，临时弃土用于绿化覆土后及时对场地进行绿化整治。</w:t>
            </w:r>
          </w:p>
          <w:p w14:paraId="3F11FD6C">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施工时，动土工程避开雨天，工程建设过程中的开挖土方在回填之前，做好临时的防护措施，集中堆放，并注意堆放坡度，做好施工区内的排水工作。</w:t>
            </w:r>
          </w:p>
          <w:p w14:paraId="3804728E">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控制地表剥离程度，减少开挖土石方，土石方尽可能回填，减少建筑垃圾量的产生。</w:t>
            </w:r>
          </w:p>
          <w:p w14:paraId="021CF824">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施工现场使用带油料的机械器具，应采取措施防止油料跑、冒、滴、漏，防止对土壤和水体造成污染。</w:t>
            </w:r>
          </w:p>
          <w:p w14:paraId="7272AF89">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施工结束后，应及时清理施工临时占地现场，因地制宜进行土地功能恢复。</w:t>
            </w:r>
          </w:p>
          <w:p w14:paraId="29AE62CF">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通过以上措施，可有效防止工程建设产生的水土流失。</w:t>
            </w:r>
          </w:p>
          <w:p w14:paraId="79B434E7">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建设期间地基等工程施工时要进行开挖，可能在挖土方处会产生水土流失的现象，可能对当地生态环境造成一定影响。工程施工过程中，应对表层剥离土壤、挖方等临时堆土采用苫布遮盖、采取编织袋装土堆砌成护坡等方式减少水土流失。针对表层的耕植土采取剥离防护措施，利用表土恢复原地貌，种植青草、树苗等措施，减少施工带来的不利影响。</w:t>
            </w:r>
          </w:p>
          <w:p w14:paraId="65D6CBE9">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（2）对野生动物的影响</w:t>
            </w:r>
          </w:p>
          <w:p w14:paraId="68944607">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施工机械噪声和人员活动噪声是对野生动物的主要影响因素。各种施工机械，如运输汽车、挖掘机等均可产生较强烈的噪声，虽然这些施工机械属于非连续性</w:t>
            </w:r>
            <w:r>
              <w:rPr>
                <w:rFonts w:hint="eastAsia"/>
                <w:color w:val="000000" w:themeColor="text1"/>
                <w:szCs w:val="21"/>
                <w14:textFill>
                  <w14:solidFill>
                    <w14:schemeClr w14:val="tx1"/>
                  </w14:solidFill>
                </w14:textFill>
              </w:rPr>
              <w:t>间歇</w:t>
            </w:r>
            <w:r>
              <w:rPr>
                <w:color w:val="000000" w:themeColor="text1"/>
                <w:szCs w:val="21"/>
                <w14:textFill>
                  <w14:solidFill>
                    <w14:schemeClr w14:val="tx1"/>
                  </w14:solidFill>
                </w14:textFill>
              </w:rPr>
              <w:t>排放，但由于噪声源相对集中，且多为裸露声源，故其噪声影响范围及影响程度较大。经过对当地的调查，本项目场址内没有大型野生动物出没，不涉及保护动物，动物主要是鼠、兔等常见小型动物，分布广，适应能力强，由于同类生境在附近易于找寻，受施工影响的动物将暂时迁往附近同类生境。因此施工期对野生动物的影响有限。</w:t>
            </w:r>
          </w:p>
          <w:p w14:paraId="2E2C3996">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（3）植被破坏分析</w:t>
            </w:r>
          </w:p>
          <w:p w14:paraId="114AFA79">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施工期间，将使区域的植被遭到一定程度的</w:t>
            </w:r>
            <w:r>
              <w:rPr>
                <w:rFonts w:hint="eastAsia"/>
                <w:color w:val="000000" w:themeColor="text1"/>
                <w:szCs w:val="21"/>
                <w14:textFill>
                  <w14:solidFill>
                    <w14:schemeClr w14:val="tx1"/>
                  </w14:solidFill>
                </w14:textFill>
              </w:rPr>
              <w:t>破坏</w:t>
            </w:r>
            <w:r>
              <w:rPr>
                <w:color w:val="000000" w:themeColor="text1"/>
                <w:szCs w:val="21"/>
                <w14:textFill>
                  <w14:solidFill>
                    <w14:schemeClr w14:val="tx1"/>
                  </w14:solidFill>
                </w14:textFill>
              </w:rPr>
              <w:t>，造成占地区域内生物量损失，降低植被覆盖率。工程占地区植被组成主要为草本、灌木等植物，没有国家和省级重点保护的野生植物分布，尽管工程占地和施工活动将</w:t>
            </w:r>
            <w:r>
              <w:rPr>
                <w:rFonts w:hint="eastAsia"/>
                <w:color w:val="000000" w:themeColor="text1"/>
                <w:szCs w:val="21"/>
                <w14:textFill>
                  <w14:solidFill>
                    <w14:schemeClr w14:val="tx1"/>
                  </w14:solidFill>
                </w14:textFill>
              </w:rPr>
              <w:t>破坏</w:t>
            </w:r>
            <w:r>
              <w:rPr>
                <w:color w:val="000000" w:themeColor="text1"/>
                <w:szCs w:val="21"/>
                <w14:textFill>
                  <w14:solidFill>
                    <w14:schemeClr w14:val="tx1"/>
                  </w14:solidFill>
                </w14:textFill>
              </w:rPr>
              <w:t>原地表植被，对植被有一定的影响，但涉及的种类较少，不会使整个评价区植物群落的种类组成发生变化，也不会造成某一物种在评价区范围内消失。</w:t>
            </w:r>
          </w:p>
          <w:p w14:paraId="704F296E">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塔基</w:t>
            </w:r>
            <w:r>
              <w:rPr>
                <w:color w:val="000000" w:themeColor="text1"/>
                <w:szCs w:val="21"/>
                <w14:textFill>
                  <w14:solidFill>
                    <w14:schemeClr w14:val="tx1"/>
                  </w14:solidFill>
                </w14:textFill>
              </w:rPr>
              <w:t>场地施工结束后在</w:t>
            </w:r>
            <w:r>
              <w:rPr>
                <w:rFonts w:hint="eastAsia"/>
                <w:color w:val="000000" w:themeColor="text1"/>
                <w:szCs w:val="21"/>
                <w:lang w:val="en-US" w:eastAsia="zh-CN"/>
                <w14:textFill>
                  <w14:solidFill>
                    <w14:schemeClr w14:val="tx1"/>
                  </w14:solidFill>
                </w14:textFill>
              </w:rPr>
              <w:t>塔基</w:t>
            </w:r>
            <w:r>
              <w:rPr>
                <w:rFonts w:hint="eastAsia"/>
                <w:color w:val="000000" w:themeColor="text1"/>
                <w:szCs w:val="21"/>
                <w14:textFill>
                  <w14:solidFill>
                    <w14:schemeClr w14:val="tx1"/>
                  </w14:solidFill>
                </w14:textFill>
              </w:rPr>
              <w:t>基础</w:t>
            </w:r>
            <w:r>
              <w:rPr>
                <w:color w:val="000000" w:themeColor="text1"/>
                <w:szCs w:val="21"/>
                <w14:textFill>
                  <w14:solidFill>
                    <w14:schemeClr w14:val="tx1"/>
                  </w14:solidFill>
                </w14:textFill>
              </w:rPr>
              <w:t>之间及时进行植被恢复，种植草本植物等。因此，项目不会对区域植被造成严重影响</w:t>
            </w:r>
            <w:r>
              <w:rPr>
                <w:rFonts w:hint="eastAsia"/>
                <w:color w:val="000000" w:themeColor="text1"/>
                <w:szCs w:val="21"/>
                <w14:textFill>
                  <w14:solidFill>
                    <w14:schemeClr w14:val="tx1"/>
                  </w14:solidFill>
                </w14:textFill>
              </w:rPr>
              <w:t>。</w:t>
            </w:r>
          </w:p>
          <w:p w14:paraId="4772C379">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（4）土地利用变化分析</w:t>
            </w:r>
          </w:p>
          <w:p w14:paraId="26C5B332">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在施工建设阶段，土石的开挖以及回填会对区域土地利用的现状格局将会产生一定影响，会使局地区域内土地利用现状结构发生一定程度的改变。施工结束后及时清理施工场地，对临时施工场区进行生态恢复，恢复原有的生态功能。</w:t>
            </w:r>
          </w:p>
          <w:p w14:paraId="7880CB5B">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（5）生态系统类型及其完整性分析</w:t>
            </w:r>
          </w:p>
          <w:p w14:paraId="70941EAA">
            <w:pPr>
              <w:spacing w:line="480" w:lineRule="exact"/>
              <w:ind w:firstLine="420" w:firstLineChars="200"/>
              <w:rPr>
                <w:color w:val="000000" w:themeColor="text1"/>
                <w14:textFill>
                  <w14:solidFill>
                    <w14:schemeClr w14:val="tx1"/>
                  </w14:solidFill>
                </w14:textFill>
              </w:rPr>
            </w:pPr>
            <w:r>
              <w:rPr>
                <w:color w:val="000000" w:themeColor="text1"/>
                <w:szCs w:val="21"/>
                <w14:textFill>
                  <w14:solidFill>
                    <w14:schemeClr w14:val="tx1"/>
                  </w14:solidFill>
                </w14:textFill>
              </w:rPr>
              <w:t>本项目涉及的主要为森林和草地组成的综合生态系统，对周边景观美化、水土保持和生物多样性起着主导作用。</w:t>
            </w:r>
          </w:p>
          <w:p w14:paraId="662EF3B4">
            <w:pPr>
              <w:spacing w:line="4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所在区域主要为草地形成的现有生态系统，由于项目的施工建设，致使评价区内生态系统的完整性受到一定的影响，系统的稳定性下降。但从整个区域的连通性讲，生态系统层次结构仍基本保持完整，组成草地系统各因子的匹配与协调性以及生物链的完整性依然存在。从现场调查结果看，已形成的草地上一直有植被覆盖，说明调查区物流、物种流、能源流没有被完全阻断，生态系统处于亚稳定状态，恢复势能较强。</w:t>
            </w:r>
          </w:p>
          <w:p w14:paraId="4349947A">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14:textFill>
                  <w14:solidFill>
                    <w14:schemeClr w14:val="tx1"/>
                  </w14:solidFill>
                </w14:textFill>
              </w:rPr>
              <w:t>景观的影响分析</w:t>
            </w:r>
          </w:p>
          <w:p w14:paraId="3193EA9D">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间会直接影响到该地段的各类景观，由于施工对草地景观影响是短暂的，它随着施工结束后的复种、复垦而结束，草地植被即可恢复原来景观，因此对草地景观影响不大，也就是说绝大部分区域草地景观的主导性仍然保留，景观整体生态格局没有发生大的变化。这些影响同样会随着施工的结束而消失。</w:t>
            </w:r>
          </w:p>
          <w:p w14:paraId="612287BB">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输电项目的景观影响有破坏植被的直接影响，也有铁塔和输电线形成的不良景观。输电线路跨越或者距离自然景观较近时，会破坏当地原有的植被，使其景观特征发生改变，对生态景观的自然性带来不利影响。</w:t>
            </w:r>
          </w:p>
          <w:p w14:paraId="4C72ACBF">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（7）生态保护红线影响</w:t>
            </w:r>
          </w:p>
          <w:p w14:paraId="47CA6D2E">
            <w:pPr>
              <w:pStyle w:val="17"/>
              <w:spacing w:line="480" w:lineRule="exact"/>
              <w:ind w:left="0"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本项目塔基未占用生态保护红线，</w:t>
            </w:r>
            <w:r>
              <w:rPr>
                <w:rFonts w:hint="eastAsia"/>
                <w:color w:val="000000" w:themeColor="text1"/>
                <w14:textFill>
                  <w14:solidFill>
                    <w14:schemeClr w14:val="tx1"/>
                  </w14:solidFill>
                </w14:textFill>
              </w:rPr>
              <w:t>本项目架空线路N</w:t>
            </w:r>
            <w:r>
              <w:rPr>
                <w:rFonts w:hint="eastAsia"/>
                <w:color w:val="000000" w:themeColor="text1"/>
                <w:lang w:val="en-US" w:eastAsia="zh-CN"/>
                <w14:textFill>
                  <w14:solidFill>
                    <w14:schemeClr w14:val="tx1"/>
                  </w14:solidFill>
                </w14:textFill>
              </w:rPr>
              <w:t>70</w:t>
            </w:r>
            <w:r>
              <w:rPr>
                <w:rFonts w:hint="eastAsia"/>
                <w:color w:val="000000" w:themeColor="text1"/>
                <w14:textFill>
                  <w14:solidFill>
                    <w14:schemeClr w14:val="tx1"/>
                  </w14:solidFill>
                </w14:textFill>
              </w:rPr>
              <w:t>~N</w:t>
            </w:r>
            <w:r>
              <w:rPr>
                <w:rFonts w:hint="eastAsia"/>
                <w:color w:val="000000" w:themeColor="text1"/>
                <w:lang w:val="en-US" w:eastAsia="zh-CN"/>
                <w14:textFill>
                  <w14:solidFill>
                    <w14:schemeClr w14:val="tx1"/>
                  </w14:solidFill>
                </w14:textFill>
              </w:rPr>
              <w:t>71</w:t>
            </w:r>
            <w:r>
              <w:rPr>
                <w:rFonts w:hint="eastAsia"/>
                <w:color w:val="000000" w:themeColor="text1"/>
                <w14:textFill>
                  <w14:solidFill>
                    <w14:schemeClr w14:val="tx1"/>
                  </w14:solidFill>
                </w14:textFill>
              </w:rPr>
              <w:t>、N</w:t>
            </w:r>
            <w:r>
              <w:rPr>
                <w:rFonts w:hint="eastAsia"/>
                <w:color w:val="000000" w:themeColor="text1"/>
                <w:lang w:val="en-US" w:eastAsia="zh-CN"/>
                <w14:textFill>
                  <w14:solidFill>
                    <w14:schemeClr w14:val="tx1"/>
                  </w14:solidFill>
                </w14:textFill>
              </w:rPr>
              <w:t>74</w:t>
            </w:r>
            <w:r>
              <w:rPr>
                <w:rFonts w:hint="eastAsia"/>
                <w:color w:val="000000" w:themeColor="text1"/>
                <w14:textFill>
                  <w14:solidFill>
                    <w14:schemeClr w14:val="tx1"/>
                  </w14:solidFill>
                </w14:textFill>
              </w:rPr>
              <w:t>~N</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6塔基段跨越生态保护红线，跨越距离分别为</w:t>
            </w:r>
            <w:r>
              <w:rPr>
                <w:rFonts w:hint="eastAsia"/>
                <w:color w:val="000000" w:themeColor="text1"/>
                <w:lang w:val="en-US" w:eastAsia="zh-CN"/>
                <w14:textFill>
                  <w14:solidFill>
                    <w14:schemeClr w14:val="tx1"/>
                  </w14:solidFill>
                </w14:textFill>
              </w:rPr>
              <w:t>40</w:t>
            </w:r>
            <w:r>
              <w:rPr>
                <w:rFonts w:hint="eastAsia"/>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340</w:t>
            </w:r>
            <w:r>
              <w:rPr>
                <w:rFonts w:hint="eastAsia"/>
                <w:color w:val="000000" w:themeColor="text1"/>
                <w14:textFill>
                  <w14:solidFill>
                    <w14:schemeClr w14:val="tx1"/>
                  </w14:solidFill>
                </w14:textFill>
              </w:rPr>
              <w:t>m。</w:t>
            </w:r>
          </w:p>
          <w:p w14:paraId="7F1FE394">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本项目占地为生态保护红线以外的</w:t>
            </w:r>
            <w:r>
              <w:rPr>
                <w:rFonts w:hint="eastAsia"/>
                <w:color w:val="000000" w:themeColor="text1"/>
                <w:szCs w:val="21"/>
                <w:lang w:val="en-US" w:eastAsia="zh-CN"/>
                <w14:textFill>
                  <w14:solidFill>
                    <w14:schemeClr w14:val="tx1"/>
                  </w14:solidFill>
                </w14:textFill>
              </w:rPr>
              <w:t>林地及其他草地</w:t>
            </w:r>
            <w:r>
              <w:rPr>
                <w:rFonts w:hint="eastAsia"/>
                <w:color w:val="000000" w:themeColor="text1"/>
                <w:szCs w:val="21"/>
                <w14:textFill>
                  <w14:solidFill>
                    <w14:schemeClr w14:val="tx1"/>
                  </w14:solidFill>
                </w14:textFill>
              </w:rPr>
              <w:t>为主，不占用生态保护红线区域内的生态空间，不会造成生态保护红线有效生态空间面积的减少；塔基间距离远，采用高空架线，不会对植被及野生动植物产生影响，不会改变其生态功能，项目建设未改变项目所在区域生态保护红线的基本格局。</w:t>
            </w:r>
          </w:p>
          <w:p w14:paraId="32F1CE66">
            <w:pPr>
              <w:pStyle w:val="17"/>
              <w:spacing w:line="480" w:lineRule="exact"/>
              <w:ind w:left="0"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8</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饮用水源保护区影响</w:t>
            </w:r>
          </w:p>
          <w:p w14:paraId="4A24020C">
            <w:pPr>
              <w:pStyle w:val="17"/>
              <w:spacing w:line="480" w:lineRule="exact"/>
              <w:ind w:left="0" w:firstLine="420" w:firstLineChars="200"/>
              <w:rPr>
                <w:rFonts w:hint="default"/>
                <w:color w:val="000000" w:themeColor="text1"/>
                <w:szCs w:val="21"/>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架空线路跨越承德市承德县六沟镇饮用水水源一级保护区445m，穿越承德县六沟镇饮用水水源二级保护区1920m，有六座塔基位于承德县六沟镇饮用水水源二级保护区内。</w:t>
            </w:r>
          </w:p>
          <w:p w14:paraId="2CF44E34">
            <w:pPr>
              <w:pStyle w:val="17"/>
              <w:spacing w:line="48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架空线路跨越饮用水水源保护区采用无人机+牵引绳进行无损架设，保护区</w:t>
            </w:r>
            <w:r>
              <w:rPr>
                <w:rFonts w:hint="eastAsia"/>
                <w:color w:val="000000" w:themeColor="text1"/>
                <w:szCs w:val="21"/>
                <w:lang w:val="en-US" w:eastAsia="zh-CN"/>
                <w14:textFill>
                  <w14:solidFill>
                    <w14:schemeClr w14:val="tx1"/>
                  </w14:solidFill>
                </w14:textFill>
              </w:rPr>
              <w:t>不</w:t>
            </w:r>
            <w:r>
              <w:rPr>
                <w:rFonts w:hint="eastAsia"/>
                <w:color w:val="000000" w:themeColor="text1"/>
                <w:szCs w:val="21"/>
                <w14:textFill>
                  <w14:solidFill>
                    <w14:schemeClr w14:val="tx1"/>
                  </w14:solidFill>
                </w14:textFill>
              </w:rPr>
              <w:t>立塔，严格落实施工期和运营期水质保护、风险防范和应急管理措施，将环境影响和环境风险降到最低，确保水源地水质安全。</w:t>
            </w:r>
          </w:p>
        </w:tc>
      </w:tr>
      <w:tr w14:paraId="53829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215" w:type="pct"/>
            <w:tcMar>
              <w:left w:w="28" w:type="dxa"/>
              <w:right w:w="28" w:type="dxa"/>
            </w:tcMar>
            <w:vAlign w:val="center"/>
          </w:tcPr>
          <w:p w14:paraId="4A7B805C">
            <w:pPr>
              <w:pStyle w:val="20"/>
              <w:adjustRightInd w:val="0"/>
              <w:snapToGrid w:val="0"/>
              <w:spacing w:before="0" w:beforeAutospacing="0" w:after="0" w:afterAutospacing="0" w:line="480" w:lineRule="exact"/>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spacing w:val="10"/>
                <w:kern w:val="2"/>
                <w:sz w:val="21"/>
                <w:szCs w:val="21"/>
                <w14:textFill>
                  <w14:solidFill>
                    <w14:schemeClr w14:val="tx1"/>
                  </w14:solidFill>
                </w14:textFill>
              </w:rPr>
              <w:t xml:space="preserve">        </w:t>
            </w:r>
            <w:r>
              <w:rPr>
                <w:rFonts w:ascii="Times New Roman" w:hAnsi="Times New Roman"/>
                <w:bCs/>
                <w:color w:val="000000" w:themeColor="text1"/>
                <w:spacing w:val="10"/>
                <w:kern w:val="2"/>
                <w:sz w:val="21"/>
                <w:szCs w:val="21"/>
                <w14:textFill>
                  <w14:solidFill>
                    <w14:schemeClr w14:val="tx1"/>
                  </w14:solidFill>
                </w14:textFill>
              </w:rPr>
              <w:t>运营期</w:t>
            </w:r>
            <w:r>
              <w:rPr>
                <w:rFonts w:hint="eastAsia" w:ascii="Times New Roman" w:hAnsi="Times New Roman"/>
                <w:bCs/>
                <w:color w:val="000000" w:themeColor="text1"/>
                <w:spacing w:val="10"/>
                <w:kern w:val="2"/>
                <w:sz w:val="21"/>
                <w:szCs w:val="21"/>
                <w14:textFill>
                  <w14:solidFill>
                    <w14:schemeClr w14:val="tx1"/>
                  </w14:solidFill>
                </w14:textFill>
              </w:rPr>
              <w:t>环境影响和保护措施</w:t>
            </w:r>
          </w:p>
        </w:tc>
        <w:tc>
          <w:tcPr>
            <w:tcW w:w="4784" w:type="pct"/>
          </w:tcPr>
          <w:p w14:paraId="1728805A">
            <w:pPr>
              <w:adjustRightInd w:val="0"/>
              <w:snapToGrid w:val="0"/>
              <w:spacing w:line="480" w:lineRule="exac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一、运营期大气环境影响分析</w:t>
            </w:r>
          </w:p>
          <w:p w14:paraId="686038A4">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项目无废气产生，不会对周围大气环境造成不利影响。</w:t>
            </w:r>
          </w:p>
          <w:p w14:paraId="6E4BFB54">
            <w:pPr>
              <w:adjustRightInd w:val="0"/>
              <w:snapToGrid w:val="0"/>
              <w:spacing w:line="480" w:lineRule="exac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二、运营期水环境影响分析</w:t>
            </w:r>
          </w:p>
          <w:p w14:paraId="39F1E39C">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线路运行后，无污水产生，不会对周边地表水体产生影响。</w:t>
            </w:r>
          </w:p>
          <w:p w14:paraId="7F666462">
            <w:pPr>
              <w:adjustRightInd w:val="0"/>
              <w:snapToGrid w:val="0"/>
              <w:spacing w:line="480" w:lineRule="exact"/>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三、运营期声环境影响分析</w:t>
            </w:r>
          </w:p>
          <w:p w14:paraId="5340AAC5">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线路投入使用后，架空线路的主要噪声源为高压线电晕放电而引起的无规则噪声以及输电线路的电荷运动产生的交流声，同时因高空风速较大，线路振动产生风鸣声，但噪声级很小，一般情况下220kV输电线路走廊下方的噪声值与背景值接近。</w:t>
            </w:r>
          </w:p>
          <w:p w14:paraId="7945A6B1">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为预测本项目新建220kV架空线路声环境影响，对同电压等级、同架设方式的220kV单回架空线路进行类比监测。评价类比御道口-塞罕坝 220kV 架空线路。</w:t>
            </w:r>
          </w:p>
          <w:p w14:paraId="57F768FB">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御道口-塞罕坝 220kV 架空线路位于河北省承德市围场满族蒙古族自治县国营御道口牧场，河北辐翱检测技术有限公司于2023年8月15日和8月16日进行现场检测，于2023年9月6日出具检测报告（HJ23135）。</w:t>
            </w:r>
          </w:p>
          <w:p w14:paraId="54542BEA">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本项目线路工程与御道口-塞罕坝 220kV 架空线路的可比性如下表所示。</w:t>
            </w:r>
          </w:p>
          <w:p w14:paraId="2D151DC2">
            <w:pPr>
              <w:spacing w:line="480" w:lineRule="exact"/>
              <w:jc w:val="center"/>
              <w:rPr>
                <w:color w:val="000000" w:themeColor="text1"/>
                <w:szCs w:val="21"/>
                <w14:textFill>
                  <w14:solidFill>
                    <w14:schemeClr w14:val="tx1"/>
                  </w14:solidFill>
                </w14:textFill>
              </w:rPr>
            </w:pPr>
            <w:r>
              <w:rPr>
                <w:rFonts w:hint="eastAsia"/>
                <w:b/>
                <w:bCs/>
                <w:color w:val="000000" w:themeColor="text1"/>
                <w14:textFill>
                  <w14:solidFill>
                    <w14:schemeClr w14:val="tx1"/>
                  </w14:solidFill>
                </w14:textFill>
              </w:rPr>
              <w:t>表4</w:t>
            </w: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本项目与御道口-塞罕坝 220kV 架空线路基本情况对比表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2871"/>
              <w:gridCol w:w="2736"/>
            </w:tblGrid>
            <w:tr w14:paraId="281C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8" w:type="pct"/>
                  <w:vAlign w:val="center"/>
                </w:tcPr>
                <w:p w14:paraId="7EDEBE22">
                  <w:pPr>
                    <w:pStyle w:val="50"/>
                    <w:spacing w:beforeLines="0" w:afterLines="0" w:line="320" w:lineRule="exact"/>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项目</w:t>
                  </w:r>
                </w:p>
              </w:tc>
              <w:tc>
                <w:tcPr>
                  <w:tcW w:w="1828" w:type="pct"/>
                  <w:vAlign w:val="center"/>
                </w:tcPr>
                <w:p w14:paraId="062889B6">
                  <w:pPr>
                    <w:pStyle w:val="50"/>
                    <w:spacing w:beforeLines="0" w:afterLines="0" w:line="320" w:lineRule="exact"/>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本项目线路220kV线路</w:t>
                  </w:r>
                </w:p>
              </w:tc>
              <w:tc>
                <w:tcPr>
                  <w:tcW w:w="1742" w:type="pct"/>
                  <w:vAlign w:val="center"/>
                </w:tcPr>
                <w:p w14:paraId="11BA5658">
                  <w:pPr>
                    <w:pStyle w:val="50"/>
                    <w:spacing w:beforeLines="0" w:afterLines="0" w:line="320" w:lineRule="exact"/>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御道口-塞罕坝220kV输电线路</w:t>
                  </w:r>
                </w:p>
              </w:tc>
            </w:tr>
            <w:tr w14:paraId="0F56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8" w:type="pct"/>
                  <w:vAlign w:val="center"/>
                </w:tcPr>
                <w:p w14:paraId="4E98ABEA">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架设方式</w:t>
                  </w:r>
                </w:p>
              </w:tc>
              <w:tc>
                <w:tcPr>
                  <w:tcW w:w="1828" w:type="pct"/>
                  <w:vAlign w:val="center"/>
                </w:tcPr>
                <w:p w14:paraId="7925B9F0">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单回路</w:t>
                  </w:r>
                </w:p>
              </w:tc>
              <w:tc>
                <w:tcPr>
                  <w:tcW w:w="1742" w:type="pct"/>
                  <w:vAlign w:val="center"/>
                </w:tcPr>
                <w:p w14:paraId="77BF7F4F">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单回路</w:t>
                  </w:r>
                </w:p>
              </w:tc>
            </w:tr>
            <w:tr w14:paraId="5D43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8" w:type="pct"/>
                  <w:vAlign w:val="center"/>
                </w:tcPr>
                <w:p w14:paraId="6B78B8F6">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电压等级</w:t>
                  </w:r>
                </w:p>
              </w:tc>
              <w:tc>
                <w:tcPr>
                  <w:tcW w:w="1828" w:type="pct"/>
                  <w:vAlign w:val="center"/>
                </w:tcPr>
                <w:p w14:paraId="29F28B8B">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220kV</w:t>
                  </w:r>
                </w:p>
              </w:tc>
              <w:tc>
                <w:tcPr>
                  <w:tcW w:w="1742" w:type="pct"/>
                  <w:vAlign w:val="center"/>
                </w:tcPr>
                <w:p w14:paraId="3D8F7C83">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220kV</w:t>
                  </w:r>
                </w:p>
              </w:tc>
            </w:tr>
            <w:tr w14:paraId="08E1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8" w:type="pct"/>
                  <w:vAlign w:val="center"/>
                </w:tcPr>
                <w:p w14:paraId="37642D3F">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环境条件</w:t>
                  </w:r>
                </w:p>
              </w:tc>
              <w:tc>
                <w:tcPr>
                  <w:tcW w:w="1828" w:type="pct"/>
                  <w:vAlign w:val="center"/>
                </w:tcPr>
                <w:p w14:paraId="651C68BD">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空旷地带</w:t>
                  </w:r>
                </w:p>
              </w:tc>
              <w:tc>
                <w:tcPr>
                  <w:tcW w:w="1742" w:type="pct"/>
                  <w:vAlign w:val="center"/>
                </w:tcPr>
                <w:p w14:paraId="2EF4F0F2">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空旷地带</w:t>
                  </w:r>
                </w:p>
              </w:tc>
            </w:tr>
            <w:tr w14:paraId="02F8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8" w:type="pct"/>
                  <w:vAlign w:val="center"/>
                </w:tcPr>
                <w:p w14:paraId="6A230A49">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导线分裂</w:t>
                  </w:r>
                </w:p>
              </w:tc>
              <w:tc>
                <w:tcPr>
                  <w:tcW w:w="1828" w:type="pct"/>
                  <w:vAlign w:val="center"/>
                </w:tcPr>
                <w:p w14:paraId="4C09C740">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双分裂</w:t>
                  </w:r>
                </w:p>
              </w:tc>
              <w:tc>
                <w:tcPr>
                  <w:tcW w:w="1742" w:type="pct"/>
                  <w:vAlign w:val="center"/>
                </w:tcPr>
                <w:p w14:paraId="3F4AE7C0">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双分裂</w:t>
                  </w:r>
                </w:p>
              </w:tc>
            </w:tr>
            <w:tr w14:paraId="09CC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8" w:type="pct"/>
                  <w:vAlign w:val="center"/>
                </w:tcPr>
                <w:p w14:paraId="7D03FB4E">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导线型号</w:t>
                  </w:r>
                </w:p>
              </w:tc>
              <w:tc>
                <w:tcPr>
                  <w:tcW w:w="1828" w:type="pct"/>
                  <w:vAlign w:val="center"/>
                </w:tcPr>
                <w:p w14:paraId="13A65F13">
                  <w:pPr>
                    <w:pStyle w:val="50"/>
                    <w:spacing w:beforeLines="0" w:afterLines="0" w:line="320" w:lineRule="exact"/>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JL/G1A-</w:t>
                  </w:r>
                  <w:r>
                    <w:rPr>
                      <w:rFonts w:hint="eastAsia" w:ascii="Times New Roman"/>
                      <w:color w:val="000000" w:themeColor="text1"/>
                      <w:sz w:val="21"/>
                      <w:lang w:val="en-US" w:eastAsia="zh-CN"/>
                      <w14:textFill>
                        <w14:solidFill>
                          <w14:schemeClr w14:val="tx1"/>
                        </w14:solidFill>
                      </w14:textFill>
                    </w:rPr>
                    <w:t>240</w:t>
                  </w:r>
                  <w:r>
                    <w:rPr>
                      <w:rFonts w:hint="eastAsia" w:ascii="Times New Roman"/>
                      <w:color w:val="000000" w:themeColor="text1"/>
                      <w:sz w:val="21"/>
                      <w14:textFill>
                        <w14:solidFill>
                          <w14:schemeClr w14:val="tx1"/>
                        </w14:solidFill>
                      </w14:textFill>
                    </w:rPr>
                    <w:t>/</w:t>
                  </w:r>
                  <w:r>
                    <w:rPr>
                      <w:rFonts w:hint="eastAsia" w:ascii="Times New Roman"/>
                      <w:color w:val="000000" w:themeColor="text1"/>
                      <w:sz w:val="21"/>
                      <w:lang w:val="en-US" w:eastAsia="zh-CN"/>
                      <w14:textFill>
                        <w14:solidFill>
                          <w14:schemeClr w14:val="tx1"/>
                        </w14:solidFill>
                      </w14:textFill>
                    </w:rPr>
                    <w:t>30</w:t>
                  </w:r>
                  <w:r>
                    <w:rPr>
                      <w:rFonts w:hint="eastAsia" w:ascii="Times New Roman"/>
                      <w:color w:val="000000" w:themeColor="text1"/>
                      <w:sz w:val="21"/>
                      <w14:textFill>
                        <w14:solidFill>
                          <w14:schemeClr w14:val="tx1"/>
                        </w14:solidFill>
                      </w14:textFill>
                    </w:rPr>
                    <w:t xml:space="preserve"> 钢芯铝绞线</w:t>
                  </w:r>
                </w:p>
              </w:tc>
              <w:tc>
                <w:tcPr>
                  <w:tcW w:w="1742" w:type="pct"/>
                  <w:vAlign w:val="center"/>
                </w:tcPr>
                <w:p w14:paraId="6F23C739">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2×JL/G1A-400/35</w:t>
                  </w:r>
                </w:p>
              </w:tc>
            </w:tr>
            <w:tr w14:paraId="1E85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8" w:type="pct"/>
                  <w:vAlign w:val="center"/>
                </w:tcPr>
                <w:p w14:paraId="02D75846">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运行工况</w:t>
                  </w:r>
                </w:p>
              </w:tc>
              <w:tc>
                <w:tcPr>
                  <w:tcW w:w="1828" w:type="pct"/>
                  <w:vAlign w:val="center"/>
                </w:tcPr>
                <w:p w14:paraId="26A6CD9B">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正常</w:t>
                  </w:r>
                </w:p>
              </w:tc>
              <w:tc>
                <w:tcPr>
                  <w:tcW w:w="1742" w:type="pct"/>
                  <w:vAlign w:val="center"/>
                </w:tcPr>
                <w:p w14:paraId="5F21E896">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正常</w:t>
                  </w:r>
                </w:p>
              </w:tc>
            </w:tr>
            <w:tr w14:paraId="5B6E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8" w:type="pct"/>
                  <w:vAlign w:val="center"/>
                </w:tcPr>
                <w:p w14:paraId="4AE99CE7">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线路弧垂对地高度</w:t>
                  </w:r>
                </w:p>
              </w:tc>
              <w:tc>
                <w:tcPr>
                  <w:tcW w:w="1828" w:type="pct"/>
                  <w:vAlign w:val="center"/>
                </w:tcPr>
                <w:p w14:paraId="4DCC5139">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≥6.5m</w:t>
                  </w:r>
                </w:p>
              </w:tc>
              <w:tc>
                <w:tcPr>
                  <w:tcW w:w="1742" w:type="pct"/>
                  <w:vAlign w:val="center"/>
                </w:tcPr>
                <w:p w14:paraId="0879D624">
                  <w:pPr>
                    <w:pStyle w:val="50"/>
                    <w:spacing w:beforeLines="0" w:afterLines="0" w:line="320" w:lineRule="exac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≥6.5m</w:t>
                  </w:r>
                </w:p>
              </w:tc>
            </w:tr>
          </w:tbl>
          <w:p w14:paraId="3631BE87">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①监测因子及监测频次</w:t>
            </w:r>
          </w:p>
          <w:p w14:paraId="43300459">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监测因子：等效连续A声级（dB（A））；</w:t>
            </w:r>
          </w:p>
          <w:p w14:paraId="1AD2BB08">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监测频次：各监测点位昼、夜间各监测一次。</w:t>
            </w:r>
          </w:p>
          <w:p w14:paraId="65B0836F">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②监测方法及监测布点</w:t>
            </w:r>
          </w:p>
          <w:p w14:paraId="3E410561">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监测方法：执行《声环境质量标准》（GB3096-2008）中的相关要求。</w:t>
            </w:r>
          </w:p>
          <w:p w14:paraId="4E14F20B">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监测布点：监测断面位置1，御道口-塞罕坝220kV架空线边导弧垂最低处向西北布置40m监测断面；</w:t>
            </w:r>
          </w:p>
          <w:p w14:paraId="74BDE025">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③监测单位、监测时间、监测环境条件</w:t>
            </w:r>
          </w:p>
          <w:p w14:paraId="33B18902">
            <w:pPr>
              <w:spacing w:line="480" w:lineRule="exact"/>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 xml:space="preserve">  监测单位、监测时间、监测环境条件</w:t>
            </w:r>
          </w:p>
          <w:tbl>
            <w:tblPr>
              <w:tblStyle w:val="6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11"/>
              <w:gridCol w:w="1818"/>
              <w:gridCol w:w="3725"/>
            </w:tblGrid>
            <w:tr w14:paraId="60B76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71" w:type="pct"/>
                  <w:vAlign w:val="center"/>
                </w:tcPr>
                <w:p w14:paraId="22EC8171">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监测单位</w:t>
                  </w:r>
                </w:p>
              </w:tc>
              <w:tc>
                <w:tcPr>
                  <w:tcW w:w="1157" w:type="pct"/>
                  <w:vAlign w:val="center"/>
                </w:tcPr>
                <w:p w14:paraId="009B0E77">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监测时间</w:t>
                  </w:r>
                </w:p>
              </w:tc>
              <w:tc>
                <w:tcPr>
                  <w:tcW w:w="2371" w:type="pct"/>
                  <w:vAlign w:val="center"/>
                </w:tcPr>
                <w:p w14:paraId="26391AE8">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监测环境条件</w:t>
                  </w:r>
                </w:p>
              </w:tc>
            </w:tr>
            <w:tr w14:paraId="0D2CD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71" w:type="pct"/>
                  <w:vAlign w:val="center"/>
                </w:tcPr>
                <w:p w14:paraId="25F8F14E">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河北辐翱检测技术有限公司</w:t>
                  </w:r>
                </w:p>
              </w:tc>
              <w:tc>
                <w:tcPr>
                  <w:tcW w:w="1157" w:type="pct"/>
                  <w:vAlign w:val="center"/>
                </w:tcPr>
                <w:p w14:paraId="4A830128">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2023年08月15日2023年08月16日</w:t>
                  </w:r>
                </w:p>
              </w:tc>
              <w:tc>
                <w:tcPr>
                  <w:tcW w:w="2371" w:type="pct"/>
                  <w:vAlign w:val="center"/>
                </w:tcPr>
                <w:p w14:paraId="6F970414">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天气：阴，温度：昼间30.9℃，夜间19.3℃，风速：昼间3.2 m/s，夜间1.1 m/s</w:t>
                  </w:r>
                </w:p>
              </w:tc>
            </w:tr>
          </w:tbl>
          <w:p w14:paraId="23E43BD9">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④监测仪器</w:t>
            </w:r>
          </w:p>
          <w:p w14:paraId="07144C96">
            <w:pPr>
              <w:spacing w:line="480" w:lineRule="exact"/>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 xml:space="preserve">  监测仪器</w:t>
            </w:r>
          </w:p>
          <w:tbl>
            <w:tblPr>
              <w:tblStyle w:val="6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219"/>
              <w:gridCol w:w="1264"/>
              <w:gridCol w:w="4371"/>
            </w:tblGrid>
            <w:tr w14:paraId="3D23E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574" w:type="pct"/>
                  <w:vAlign w:val="center"/>
                </w:tcPr>
                <w:p w14:paraId="72451F28">
                  <w:pPr>
                    <w:spacing w:line="32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仪器名称型号及出厂编号</w:t>
                  </w:r>
                </w:p>
              </w:tc>
              <w:tc>
                <w:tcPr>
                  <w:tcW w:w="966" w:type="pct"/>
                  <w:vAlign w:val="center"/>
                </w:tcPr>
                <w:p w14:paraId="766371CB">
                  <w:pPr>
                    <w:spacing w:line="32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技术指标</w:t>
                  </w:r>
                </w:p>
              </w:tc>
              <w:tc>
                <w:tcPr>
                  <w:tcW w:w="2458" w:type="pct"/>
                  <w:vAlign w:val="center"/>
                </w:tcPr>
                <w:p w14:paraId="20B4BBFB">
                  <w:pPr>
                    <w:spacing w:line="32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校准/检定证书编号</w:t>
                  </w:r>
                </w:p>
              </w:tc>
            </w:tr>
            <w:tr w14:paraId="51E92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1574" w:type="pct"/>
                  <w:vAlign w:val="center"/>
                </w:tcPr>
                <w:p w14:paraId="55C5A520">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多功能声级计（AWA5688）/声校准器（AWA6022A）</w:t>
                  </w:r>
                </w:p>
                <w:p w14:paraId="57F8C9FD">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/风速仪（UT363）/数字温湿度计（ST9817）</w:t>
                  </w:r>
                </w:p>
              </w:tc>
              <w:tc>
                <w:tcPr>
                  <w:tcW w:w="966" w:type="pct"/>
                  <w:vAlign w:val="center"/>
                </w:tcPr>
                <w:p w14:paraId="17883FC0">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量程范围：</w:t>
                  </w:r>
                </w:p>
                <w:p w14:paraId="46A73F98">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28dB（A）～133dB（A）</w:t>
                  </w:r>
                </w:p>
              </w:tc>
              <w:tc>
                <w:tcPr>
                  <w:tcW w:w="2458" w:type="pct"/>
                  <w:vAlign w:val="center"/>
                </w:tcPr>
                <w:p w14:paraId="0430A24D">
                  <w:pPr>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检定、校准单位：</w:t>
                  </w:r>
                </w:p>
                <w:p w14:paraId="12D9ADCA">
                  <w:pPr>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河北省计量监督检测研究院/方圆检测认证集团有限公司</w:t>
                  </w:r>
                </w:p>
                <w:p w14:paraId="30E4CF02">
                  <w:pPr>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证书编号：DCSS22-02021/DCSS22-02023/JZ202304WL1201</w:t>
                  </w:r>
                </w:p>
                <w:p w14:paraId="6703B2D3">
                  <w:pPr>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/RGFS22-JZ06122</w:t>
                  </w:r>
                </w:p>
                <w:p w14:paraId="6A4B1053">
                  <w:pPr>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有效期：</w:t>
                  </w:r>
                </w:p>
                <w:p w14:paraId="6CA9E45F">
                  <w:pPr>
                    <w:spacing w:line="32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2022年10月19日～2023年10月18日/2022年10月19日～2023年10月18日/2023年04月20日～2024年04月19日/2022年10月24日～2023年10月23日</w:t>
                  </w:r>
                </w:p>
              </w:tc>
            </w:tr>
          </w:tbl>
          <w:p w14:paraId="11B4AD27">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⑤监测结果分析</w:t>
            </w:r>
          </w:p>
          <w:p w14:paraId="235C736D">
            <w:pPr>
              <w:spacing w:line="480" w:lineRule="exact"/>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 xml:space="preserve">   噪声监测结果一览表</w:t>
            </w:r>
          </w:p>
          <w:tbl>
            <w:tblPr>
              <w:tblStyle w:val="6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52"/>
              <w:gridCol w:w="613"/>
              <w:gridCol w:w="1838"/>
              <w:gridCol w:w="1838"/>
              <w:gridCol w:w="1100"/>
              <w:gridCol w:w="1112"/>
            </w:tblGrid>
            <w:tr w14:paraId="73BBA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61" w:type="pct"/>
                  <w:vMerge w:val="restart"/>
                  <w:tcBorders>
                    <w:tl2br w:val="nil"/>
                    <w:tr2bl w:val="nil"/>
                  </w:tcBorders>
                  <w:vAlign w:val="center"/>
                </w:tcPr>
                <w:p w14:paraId="5B95A0B4">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监测结果</w:t>
                  </w:r>
                </w:p>
              </w:tc>
              <w:tc>
                <w:tcPr>
                  <w:tcW w:w="390" w:type="pct"/>
                  <w:tcBorders>
                    <w:tl2br w:val="nil"/>
                    <w:tr2bl w:val="nil"/>
                  </w:tcBorders>
                  <w:vAlign w:val="center"/>
                </w:tcPr>
                <w:p w14:paraId="57D73241">
                  <w:pPr>
                    <w:spacing w:line="32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2340" w:type="pct"/>
                  <w:gridSpan w:val="2"/>
                  <w:tcBorders>
                    <w:tl2br w:val="nil"/>
                    <w:tr2bl w:val="nil"/>
                  </w:tcBorders>
                  <w:vAlign w:val="center"/>
                </w:tcPr>
                <w:p w14:paraId="3497EDE8">
                  <w:pPr>
                    <w:spacing w:line="32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监测点位描述</w:t>
                  </w:r>
                </w:p>
              </w:tc>
              <w:tc>
                <w:tcPr>
                  <w:tcW w:w="700" w:type="pct"/>
                  <w:tcBorders>
                    <w:tl2br w:val="nil"/>
                    <w:tr2bl w:val="nil"/>
                  </w:tcBorders>
                  <w:vAlign w:val="center"/>
                </w:tcPr>
                <w:p w14:paraId="7E27B534">
                  <w:pPr>
                    <w:spacing w:line="32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昼间</w:t>
                  </w:r>
                </w:p>
                <w:p w14:paraId="1A01CDE0">
                  <w:pPr>
                    <w:spacing w:line="320" w:lineRule="exact"/>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14:textFill>
                        <w14:solidFill>
                          <w14:schemeClr w14:val="tx1"/>
                        </w14:solidFill>
                      </w14:textFill>
                    </w:rPr>
                    <w:t>dB</w:t>
                  </w: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14:textFill>
                        <w14:solidFill>
                          <w14:schemeClr w14:val="tx1"/>
                        </w14:solidFill>
                      </w14:textFill>
                    </w:rPr>
                    <w:t>A</w:t>
                  </w:r>
                  <w:r>
                    <w:rPr>
                      <w:rFonts w:hint="eastAsia"/>
                      <w:b/>
                      <w:bCs/>
                      <w:color w:val="000000" w:themeColor="text1"/>
                      <w:szCs w:val="21"/>
                      <w:lang w:eastAsia="zh-CN"/>
                      <w14:textFill>
                        <w14:solidFill>
                          <w14:schemeClr w14:val="tx1"/>
                        </w14:solidFill>
                      </w14:textFill>
                    </w:rPr>
                    <w:t>））</w:t>
                  </w:r>
                </w:p>
              </w:tc>
              <w:tc>
                <w:tcPr>
                  <w:tcW w:w="707" w:type="pct"/>
                  <w:tcBorders>
                    <w:tl2br w:val="nil"/>
                    <w:tr2bl w:val="nil"/>
                  </w:tcBorders>
                  <w:vAlign w:val="center"/>
                </w:tcPr>
                <w:p w14:paraId="36624992">
                  <w:pPr>
                    <w:spacing w:line="32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夜间</w:t>
                  </w:r>
                </w:p>
                <w:p w14:paraId="540ADAC1">
                  <w:pPr>
                    <w:spacing w:line="320" w:lineRule="exact"/>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14:textFill>
                        <w14:solidFill>
                          <w14:schemeClr w14:val="tx1"/>
                        </w14:solidFill>
                      </w14:textFill>
                    </w:rPr>
                    <w:t>dB</w:t>
                  </w: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14:textFill>
                        <w14:solidFill>
                          <w14:schemeClr w14:val="tx1"/>
                        </w14:solidFill>
                      </w14:textFill>
                    </w:rPr>
                    <w:t>A</w:t>
                  </w:r>
                  <w:r>
                    <w:rPr>
                      <w:rFonts w:hint="eastAsia"/>
                      <w:b/>
                      <w:bCs/>
                      <w:color w:val="000000" w:themeColor="text1"/>
                      <w:szCs w:val="21"/>
                      <w:lang w:eastAsia="zh-CN"/>
                      <w14:textFill>
                        <w14:solidFill>
                          <w14:schemeClr w14:val="tx1"/>
                        </w14:solidFill>
                      </w14:textFill>
                    </w:rPr>
                    <w:t>））</w:t>
                  </w:r>
                </w:p>
              </w:tc>
            </w:tr>
            <w:tr w14:paraId="197BB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61" w:type="pct"/>
                  <w:vMerge w:val="continue"/>
                  <w:tcBorders>
                    <w:tl2br w:val="nil"/>
                    <w:tr2bl w:val="nil"/>
                  </w:tcBorders>
                  <w:vAlign w:val="center"/>
                </w:tcPr>
                <w:p w14:paraId="26A031D7">
                  <w:pPr>
                    <w:spacing w:line="320" w:lineRule="exact"/>
                    <w:jc w:val="center"/>
                    <w:rPr>
                      <w:color w:val="000000" w:themeColor="text1"/>
                      <w:szCs w:val="21"/>
                      <w14:textFill>
                        <w14:solidFill>
                          <w14:schemeClr w14:val="tx1"/>
                        </w14:solidFill>
                      </w14:textFill>
                    </w:rPr>
                  </w:pPr>
                </w:p>
              </w:tc>
              <w:tc>
                <w:tcPr>
                  <w:tcW w:w="390" w:type="pct"/>
                  <w:tcBorders>
                    <w:tl2br w:val="nil"/>
                    <w:tr2bl w:val="nil"/>
                  </w:tcBorders>
                  <w:vAlign w:val="center"/>
                </w:tcPr>
                <w:p w14:paraId="4F6E97E2">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B1</w:t>
                  </w:r>
                </w:p>
              </w:tc>
              <w:tc>
                <w:tcPr>
                  <w:tcW w:w="1170" w:type="pct"/>
                  <w:vMerge w:val="restart"/>
                  <w:tcBorders>
                    <w:tl2br w:val="nil"/>
                    <w:tr2bl w:val="nil"/>
                  </w:tcBorders>
                  <w:vAlign w:val="center"/>
                </w:tcPr>
                <w:p w14:paraId="76F3C7DE">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监测断面位置：御道</w:t>
                  </w:r>
                </w:p>
                <w:p w14:paraId="160134F7">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口-塞罕坝 220kV 架空线边导弧垂最低处向西北布置40m 监测断面</w:t>
                  </w:r>
                </w:p>
              </w:tc>
              <w:tc>
                <w:tcPr>
                  <w:tcW w:w="1170" w:type="pct"/>
                  <w:tcBorders>
                    <w:tl2br w:val="nil"/>
                    <w:tr2bl w:val="nil"/>
                  </w:tcBorders>
                  <w:vAlign w:val="center"/>
                </w:tcPr>
                <w:p w14:paraId="45B1D661">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0m</w:t>
                  </w:r>
                </w:p>
              </w:tc>
              <w:tc>
                <w:tcPr>
                  <w:tcW w:w="700" w:type="pct"/>
                  <w:tcBorders>
                    <w:tl2br w:val="nil"/>
                    <w:tr2bl w:val="nil"/>
                  </w:tcBorders>
                  <w:vAlign w:val="center"/>
                </w:tcPr>
                <w:p w14:paraId="1BA00EF5">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w:t>
                  </w:r>
                </w:p>
              </w:tc>
              <w:tc>
                <w:tcPr>
                  <w:tcW w:w="707" w:type="pct"/>
                  <w:tcBorders>
                    <w:tl2br w:val="nil"/>
                    <w:tr2bl w:val="nil"/>
                  </w:tcBorders>
                  <w:vAlign w:val="center"/>
                </w:tcPr>
                <w:p w14:paraId="483240DF">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14:paraId="6D62B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61" w:type="pct"/>
                  <w:vMerge w:val="continue"/>
                  <w:tcBorders>
                    <w:tl2br w:val="nil"/>
                    <w:tr2bl w:val="nil"/>
                  </w:tcBorders>
                  <w:vAlign w:val="center"/>
                </w:tcPr>
                <w:p w14:paraId="4AE6BCC1">
                  <w:pPr>
                    <w:spacing w:line="320" w:lineRule="exact"/>
                    <w:jc w:val="center"/>
                    <w:rPr>
                      <w:color w:val="000000" w:themeColor="text1"/>
                      <w:szCs w:val="21"/>
                      <w14:textFill>
                        <w14:solidFill>
                          <w14:schemeClr w14:val="tx1"/>
                        </w14:solidFill>
                      </w14:textFill>
                    </w:rPr>
                  </w:pPr>
                </w:p>
              </w:tc>
              <w:tc>
                <w:tcPr>
                  <w:tcW w:w="390" w:type="pct"/>
                  <w:tcBorders>
                    <w:tl2br w:val="nil"/>
                    <w:tr2bl w:val="nil"/>
                  </w:tcBorders>
                  <w:vAlign w:val="center"/>
                </w:tcPr>
                <w:p w14:paraId="102D79FA">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B2</w:t>
                  </w:r>
                </w:p>
              </w:tc>
              <w:tc>
                <w:tcPr>
                  <w:tcW w:w="1170" w:type="pct"/>
                  <w:vMerge w:val="continue"/>
                  <w:tcBorders>
                    <w:tl2br w:val="nil"/>
                    <w:tr2bl w:val="nil"/>
                  </w:tcBorders>
                  <w:vAlign w:val="center"/>
                </w:tcPr>
                <w:p w14:paraId="2E4CFE8C">
                  <w:pPr>
                    <w:spacing w:line="320" w:lineRule="exact"/>
                    <w:jc w:val="center"/>
                    <w:rPr>
                      <w:color w:val="000000" w:themeColor="text1"/>
                      <w:szCs w:val="21"/>
                      <w14:textFill>
                        <w14:solidFill>
                          <w14:schemeClr w14:val="tx1"/>
                        </w14:solidFill>
                      </w14:textFill>
                    </w:rPr>
                  </w:pPr>
                </w:p>
              </w:tc>
              <w:tc>
                <w:tcPr>
                  <w:tcW w:w="1170" w:type="pct"/>
                  <w:tcBorders>
                    <w:tl2br w:val="nil"/>
                    <w:tr2bl w:val="nil"/>
                  </w:tcBorders>
                  <w:vAlign w:val="center"/>
                </w:tcPr>
                <w:p w14:paraId="7248FE51">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5m</w:t>
                  </w:r>
                </w:p>
              </w:tc>
              <w:tc>
                <w:tcPr>
                  <w:tcW w:w="700" w:type="pct"/>
                  <w:tcBorders>
                    <w:tl2br w:val="nil"/>
                    <w:tr2bl w:val="nil"/>
                  </w:tcBorders>
                  <w:vAlign w:val="center"/>
                </w:tcPr>
                <w:p w14:paraId="471EF903">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w:t>
                  </w:r>
                </w:p>
              </w:tc>
              <w:tc>
                <w:tcPr>
                  <w:tcW w:w="707" w:type="pct"/>
                  <w:tcBorders>
                    <w:tl2br w:val="nil"/>
                    <w:tr2bl w:val="nil"/>
                  </w:tcBorders>
                  <w:vAlign w:val="center"/>
                </w:tcPr>
                <w:p w14:paraId="13DE59E4">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r>
            <w:tr w14:paraId="7CDA0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61" w:type="pct"/>
                  <w:vMerge w:val="continue"/>
                  <w:tcBorders>
                    <w:tl2br w:val="nil"/>
                    <w:tr2bl w:val="nil"/>
                  </w:tcBorders>
                  <w:vAlign w:val="center"/>
                </w:tcPr>
                <w:p w14:paraId="1FF449C9">
                  <w:pPr>
                    <w:spacing w:line="320" w:lineRule="exact"/>
                    <w:jc w:val="center"/>
                    <w:rPr>
                      <w:color w:val="000000" w:themeColor="text1"/>
                      <w:szCs w:val="21"/>
                      <w14:textFill>
                        <w14:solidFill>
                          <w14:schemeClr w14:val="tx1"/>
                        </w14:solidFill>
                      </w14:textFill>
                    </w:rPr>
                  </w:pPr>
                </w:p>
              </w:tc>
              <w:tc>
                <w:tcPr>
                  <w:tcW w:w="390" w:type="pct"/>
                  <w:tcBorders>
                    <w:tl2br w:val="nil"/>
                    <w:tr2bl w:val="nil"/>
                  </w:tcBorders>
                  <w:vAlign w:val="center"/>
                </w:tcPr>
                <w:p w14:paraId="3318F94D">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B3</w:t>
                  </w:r>
                </w:p>
              </w:tc>
              <w:tc>
                <w:tcPr>
                  <w:tcW w:w="1170" w:type="pct"/>
                  <w:vMerge w:val="continue"/>
                  <w:tcBorders>
                    <w:tl2br w:val="nil"/>
                    <w:tr2bl w:val="nil"/>
                  </w:tcBorders>
                  <w:vAlign w:val="center"/>
                </w:tcPr>
                <w:p w14:paraId="3C779DC5">
                  <w:pPr>
                    <w:spacing w:line="320" w:lineRule="exact"/>
                    <w:jc w:val="center"/>
                    <w:rPr>
                      <w:color w:val="000000" w:themeColor="text1"/>
                      <w:szCs w:val="21"/>
                      <w14:textFill>
                        <w14:solidFill>
                          <w14:schemeClr w14:val="tx1"/>
                        </w14:solidFill>
                      </w14:textFill>
                    </w:rPr>
                  </w:pPr>
                </w:p>
              </w:tc>
              <w:tc>
                <w:tcPr>
                  <w:tcW w:w="1170" w:type="pct"/>
                  <w:tcBorders>
                    <w:tl2br w:val="nil"/>
                    <w:tr2bl w:val="nil"/>
                  </w:tcBorders>
                  <w:vAlign w:val="center"/>
                </w:tcPr>
                <w:p w14:paraId="22C4F3D3">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10m</w:t>
                  </w:r>
                </w:p>
              </w:tc>
              <w:tc>
                <w:tcPr>
                  <w:tcW w:w="700" w:type="pct"/>
                  <w:tcBorders>
                    <w:tl2br w:val="nil"/>
                    <w:tr2bl w:val="nil"/>
                  </w:tcBorders>
                  <w:vAlign w:val="center"/>
                </w:tcPr>
                <w:p w14:paraId="12951323">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w:t>
                  </w:r>
                </w:p>
              </w:tc>
              <w:tc>
                <w:tcPr>
                  <w:tcW w:w="707" w:type="pct"/>
                  <w:tcBorders>
                    <w:tl2br w:val="nil"/>
                    <w:tr2bl w:val="nil"/>
                  </w:tcBorders>
                  <w:vAlign w:val="center"/>
                </w:tcPr>
                <w:p w14:paraId="591CD237">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r>
            <w:tr w14:paraId="6EED2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61" w:type="pct"/>
                  <w:vMerge w:val="continue"/>
                  <w:tcBorders>
                    <w:tl2br w:val="nil"/>
                    <w:tr2bl w:val="nil"/>
                  </w:tcBorders>
                  <w:vAlign w:val="center"/>
                </w:tcPr>
                <w:p w14:paraId="2CBA2522">
                  <w:pPr>
                    <w:spacing w:line="320" w:lineRule="exact"/>
                    <w:jc w:val="center"/>
                    <w:rPr>
                      <w:color w:val="000000" w:themeColor="text1"/>
                      <w:szCs w:val="21"/>
                      <w14:textFill>
                        <w14:solidFill>
                          <w14:schemeClr w14:val="tx1"/>
                        </w14:solidFill>
                      </w14:textFill>
                    </w:rPr>
                  </w:pPr>
                </w:p>
              </w:tc>
              <w:tc>
                <w:tcPr>
                  <w:tcW w:w="390" w:type="pct"/>
                  <w:tcBorders>
                    <w:tl2br w:val="nil"/>
                    <w:tr2bl w:val="nil"/>
                  </w:tcBorders>
                  <w:vAlign w:val="center"/>
                </w:tcPr>
                <w:p w14:paraId="27EB20B5">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B4</w:t>
                  </w:r>
                </w:p>
              </w:tc>
              <w:tc>
                <w:tcPr>
                  <w:tcW w:w="1170" w:type="pct"/>
                  <w:vMerge w:val="continue"/>
                  <w:tcBorders>
                    <w:tl2br w:val="nil"/>
                    <w:tr2bl w:val="nil"/>
                  </w:tcBorders>
                  <w:vAlign w:val="center"/>
                </w:tcPr>
                <w:p w14:paraId="724BA366">
                  <w:pPr>
                    <w:spacing w:line="320" w:lineRule="exact"/>
                    <w:jc w:val="center"/>
                    <w:rPr>
                      <w:color w:val="000000" w:themeColor="text1"/>
                      <w:szCs w:val="21"/>
                      <w14:textFill>
                        <w14:solidFill>
                          <w14:schemeClr w14:val="tx1"/>
                        </w14:solidFill>
                      </w14:textFill>
                    </w:rPr>
                  </w:pPr>
                </w:p>
              </w:tc>
              <w:tc>
                <w:tcPr>
                  <w:tcW w:w="1170" w:type="pct"/>
                  <w:tcBorders>
                    <w:tl2br w:val="nil"/>
                    <w:tr2bl w:val="nil"/>
                  </w:tcBorders>
                  <w:vAlign w:val="center"/>
                </w:tcPr>
                <w:p w14:paraId="7913DC4B">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15m</w:t>
                  </w:r>
                </w:p>
              </w:tc>
              <w:tc>
                <w:tcPr>
                  <w:tcW w:w="700" w:type="pct"/>
                  <w:tcBorders>
                    <w:tl2br w:val="nil"/>
                    <w:tr2bl w:val="nil"/>
                  </w:tcBorders>
                  <w:vAlign w:val="center"/>
                </w:tcPr>
                <w:p w14:paraId="2EB19F69">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w:t>
                  </w:r>
                </w:p>
              </w:tc>
              <w:tc>
                <w:tcPr>
                  <w:tcW w:w="707" w:type="pct"/>
                  <w:tcBorders>
                    <w:tl2br w:val="nil"/>
                    <w:tr2bl w:val="nil"/>
                  </w:tcBorders>
                  <w:vAlign w:val="center"/>
                </w:tcPr>
                <w:p w14:paraId="7DD7A21C">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w:t>
                  </w:r>
                </w:p>
              </w:tc>
            </w:tr>
            <w:tr w14:paraId="6D827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61" w:type="pct"/>
                  <w:vMerge w:val="continue"/>
                  <w:tcBorders>
                    <w:tl2br w:val="nil"/>
                    <w:tr2bl w:val="nil"/>
                  </w:tcBorders>
                  <w:vAlign w:val="center"/>
                </w:tcPr>
                <w:p w14:paraId="7546938E">
                  <w:pPr>
                    <w:spacing w:line="320" w:lineRule="exact"/>
                    <w:jc w:val="center"/>
                    <w:rPr>
                      <w:color w:val="000000" w:themeColor="text1"/>
                      <w:szCs w:val="21"/>
                      <w14:textFill>
                        <w14:solidFill>
                          <w14:schemeClr w14:val="tx1"/>
                        </w14:solidFill>
                      </w14:textFill>
                    </w:rPr>
                  </w:pPr>
                </w:p>
              </w:tc>
              <w:tc>
                <w:tcPr>
                  <w:tcW w:w="390" w:type="pct"/>
                  <w:tcBorders>
                    <w:tl2br w:val="nil"/>
                    <w:tr2bl w:val="nil"/>
                  </w:tcBorders>
                  <w:vAlign w:val="center"/>
                </w:tcPr>
                <w:p w14:paraId="76CEC093">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B5</w:t>
                  </w:r>
                </w:p>
              </w:tc>
              <w:tc>
                <w:tcPr>
                  <w:tcW w:w="1170" w:type="pct"/>
                  <w:vMerge w:val="continue"/>
                  <w:tcBorders>
                    <w:tl2br w:val="nil"/>
                    <w:tr2bl w:val="nil"/>
                  </w:tcBorders>
                  <w:vAlign w:val="center"/>
                </w:tcPr>
                <w:p w14:paraId="201CF379">
                  <w:pPr>
                    <w:spacing w:line="320" w:lineRule="exact"/>
                    <w:jc w:val="center"/>
                    <w:rPr>
                      <w:color w:val="000000" w:themeColor="text1"/>
                      <w:szCs w:val="21"/>
                      <w14:textFill>
                        <w14:solidFill>
                          <w14:schemeClr w14:val="tx1"/>
                        </w14:solidFill>
                      </w14:textFill>
                    </w:rPr>
                  </w:pPr>
                </w:p>
              </w:tc>
              <w:tc>
                <w:tcPr>
                  <w:tcW w:w="1170" w:type="pct"/>
                  <w:tcBorders>
                    <w:tl2br w:val="nil"/>
                    <w:tr2bl w:val="nil"/>
                  </w:tcBorders>
                  <w:vAlign w:val="center"/>
                </w:tcPr>
                <w:p w14:paraId="08328A98">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20m</w:t>
                  </w:r>
                </w:p>
              </w:tc>
              <w:tc>
                <w:tcPr>
                  <w:tcW w:w="700" w:type="pct"/>
                  <w:tcBorders>
                    <w:tl2br w:val="nil"/>
                    <w:tr2bl w:val="nil"/>
                  </w:tcBorders>
                  <w:vAlign w:val="center"/>
                </w:tcPr>
                <w:p w14:paraId="77BF04A3">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w:t>
                  </w:r>
                </w:p>
              </w:tc>
              <w:tc>
                <w:tcPr>
                  <w:tcW w:w="707" w:type="pct"/>
                  <w:tcBorders>
                    <w:tl2br w:val="nil"/>
                    <w:tr2bl w:val="nil"/>
                  </w:tcBorders>
                  <w:vAlign w:val="center"/>
                </w:tcPr>
                <w:p w14:paraId="3D649639">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r>
            <w:tr w14:paraId="02E80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61" w:type="pct"/>
                  <w:vMerge w:val="continue"/>
                  <w:tcBorders>
                    <w:tl2br w:val="nil"/>
                    <w:tr2bl w:val="nil"/>
                  </w:tcBorders>
                  <w:vAlign w:val="center"/>
                </w:tcPr>
                <w:p w14:paraId="4CE181F1">
                  <w:pPr>
                    <w:spacing w:line="320" w:lineRule="exact"/>
                    <w:jc w:val="center"/>
                    <w:rPr>
                      <w:color w:val="000000" w:themeColor="text1"/>
                      <w:szCs w:val="21"/>
                      <w14:textFill>
                        <w14:solidFill>
                          <w14:schemeClr w14:val="tx1"/>
                        </w14:solidFill>
                      </w14:textFill>
                    </w:rPr>
                  </w:pPr>
                </w:p>
              </w:tc>
              <w:tc>
                <w:tcPr>
                  <w:tcW w:w="390" w:type="pct"/>
                  <w:tcBorders>
                    <w:tl2br w:val="nil"/>
                    <w:tr2bl w:val="nil"/>
                  </w:tcBorders>
                  <w:vAlign w:val="center"/>
                </w:tcPr>
                <w:p w14:paraId="1C479BF8">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B6</w:t>
                  </w:r>
                </w:p>
              </w:tc>
              <w:tc>
                <w:tcPr>
                  <w:tcW w:w="1170" w:type="pct"/>
                  <w:vMerge w:val="continue"/>
                  <w:tcBorders>
                    <w:tl2br w:val="nil"/>
                    <w:tr2bl w:val="nil"/>
                  </w:tcBorders>
                  <w:vAlign w:val="center"/>
                </w:tcPr>
                <w:p w14:paraId="2F82C995">
                  <w:pPr>
                    <w:spacing w:line="320" w:lineRule="exact"/>
                    <w:jc w:val="center"/>
                    <w:rPr>
                      <w:color w:val="000000" w:themeColor="text1"/>
                      <w:szCs w:val="21"/>
                      <w14:textFill>
                        <w14:solidFill>
                          <w14:schemeClr w14:val="tx1"/>
                        </w14:solidFill>
                      </w14:textFill>
                    </w:rPr>
                  </w:pPr>
                </w:p>
              </w:tc>
              <w:tc>
                <w:tcPr>
                  <w:tcW w:w="1170" w:type="pct"/>
                  <w:tcBorders>
                    <w:tl2br w:val="nil"/>
                    <w:tr2bl w:val="nil"/>
                  </w:tcBorders>
                  <w:vAlign w:val="center"/>
                </w:tcPr>
                <w:p w14:paraId="44AE275E">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30m</w:t>
                  </w:r>
                </w:p>
              </w:tc>
              <w:tc>
                <w:tcPr>
                  <w:tcW w:w="700" w:type="pct"/>
                  <w:tcBorders>
                    <w:tl2br w:val="nil"/>
                    <w:tr2bl w:val="nil"/>
                  </w:tcBorders>
                  <w:vAlign w:val="center"/>
                </w:tcPr>
                <w:p w14:paraId="2F6A407A">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w:t>
                  </w:r>
                </w:p>
              </w:tc>
              <w:tc>
                <w:tcPr>
                  <w:tcW w:w="707" w:type="pct"/>
                  <w:tcBorders>
                    <w:tl2br w:val="nil"/>
                    <w:tr2bl w:val="nil"/>
                  </w:tcBorders>
                  <w:vAlign w:val="center"/>
                </w:tcPr>
                <w:p w14:paraId="7565F29A">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w:t>
                  </w:r>
                </w:p>
              </w:tc>
            </w:tr>
            <w:tr w14:paraId="7700B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61" w:type="pct"/>
                  <w:vMerge w:val="continue"/>
                  <w:tcBorders>
                    <w:tl2br w:val="nil"/>
                    <w:tr2bl w:val="nil"/>
                  </w:tcBorders>
                  <w:vAlign w:val="center"/>
                </w:tcPr>
                <w:p w14:paraId="1EF4D0FA">
                  <w:pPr>
                    <w:spacing w:line="320" w:lineRule="exact"/>
                    <w:jc w:val="center"/>
                    <w:rPr>
                      <w:color w:val="000000" w:themeColor="text1"/>
                      <w:szCs w:val="21"/>
                      <w14:textFill>
                        <w14:solidFill>
                          <w14:schemeClr w14:val="tx1"/>
                        </w14:solidFill>
                      </w14:textFill>
                    </w:rPr>
                  </w:pPr>
                </w:p>
              </w:tc>
              <w:tc>
                <w:tcPr>
                  <w:tcW w:w="390" w:type="pct"/>
                  <w:tcBorders>
                    <w:tl2br w:val="nil"/>
                    <w:tr2bl w:val="nil"/>
                  </w:tcBorders>
                  <w:vAlign w:val="center"/>
                </w:tcPr>
                <w:p w14:paraId="5FF28CBC">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B7</w:t>
                  </w:r>
                </w:p>
              </w:tc>
              <w:tc>
                <w:tcPr>
                  <w:tcW w:w="1170" w:type="pct"/>
                  <w:vMerge w:val="continue"/>
                  <w:tcBorders>
                    <w:tl2br w:val="nil"/>
                    <w:tr2bl w:val="nil"/>
                  </w:tcBorders>
                  <w:vAlign w:val="center"/>
                </w:tcPr>
                <w:p w14:paraId="4E045EA7">
                  <w:pPr>
                    <w:spacing w:line="320" w:lineRule="exact"/>
                    <w:jc w:val="center"/>
                    <w:rPr>
                      <w:color w:val="000000" w:themeColor="text1"/>
                      <w:szCs w:val="21"/>
                      <w14:textFill>
                        <w14:solidFill>
                          <w14:schemeClr w14:val="tx1"/>
                        </w14:solidFill>
                      </w14:textFill>
                    </w:rPr>
                  </w:pPr>
                </w:p>
              </w:tc>
              <w:tc>
                <w:tcPr>
                  <w:tcW w:w="1170" w:type="pct"/>
                  <w:tcBorders>
                    <w:tl2br w:val="nil"/>
                    <w:tr2bl w:val="nil"/>
                  </w:tcBorders>
                  <w:vAlign w:val="center"/>
                </w:tcPr>
                <w:p w14:paraId="48A6C404">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40m</w:t>
                  </w:r>
                </w:p>
              </w:tc>
              <w:tc>
                <w:tcPr>
                  <w:tcW w:w="700" w:type="pct"/>
                  <w:tcBorders>
                    <w:tl2br w:val="nil"/>
                    <w:tr2bl w:val="nil"/>
                  </w:tcBorders>
                  <w:vAlign w:val="center"/>
                </w:tcPr>
                <w:p w14:paraId="6CF36432">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w:t>
                  </w:r>
                </w:p>
              </w:tc>
              <w:tc>
                <w:tcPr>
                  <w:tcW w:w="707" w:type="pct"/>
                  <w:tcBorders>
                    <w:tl2br w:val="nil"/>
                    <w:tr2bl w:val="nil"/>
                  </w:tcBorders>
                  <w:vAlign w:val="center"/>
                </w:tcPr>
                <w:p w14:paraId="38E1E1D6">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w:t>
                  </w:r>
                </w:p>
              </w:tc>
            </w:tr>
            <w:tr w14:paraId="7EB93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61" w:type="pct"/>
                  <w:tcBorders>
                    <w:tl2br w:val="nil"/>
                    <w:tr2bl w:val="nil"/>
                  </w:tcBorders>
                  <w:vAlign w:val="center"/>
                </w:tcPr>
                <w:p w14:paraId="02E06DA5">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c>
                <w:tcPr>
                  <w:tcW w:w="4138" w:type="pct"/>
                  <w:gridSpan w:val="5"/>
                  <w:tcBorders>
                    <w:tl2br w:val="nil"/>
                    <w:tr2bl w:val="nil"/>
                  </w:tcBorders>
                  <w:vAlign w:val="center"/>
                </w:tcPr>
                <w:p w14:paraId="57F9D15C">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1.本报告仅对本次监测点位和监测结果负责；</w:t>
                  </w:r>
                </w:p>
                <w:p w14:paraId="7AC68271">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2.监测期间气象条件为： 无雨雪、无雷电，风速小于 5m/s。</w:t>
                  </w:r>
                </w:p>
              </w:tc>
            </w:tr>
          </w:tbl>
          <w:p w14:paraId="370514A7">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监测结果分析：</w:t>
            </w:r>
          </w:p>
          <w:p w14:paraId="6788FC36">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本工程御道口-塞罕坝220kV架空线路声环境监测断面的昼间噪声监测值为43~45dB（A），夜间噪声监测值为34~36dB（A），满足《声环境质量标准》（GB3096-2008）1类标准限值要求。</w:t>
            </w:r>
          </w:p>
          <w:p w14:paraId="38590A4F">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⑥类比分析结论</w:t>
            </w:r>
          </w:p>
          <w:p w14:paraId="1DE43507">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综上所述，根据御道口-塞罕坝220kV架空线路声环境监测断面监测，实测结果均符合《声环境质量标准》（GB3096－2008）1类标准要求，因此，本项目220kV架空线路建成后，对区域声环境质量影响轻微。</w:t>
            </w:r>
          </w:p>
          <w:p w14:paraId="6066B2F5">
            <w:pPr>
              <w:adjustRightInd w:val="0"/>
              <w:snapToGrid w:val="0"/>
              <w:spacing w:line="480" w:lineRule="exact"/>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四</w:t>
            </w:r>
            <w:r>
              <w:rPr>
                <w:b/>
                <w:bCs/>
                <w:color w:val="000000" w:themeColor="text1"/>
                <w:szCs w:val="21"/>
                <w14:textFill>
                  <w14:solidFill>
                    <w14:schemeClr w14:val="tx1"/>
                  </w14:solidFill>
                </w14:textFill>
              </w:rPr>
              <w:t>、运营期</w:t>
            </w:r>
            <w:r>
              <w:rPr>
                <w:rFonts w:hint="eastAsia"/>
                <w:b/>
                <w:bCs/>
                <w:color w:val="000000" w:themeColor="text1"/>
                <w:szCs w:val="21"/>
                <w14:textFill>
                  <w14:solidFill>
                    <w14:schemeClr w14:val="tx1"/>
                  </w14:solidFill>
                </w14:textFill>
              </w:rPr>
              <w:t>电磁环境</w:t>
            </w:r>
            <w:r>
              <w:rPr>
                <w:b/>
                <w:bCs/>
                <w:color w:val="000000" w:themeColor="text1"/>
                <w:szCs w:val="21"/>
                <w14:textFill>
                  <w14:solidFill>
                    <w14:schemeClr w14:val="tx1"/>
                  </w14:solidFill>
                </w14:textFill>
              </w:rPr>
              <w:t>影响分析</w:t>
            </w:r>
          </w:p>
          <w:p w14:paraId="7826334E">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输电线路运营期会产生电磁环境影响。根据本项目工程内容，按照《环境影响评价技术导则  输变电》（HJ 24-2020）中关于电磁环境影响评价工作等级划分的规定，确定本项目电磁环境影响评价等级为</w:t>
            </w:r>
            <w:r>
              <w:rPr>
                <w:rFonts w:hint="eastAsia"/>
                <w:color w:val="000000" w:themeColor="text1"/>
                <w:szCs w:val="21"/>
                <w:lang w:val="en-US" w:eastAsia="zh-CN"/>
                <w14:textFill>
                  <w14:solidFill>
                    <w14:schemeClr w14:val="tx1"/>
                  </w14:solidFill>
                </w14:textFill>
              </w:rPr>
              <w:t>二</w:t>
            </w:r>
            <w:r>
              <w:rPr>
                <w:rFonts w:hint="eastAsia"/>
                <w:color w:val="000000" w:themeColor="text1"/>
                <w:szCs w:val="21"/>
                <w14:textFill>
                  <w14:solidFill>
                    <w14:schemeClr w14:val="tx1"/>
                  </w14:solidFill>
                </w14:textFill>
              </w:rPr>
              <w:t>级。电磁环境影响预测评价的因子为：工频电场、工频磁场。</w:t>
            </w:r>
          </w:p>
          <w:p w14:paraId="33407E07">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根据电磁环境影响预测结果，本项目架空线路线下的场所分别为耕地、草地、道路和河流，不存在其他场所，距离线路中心线投影两侧的工频电场强度均符合《电磁环境控制限值》（GB 8702-2014）中规定的架空输电线路线下的耕地、园地、牧草地、畜禽饲养地、养殖水面、道路等场所，其频率50Hz的电场强度控制限值为 10kV/m，且应给出警示和防护指示标志，距离线路中心线投影两侧的工频磁感应强度均符合100μT的评价标准，输电线路的电磁影响符合《电磁环境控制限值》（GB8702-2014）中相关限值要求。</w:t>
            </w:r>
          </w:p>
          <w:p w14:paraId="2E36938F">
            <w:pPr>
              <w:spacing w:line="48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电磁环境影响分析详见</w:t>
            </w:r>
            <w:r>
              <w:rPr>
                <w:rFonts w:hint="eastAsia"/>
                <w:color w:val="000000" w:themeColor="text1"/>
                <w:szCs w:val="21"/>
                <w:lang w:val="en-US" w:eastAsia="zh-CN"/>
                <w14:textFill>
                  <w14:solidFill>
                    <w14:schemeClr w14:val="tx1"/>
                  </w14:solidFill>
                </w14:textFill>
              </w:rPr>
              <w:t>电磁环境专题</w:t>
            </w:r>
            <w:r>
              <w:rPr>
                <w:rFonts w:hint="eastAsia"/>
                <w:color w:val="000000" w:themeColor="text1"/>
                <w:szCs w:val="21"/>
                <w14:textFill>
                  <w14:solidFill>
                    <w14:schemeClr w14:val="tx1"/>
                  </w14:solidFill>
                </w14:textFill>
              </w:rPr>
              <w:t>内容。</w:t>
            </w:r>
          </w:p>
          <w:p w14:paraId="3BDA5E15">
            <w:pPr>
              <w:adjustRightInd w:val="0"/>
              <w:snapToGrid w:val="0"/>
              <w:spacing w:line="48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五、</w:t>
            </w:r>
            <w:r>
              <w:rPr>
                <w:b/>
                <w:bCs/>
                <w:color w:val="000000" w:themeColor="text1"/>
                <w:szCs w:val="21"/>
                <w14:textFill>
                  <w14:solidFill>
                    <w14:schemeClr w14:val="tx1"/>
                  </w14:solidFill>
                </w14:textFill>
              </w:rPr>
              <w:t>运营期生态环境影响分析</w:t>
            </w:r>
          </w:p>
          <w:p w14:paraId="4E3E2092">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1、运行期对陆生植物的影响分析</w:t>
            </w:r>
          </w:p>
          <w:p w14:paraId="581A274E">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本工程运行期间，对导线下方高度较高的森林群落需要修砍，由此将对其产生一定影响。运行期间线路巡检维护可能对沿线区域的植被造成一定的践踏、碾压破坏影响，通过加强环保教育培训，大力宣传相关环保法律法规，禁止巡线人员捕杀野生动物，规范施工人员行为后，车辆和巡线沿已有的道路行驶，避免开辟新的巡线路线，即可避免对生态环境的不利影响。通过后期植被恢复，区域内各种植被类型的面积和比例与现状仍然基本相当，生物量不会发生锐减。本项目的建设运行对周边植物群落原有的结构、组成和多样性基本不会产生明显影响，也不会对当地生态环境造成明显影响。</w:t>
            </w:r>
          </w:p>
          <w:p w14:paraId="777E4151">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2、运行期对野生动物的影响分析</w:t>
            </w:r>
          </w:p>
          <w:p w14:paraId="5F6802E2">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（1）对兽类及两栖爬行类动物的影响</w:t>
            </w:r>
          </w:p>
          <w:p w14:paraId="15FDDE22">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输电线路工程由于其塔基为点状分布，杆塔之间的区域为架空线路，不会对迁移动物的生境和活动产生真正的阻隔。工程运行后，陆生动物仍可自由活动和穿梭于线路两侧。本项目工程选线区域人迹罕至，运行期人为活动很少，仅为线路安全运行考虑配置有巡线工人，且巡线工人数量少，其巡线活动有一定的时间间隔，不会因为人类活动频繁而影响陆生动物的栖息和繁衍。</w:t>
            </w:r>
          </w:p>
          <w:p w14:paraId="19F98E6B">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 xml:space="preserve">（2）对鸟类的影响 </w:t>
            </w:r>
          </w:p>
          <w:p w14:paraId="25CFBCD0">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①对迁徙鸟类的影响</w:t>
            </w:r>
          </w:p>
          <w:p w14:paraId="22742CF6">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输电线路的杆塔较为高大可能会对线路附近鸟类的迁徙和飞行造成一定的影响。根据《输电线路鸟害研究及驱鸟装置的研制》（范作杰，2006），输电线路上活动的鸟类常见的有鹳形目、隼形目、鹤形目、鸻形目、鸽形目、雨燕目及雀形目的鸟类。</w:t>
            </w:r>
          </w:p>
          <w:p w14:paraId="4A6E34B3">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 xml:space="preserve">本输电线路对鸟类活动的影响主要表现为鸟类在飞行中撞到输电线路和杆塔受伤以及触电事故。鸟类一般具有很好的视力，它们很容易发现并躲避障碍物，在飞行途中遇到障碍物都会在大约100-200m的距离内避开。因此，在天气晴好的情况下，鸟类误撞输电线路的概率很小。但是，在鸟类遇到逆风条件下，飞得很低，撞在障碍物上的概率会增加。另外，在夜间或在有雾、烟、密云和蒙蒙雨、透视度很低的白天，发生误撞而死亡的概率也会提高。 </w:t>
            </w:r>
          </w:p>
          <w:p w14:paraId="0861E5E6">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针对鸟类飞行区域的阻碍影响，评价调查了相关研究资料。根据调查结果，一般鸟类的飞行高度为300m左右；在</w:t>
            </w:r>
            <w:r>
              <w:rPr>
                <w:rFonts w:hint="eastAsia"/>
                <w:color w:val="000000" w:themeColor="text1"/>
                <w:kern w:val="2"/>
                <w:szCs w:val="21"/>
                <w:lang w:eastAsia="zh-CN"/>
                <w14:textFill>
                  <w14:solidFill>
                    <w14:schemeClr w14:val="tx1"/>
                  </w14:solidFill>
                </w14:textFill>
              </w:rPr>
              <w:t>迁徙</w:t>
            </w:r>
            <w:r>
              <w:rPr>
                <w:rFonts w:hint="eastAsia"/>
                <w:color w:val="000000" w:themeColor="text1"/>
                <w:kern w:val="2"/>
                <w:szCs w:val="21"/>
                <w14:textFill>
                  <w14:solidFill>
                    <w14:schemeClr w14:val="tx1"/>
                  </w14:solidFill>
                </w14:textFill>
              </w:rPr>
              <w:t>季节，候鸟的迁飞高度在300m以上，如燕为450m、鹤为500m、雁为900m。因此，鸟类的正常飞行高度均远远超过基塔及电线的架设高度，鸟类飞行过程中碰撞基塔和电线的概率极低，本项目建设在正常情况下对鸟类的迁徙通道不会产生阻碍作用。</w:t>
            </w:r>
          </w:p>
          <w:p w14:paraId="4E6CA2D4">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输变电线路营运的噪声、电磁辐射可能会对鸟类造成潜在的威胁和影响，干扰动物的生殖活动和行为。电磁噪声和辐射在一定程度上可能会导致部分鸟类的内分泌紊乱、失调，以及一系列不良反应，另外，有报道称输变电工程产生的电磁场可能会对迁徙途中鸟类辨别方向的神经系统产生干扰作用，导致鸟类迷失方向。但目前科学界对输变电工程电磁环境的影响目前尚无统一认识，有待于进一步的深入研究。</w:t>
            </w:r>
          </w:p>
          <w:p w14:paraId="53BD0EF0">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②对留鸟的影响</w:t>
            </w:r>
          </w:p>
          <w:p w14:paraId="5969567E">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运行期工作人员线路检修增加人为干扰。本工程运行期检修频率不高，且区段检修时间短、检修人员较少，对留鸟人为干扰很小。</w:t>
            </w:r>
          </w:p>
          <w:p w14:paraId="355FD037">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（3）动物多样性影响</w:t>
            </w:r>
          </w:p>
          <w:p w14:paraId="5520E13C">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项目输电线路不属于千鹤山自然保护区范围，沿线无珍稀濒危物种分布，基塔建设为点状施工，各施工点之间距离较大，不破坏生态系统的连续性，不破坏野生动物的觅食环境；动物迁徙能力较强，且同类生境易于找寻，不受项目施工短期影响的野生动物临时迁往附近同类生境。输电线路的施工建设对野生动物的种类和数量无明显影响。</w:t>
            </w:r>
          </w:p>
          <w:p w14:paraId="50F90F12">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3、景观影响</w:t>
            </w:r>
          </w:p>
          <w:p w14:paraId="1F6A7BF2">
            <w:pPr>
              <w:pStyle w:val="17"/>
              <w:spacing w:line="480" w:lineRule="exact"/>
              <w:ind w:left="0" w:firstLine="420" w:firstLineChars="200"/>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输电项目的景观影响有破坏植被的直接影响，也有铁塔和输电线形成的不良景观。输电线路跨越或者距离自然景观较近时，会破坏当地原有的植被，使其景观特征发生改变，对生态景观的自然性带来不利影响。输电建设项目建成后，铁塔和导线将形成新的景观斑块，增加生态景观斑块的数量，提高了沿线生态景观的多样性程度，也加大了整体生态景观的破碎化程度，对原始景观斑块造成“疮疤”的感觉，对整体生态景观形成不和谐的视觉效果，造成较为明显的不利影响；铁塔和输电导线会切割原来连续的生态景观，使景观的空间连续性在一定程度上被破坏，在原有自然背景</w:t>
            </w:r>
            <w:r>
              <w:rPr>
                <w:rFonts w:hint="eastAsia"/>
                <w:color w:val="000000" w:themeColor="text1"/>
                <w:kern w:val="2"/>
                <w:szCs w:val="21"/>
                <w:lang w:eastAsia="zh-CN"/>
                <w14:textFill>
                  <w14:solidFill>
                    <w14:schemeClr w14:val="tx1"/>
                  </w14:solidFill>
                </w14:textFill>
              </w:rPr>
              <w:t>上钩</w:t>
            </w:r>
            <w:r>
              <w:rPr>
                <w:rFonts w:hint="eastAsia"/>
                <w:color w:val="000000" w:themeColor="text1"/>
                <w:kern w:val="2"/>
                <w:szCs w:val="21"/>
                <w14:textFill>
                  <w14:solidFill>
                    <w14:schemeClr w14:val="tx1"/>
                  </w14:solidFill>
                </w14:textFill>
              </w:rPr>
              <w:t>划出一条明显的人工印迹，与周围的天然生态景观之间形成鲜明的反差，造成不良的视觉冲击。</w:t>
            </w:r>
          </w:p>
          <w:p w14:paraId="7F8AF108">
            <w:pPr>
              <w:pStyle w:val="17"/>
              <w:spacing w:line="480" w:lineRule="exact"/>
              <w:ind w:left="0" w:firstLine="420" w:firstLineChars="200"/>
              <w:rPr>
                <w:b/>
                <w:bCs/>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综上，本项目修建塔基和架设输电线路会带来一定景观影响，但总体视觉冲击较小。</w:t>
            </w:r>
          </w:p>
        </w:tc>
      </w:tr>
      <w:tr w14:paraId="7D8B4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215" w:type="pct"/>
            <w:tcMar>
              <w:left w:w="28" w:type="dxa"/>
              <w:right w:w="28" w:type="dxa"/>
            </w:tcMar>
            <w:vAlign w:val="center"/>
          </w:tcPr>
          <w:p w14:paraId="75152127">
            <w:pPr>
              <w:pStyle w:val="20"/>
              <w:adjustRightInd w:val="0"/>
              <w:snapToGrid w:val="0"/>
              <w:spacing w:before="0" w:beforeAutospacing="0" w:after="0" w:afterAutospacing="0" w:line="480" w:lineRule="exact"/>
              <w:jc w:val="center"/>
              <w:rPr>
                <w:rFonts w:ascii="Times New Roman" w:hAnsi="Times New Roman"/>
                <w:bCs/>
                <w:color w:val="000000" w:themeColor="text1"/>
                <w:spacing w:val="10"/>
                <w:kern w:val="2"/>
                <w:sz w:val="21"/>
                <w:szCs w:val="21"/>
                <w14:textFill>
                  <w14:solidFill>
                    <w14:schemeClr w14:val="tx1"/>
                  </w14:solidFill>
                </w14:textFill>
              </w:rPr>
            </w:pPr>
            <w:r>
              <w:rPr>
                <w:rFonts w:hint="eastAsia" w:ascii="Times New Roman" w:hAnsi="Times New Roman"/>
                <w:bCs/>
                <w:color w:val="000000" w:themeColor="text1"/>
                <w:spacing w:val="10"/>
                <w:kern w:val="2"/>
                <w:sz w:val="21"/>
                <w:szCs w:val="21"/>
                <w14:textFill>
                  <w14:solidFill>
                    <w14:schemeClr w14:val="tx1"/>
                  </w14:solidFill>
                </w14:textFill>
              </w:rPr>
              <w:t>选址选线</w:t>
            </w:r>
          </w:p>
          <w:p w14:paraId="33D72BC1">
            <w:pPr>
              <w:pStyle w:val="20"/>
              <w:adjustRightInd w:val="0"/>
              <w:snapToGrid w:val="0"/>
              <w:spacing w:before="0" w:beforeAutospacing="0" w:after="0" w:afterAutospacing="0" w:line="480" w:lineRule="exact"/>
              <w:jc w:val="center"/>
              <w:rPr>
                <w:rFonts w:ascii="Times New Roman" w:hAnsi="Times New Roman"/>
                <w:bCs/>
                <w:color w:val="000000" w:themeColor="text1"/>
                <w:spacing w:val="10"/>
                <w:kern w:val="2"/>
                <w:sz w:val="21"/>
                <w:szCs w:val="21"/>
                <w14:textFill>
                  <w14:solidFill>
                    <w14:schemeClr w14:val="tx1"/>
                  </w14:solidFill>
                </w14:textFill>
              </w:rPr>
            </w:pPr>
            <w:r>
              <w:rPr>
                <w:rFonts w:hint="eastAsia" w:ascii="Times New Roman" w:hAnsi="Times New Roman"/>
                <w:bCs/>
                <w:color w:val="000000" w:themeColor="text1"/>
                <w:spacing w:val="10"/>
                <w:kern w:val="2"/>
                <w:sz w:val="21"/>
                <w:szCs w:val="21"/>
                <w14:textFill>
                  <w14:solidFill>
                    <w14:schemeClr w14:val="tx1"/>
                  </w14:solidFill>
                </w14:textFill>
              </w:rPr>
              <w:t>环境合理性分析</w:t>
            </w:r>
          </w:p>
        </w:tc>
        <w:tc>
          <w:tcPr>
            <w:tcW w:w="4784" w:type="pct"/>
          </w:tcPr>
          <w:p w14:paraId="03343F4F">
            <w:pPr>
              <w:pStyle w:val="17"/>
              <w:spacing w:line="480" w:lineRule="exact"/>
              <w:ind w:left="0" w:firstLine="422" w:firstLineChars="200"/>
              <w:rPr>
                <w:b/>
                <w:bCs/>
                <w:color w:val="000000" w:themeColor="text1"/>
                <w:kern w:val="2"/>
                <w:szCs w:val="21"/>
                <w14:textFill>
                  <w14:solidFill>
                    <w14:schemeClr w14:val="tx1"/>
                  </w14:solidFill>
                </w14:textFill>
              </w:rPr>
            </w:pPr>
            <w:r>
              <w:rPr>
                <w:rFonts w:hint="eastAsia"/>
                <w:b/>
                <w:bCs/>
                <w:color w:val="000000" w:themeColor="text1"/>
                <w:kern w:val="2"/>
                <w:szCs w:val="21"/>
                <w14:textFill>
                  <w14:solidFill>
                    <w14:schemeClr w14:val="tx1"/>
                  </w14:solidFill>
                </w14:textFill>
              </w:rPr>
              <w:t>一、工程选线比选方案</w:t>
            </w:r>
          </w:p>
          <w:p w14:paraId="5C311564">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经方案比选，方案一交方案二路径长2.1km，钻越已建电力线路相同，且线路全部位于山地，施工及运维难度相当。</w:t>
            </w:r>
          </w:p>
          <w:p w14:paraId="54FF0C45">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由路径图可知，方案二中间并行500kV牌楼线路段有大片基本农田，塔基很难实现全部避让，且B5~B6段需跨越郭家营村约80米，施工困难。</w:t>
            </w:r>
          </w:p>
          <w:p w14:paraId="4D0933E1">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丰晟升压站站址位于承秦高速和京承铁路南侧，铁路和高速东西走向，本工程线路南北走向，由于地理位置受限，本线路必须跨越承秦高速和京承铁路。本工程本方案一、二均需跨越方案一沿线基本草原和基本农田分布较少，可实现架空跨越，且不需跨越村庄。</w:t>
            </w:r>
          </w:p>
          <w:p w14:paraId="3FCF127D">
            <w:pPr>
              <w:pStyle w:val="17"/>
              <w:spacing w:line="480" w:lineRule="exact"/>
              <w:ind w:left="0" w:firstLine="420" w:firstLineChars="200"/>
              <w:rPr>
                <w:rFonts w:hint="eastAsia"/>
                <w:color w:val="000000" w:themeColor="text1"/>
                <w:kern w:val="2"/>
                <w:szCs w:val="21"/>
                <w14:textFill>
                  <w14:solidFill>
                    <w14:schemeClr w14:val="tx1"/>
                  </w14:solidFill>
                </w14:textFill>
              </w:rPr>
            </w:pPr>
            <w:r>
              <w:rPr>
                <w:rFonts w:hint="eastAsia"/>
                <w:color w:val="000000" w:themeColor="text1"/>
                <w:kern w:val="2"/>
                <w:szCs w:val="21"/>
                <w:lang w:val="en-US" w:eastAsia="zh-CN"/>
                <w14:textFill>
                  <w14:solidFill>
                    <w14:schemeClr w14:val="tx1"/>
                  </w14:solidFill>
                </w14:textFill>
              </w:rPr>
              <w:t>综上，本工程线路路径推荐方案一。</w:t>
            </w:r>
          </w:p>
          <w:p w14:paraId="34A43509">
            <w:pPr>
              <w:pStyle w:val="17"/>
              <w:spacing w:line="480" w:lineRule="exact"/>
              <w:ind w:left="0" w:firstLine="422" w:firstLineChars="200"/>
              <w:rPr>
                <w:b/>
                <w:bCs/>
                <w:color w:val="000000" w:themeColor="text1"/>
                <w:kern w:val="2"/>
                <w:szCs w:val="21"/>
                <w14:textFill>
                  <w14:solidFill>
                    <w14:schemeClr w14:val="tx1"/>
                  </w14:solidFill>
                </w14:textFill>
              </w:rPr>
            </w:pPr>
            <w:r>
              <w:rPr>
                <w:rFonts w:hint="eastAsia"/>
                <w:b/>
                <w:bCs/>
                <w:color w:val="000000" w:themeColor="text1"/>
                <w:kern w:val="2"/>
                <w:szCs w:val="21"/>
                <w:lang w:val="en-US" w:eastAsia="zh-CN"/>
                <w14:textFill>
                  <w14:solidFill>
                    <w14:schemeClr w14:val="tx1"/>
                  </w14:solidFill>
                </w14:textFill>
              </w:rPr>
              <w:t>二</w:t>
            </w:r>
            <w:r>
              <w:rPr>
                <w:rFonts w:hint="eastAsia"/>
                <w:b/>
                <w:bCs/>
                <w:color w:val="000000" w:themeColor="text1"/>
                <w:kern w:val="2"/>
                <w:szCs w:val="21"/>
                <w14:textFill>
                  <w14:solidFill>
                    <w14:schemeClr w14:val="tx1"/>
                  </w14:solidFill>
                </w14:textFill>
              </w:rPr>
              <w:t>、环境影响程度分析</w:t>
            </w:r>
          </w:p>
          <w:p w14:paraId="22E7594B">
            <w:pPr>
              <w:pStyle w:val="17"/>
              <w:spacing w:line="480" w:lineRule="exact"/>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本工程施工期加强对施工现场的管理，可开展施工期工程环境监理等，在采取有效的防护措施后，可最大限度地降低施工期间对周围环境的影响。</w:t>
            </w:r>
          </w:p>
          <w:p w14:paraId="16B1C2BC">
            <w:pPr>
              <w:pStyle w:val="17"/>
              <w:spacing w:line="480" w:lineRule="exact"/>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工程建成后无废气、废水产生，输电线路周围工频电场强度、工频磁感应强度满足《电磁环境控制限值》（GB8702-2014）规定的工频电场强度执行4kV/m的公众曝露控制限值的要求，工频磁感应强度执行100μT的公众曝露控制限值的要求。架空输电线路线下的耕地、园地、牧草地、畜禽饲养地、养殖水面、道路等场所，其频率50Hz的电场强度控制限值为10kV/m，且应给出警示和防护指示标志。输电线路周围声环境能满足《声环境质量标准》（GB3096-2008）1类标准要求，运营期无固体废物产生。</w:t>
            </w:r>
          </w:p>
          <w:p w14:paraId="05054CA1">
            <w:pPr>
              <w:pStyle w:val="17"/>
              <w:spacing w:line="480" w:lineRule="exact"/>
              <w:ind w:left="0" w:firstLine="422" w:firstLineChars="20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三</w:t>
            </w:r>
            <w:r>
              <w:rPr>
                <w:rFonts w:hint="eastAsia"/>
                <w:b/>
                <w:bCs/>
                <w:color w:val="000000" w:themeColor="text1"/>
                <w14:textFill>
                  <w14:solidFill>
                    <w14:schemeClr w14:val="tx1"/>
                  </w14:solidFill>
                </w14:textFill>
              </w:rPr>
              <w:t>、《输变电建设项目环境保护技术要求》符合性</w:t>
            </w:r>
          </w:p>
          <w:p w14:paraId="13333065">
            <w:pPr>
              <w:pStyle w:val="17"/>
              <w:spacing w:line="480" w:lineRule="exact"/>
              <w:ind w:left="0" w:firstLine="420" w:firstLineChars="20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根据第一章《输变电建设项目环境保护技术要求》符合性分析，本工程输电线路在选址选线、设计和施工、运行等阶段均满足《输变电建设项目环境保护技术要求》（HJ1113-2020）中相关技术要求</w:t>
            </w:r>
            <w:r>
              <w:rPr>
                <w:rFonts w:hint="eastAsia"/>
                <w:color w:val="000000" w:themeColor="text1"/>
                <w:lang w:eastAsia="zh-CN"/>
                <w14:textFill>
                  <w14:solidFill>
                    <w14:schemeClr w14:val="tx1"/>
                  </w14:solidFill>
                </w14:textFill>
              </w:rPr>
              <w:t>。</w:t>
            </w:r>
          </w:p>
          <w:p w14:paraId="4E011683">
            <w:pPr>
              <w:pStyle w:val="17"/>
              <w:spacing w:line="480" w:lineRule="exact"/>
              <w:ind w:left="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综上所述，根据路径比选结果，项目采用的推荐线路从生态环境保护角度分析更为合理，综合考虑相关部门意见，本项目工程选线合理。</w:t>
            </w:r>
          </w:p>
          <w:p w14:paraId="4ECEB895">
            <w:pPr>
              <w:pStyle w:val="17"/>
              <w:spacing w:line="480" w:lineRule="exact"/>
              <w:ind w:left="0" w:firstLine="420" w:firstLineChars="200"/>
              <w:rPr>
                <w:color w:val="000000" w:themeColor="text1"/>
                <w14:textFill>
                  <w14:solidFill>
                    <w14:schemeClr w14:val="tx1"/>
                  </w14:solidFill>
                </w14:textFill>
              </w:rPr>
            </w:pPr>
          </w:p>
          <w:p w14:paraId="6642BAC5">
            <w:pPr>
              <w:pStyle w:val="17"/>
              <w:spacing w:line="480" w:lineRule="exact"/>
              <w:ind w:left="0" w:firstLine="0" w:firstLineChars="0"/>
              <w:rPr>
                <w:b/>
                <w:bCs/>
                <w:color w:val="000000" w:themeColor="text1"/>
                <w:kern w:val="2"/>
                <w:szCs w:val="21"/>
                <w14:textFill>
                  <w14:solidFill>
                    <w14:schemeClr w14:val="tx1"/>
                  </w14:solidFill>
                </w14:textFill>
              </w:rPr>
            </w:pPr>
          </w:p>
        </w:tc>
      </w:tr>
    </w:tbl>
    <w:p w14:paraId="03CEBBC9">
      <w:pPr>
        <w:pStyle w:val="20"/>
        <w:jc w:val="center"/>
        <w:rPr>
          <w:rFonts w:ascii="黑体" w:hAnsi="黑体" w:eastAsia="黑体"/>
          <w:snapToGrid w:val="0"/>
          <w:color w:val="000000" w:themeColor="text1"/>
          <w:sz w:val="36"/>
          <w:szCs w:val="36"/>
          <w14:textFill>
            <w14:solidFill>
              <w14:schemeClr w14:val="tx1"/>
            </w14:solidFill>
          </w14:textFill>
        </w:rPr>
        <w:sectPr>
          <w:pgSz w:w="11906" w:h="16838"/>
          <w:pgMar w:top="1440" w:right="1800" w:bottom="1440" w:left="1800" w:header="851" w:footer="1077" w:gutter="0"/>
          <w:pgNumType w:fmt="decimal"/>
          <w:cols w:space="720" w:num="1"/>
          <w:docGrid w:linePitch="312" w:charSpace="0"/>
        </w:sectPr>
      </w:pPr>
    </w:p>
    <w:p w14:paraId="0DFC23A7">
      <w:pPr>
        <w:pStyle w:val="20"/>
        <w:jc w:val="center"/>
        <w:outlineLvl w:val="0"/>
        <w:rPr>
          <w:rFonts w:ascii="黑体" w:hAnsi="黑体" w:eastAsia="黑体"/>
          <w:snapToGrid w:val="0"/>
          <w:color w:val="000000" w:themeColor="text1"/>
          <w:sz w:val="30"/>
          <w:szCs w:val="30"/>
          <w14:textFill>
            <w14:solidFill>
              <w14:schemeClr w14:val="tx1"/>
            </w14:solidFill>
          </w14:textFill>
        </w:rPr>
      </w:pPr>
      <w:bookmarkStart w:id="8" w:name="_Toc5190"/>
      <w:r>
        <w:rPr>
          <w:rFonts w:hint="eastAsia" w:ascii="黑体" w:hAnsi="黑体" w:eastAsia="黑体"/>
          <w:snapToGrid w:val="0"/>
          <w:color w:val="000000" w:themeColor="text1"/>
          <w:sz w:val="30"/>
          <w:szCs w:val="30"/>
          <w14:textFill>
            <w14:solidFill>
              <w14:schemeClr w14:val="tx1"/>
            </w14:solidFill>
          </w14:textFill>
        </w:rPr>
        <w:t>五、主要生态环境保护措施</w:t>
      </w:r>
      <w:bookmarkEnd w:id="8"/>
    </w:p>
    <w:tbl>
      <w:tblPr>
        <w:tblStyle w:val="23"/>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078"/>
      </w:tblGrid>
      <w:tr w14:paraId="0AEAE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324" w:type="dxa"/>
            <w:tcMar>
              <w:left w:w="28" w:type="dxa"/>
              <w:right w:w="28" w:type="dxa"/>
            </w:tcMar>
            <w:vAlign w:val="center"/>
          </w:tcPr>
          <w:p w14:paraId="4E51E47B">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施工期生态环境保护措施</w:t>
            </w:r>
          </w:p>
        </w:tc>
        <w:tc>
          <w:tcPr>
            <w:tcW w:w="8180" w:type="dxa"/>
            <w:vAlign w:val="center"/>
          </w:tcPr>
          <w:p w14:paraId="044F6214">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（一）施工期生态保护措施</w:t>
            </w:r>
          </w:p>
          <w:p w14:paraId="4428C9A9">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1、植被保护措施</w:t>
            </w:r>
          </w:p>
          <w:p w14:paraId="330AEF7F">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（1）避让措施</w:t>
            </w:r>
          </w:p>
          <w:p w14:paraId="4D80C08C">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合理选线和选择建设地点。工程线路在设计时已尽量避开生态敏感区及林分较好的区域。修建塔基基础应尽量利用自然地势和环境，严格按照施工红线进行施工，尽量减少对林地的破坏，应限定施工范围和人员、车辆的行走路线，避免对施工范围之外的区域的植被造成碾压和破坏。</w:t>
            </w:r>
            <w:bookmarkStart w:id="9" w:name="bookmark731"/>
          </w:p>
          <w:bookmarkEnd w:id="9"/>
          <w:p w14:paraId="62A40ECA">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②输电线路下需要砍伐通道处林木时，应与当地林业部门联系，办理砍伐证明及相关函件。</w:t>
            </w:r>
          </w:p>
          <w:p w14:paraId="565B9F61">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bookmarkStart w:id="10" w:name="bookmark733"/>
            <w:r>
              <w:rPr>
                <w:b/>
                <w:bCs/>
                <w:color w:val="000000" w:themeColor="text1"/>
                <w:kern w:val="0"/>
                <w:szCs w:val="21"/>
                <w14:textFill>
                  <w14:solidFill>
                    <w14:schemeClr w14:val="tx1"/>
                  </w14:solidFill>
                </w14:textFill>
              </w:rPr>
              <w:t>（</w:t>
            </w:r>
            <w:bookmarkEnd w:id="10"/>
            <w:r>
              <w:rPr>
                <w:b/>
                <w:bCs/>
                <w:color w:val="000000" w:themeColor="text1"/>
                <w:kern w:val="0"/>
                <w:szCs w:val="21"/>
                <w14:textFill>
                  <w14:solidFill>
                    <w14:schemeClr w14:val="tx1"/>
                  </w14:solidFill>
                </w14:textFill>
              </w:rPr>
              <w:t>2）减缓措施</w:t>
            </w:r>
          </w:p>
          <w:p w14:paraId="307C6579">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合理开挖，保留表层土。在林地、灌木较为集中分布的区段设置塔基时，应将表层土与下层土分开，暂时保存表层土用于今后的回填，以恢复土壤理化性质，利于植被的恢复，临时表土堆场应采取临时防护措施。</w:t>
            </w:r>
          </w:p>
          <w:p w14:paraId="19A864A4">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临时垃圾及时清理。对于临时占地，由于施工人员、施工车辆及施工材料压占临时设施区改变其土壤紧实度，会影响植被的自然生长，同时材料运输过程中部分沙石洒落，施工迹地有部分建筑垃圾，因此在工程完工后应清除各种残留的建筑垃圾。</w:t>
            </w:r>
          </w:p>
          <w:p w14:paraId="38A98F53">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bookmarkStart w:id="11" w:name="bookmark736"/>
            <w:r>
              <w:rPr>
                <w:b/>
                <w:bCs/>
                <w:color w:val="000000" w:themeColor="text1"/>
                <w:kern w:val="0"/>
                <w:szCs w:val="21"/>
                <w14:textFill>
                  <w14:solidFill>
                    <w14:schemeClr w14:val="tx1"/>
                  </w14:solidFill>
                </w14:textFill>
              </w:rPr>
              <w:t>（</w:t>
            </w:r>
            <w:bookmarkEnd w:id="11"/>
            <w:r>
              <w:rPr>
                <w:b/>
                <w:bCs/>
                <w:color w:val="000000" w:themeColor="text1"/>
                <w:kern w:val="0"/>
                <w:szCs w:val="21"/>
                <w14:textFill>
                  <w14:solidFill>
                    <w14:schemeClr w14:val="tx1"/>
                  </w14:solidFill>
                </w14:textFill>
              </w:rPr>
              <w:t>3）恢复与补偿措施</w:t>
            </w:r>
          </w:p>
          <w:p w14:paraId="700F0923">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工程建设对陆生生态的影响主要体现在对陆生植被的影响上。因此施工结束后，应结合水土保持植物措施，对各类施工迹地实施陆生生态修复措施。</w:t>
            </w:r>
          </w:p>
          <w:p w14:paraId="66B2667B">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①植被修复原则</w:t>
            </w:r>
          </w:p>
          <w:p w14:paraId="2BB596B3">
            <w:pPr>
              <w:adjustRightInd w:val="0"/>
              <w:spacing w:line="480" w:lineRule="exact"/>
              <w:ind w:firstLine="420" w:firstLineChars="200"/>
              <w:textAlignment w:val="baseline"/>
              <w:rPr>
                <w:color w:val="000000" w:themeColor="text1"/>
                <w:kern w:val="0"/>
                <w:szCs w:val="21"/>
                <w14:textFill>
                  <w14:solidFill>
                    <w14:schemeClr w14:val="tx1"/>
                  </w14:solidFill>
                </w14:textFill>
              </w:rPr>
            </w:pPr>
            <w:bookmarkStart w:id="12" w:name="bookmark738"/>
            <w:bookmarkEnd w:id="12"/>
            <w:r>
              <w:rPr>
                <w:color w:val="000000" w:themeColor="text1"/>
                <w:kern w:val="0"/>
                <w:szCs w:val="21"/>
                <w14:textFill>
                  <w14:solidFill>
                    <w14:schemeClr w14:val="tx1"/>
                  </w14:solidFill>
                </w14:textFill>
              </w:rPr>
              <w:t>保护原有生态系统的原则：在植被修复过程中，必须尽量保护施工占地区域原有体系的生态环境，尽量发展以乔木、灌木和灌草丛植被为主体的陆生生态系统。</w:t>
            </w:r>
          </w:p>
          <w:p w14:paraId="7D0C7A04">
            <w:pPr>
              <w:adjustRightInd w:val="0"/>
              <w:spacing w:line="480" w:lineRule="exact"/>
              <w:ind w:firstLine="420" w:firstLineChars="200"/>
              <w:textAlignment w:val="baseline"/>
              <w:rPr>
                <w:color w:val="000000" w:themeColor="text1"/>
                <w:kern w:val="0"/>
                <w:szCs w:val="21"/>
                <w14:textFill>
                  <w14:solidFill>
                    <w14:schemeClr w14:val="tx1"/>
                  </w14:solidFill>
                </w14:textFill>
              </w:rPr>
            </w:pPr>
            <w:bookmarkStart w:id="13" w:name="bookmark739"/>
            <w:bookmarkEnd w:id="13"/>
            <w:r>
              <w:rPr>
                <w:color w:val="000000" w:themeColor="text1"/>
                <w:kern w:val="0"/>
                <w:szCs w:val="21"/>
                <w14:textFill>
                  <w14:solidFill>
                    <w14:schemeClr w14:val="tx1"/>
                  </w14:solidFill>
                </w14:textFill>
              </w:rPr>
              <w:t>保护生物多样性的原则：植被修复措施不仅考虑植被覆盖率，而且需要在利用当地原有物种的情况下，尽量使物种多样化，避免单一。在保证物种多样性的前提下，防止外来种的入侵。</w:t>
            </w:r>
          </w:p>
          <w:p w14:paraId="43624277">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②恢复植物的选择</w:t>
            </w:r>
          </w:p>
          <w:p w14:paraId="1BC62788">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生态适应性原则：植物生态习性必须与当地气候环境条件相适应。恢复时还需考虑适合工程区的植被区系。尽量选用适生性强、生长快、自我繁殖和更新能力强的乡土植物进行植被恢复，同时为提高区域生物多样性，应适当引进新的优良植物，在恢复物种选择时应防止外来入侵种的扩散。</w:t>
            </w:r>
          </w:p>
          <w:p w14:paraId="791E2678">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本土植物优先原则：恢复乡土种对生态恢复很重要。乡土种在当地食物链中已经形成相对稳定的结构，与生境建立了和谐的关系，适应性强，有利于保护生物多样性和维持当地生态平衡，并且能体现当地的地域特点，植被恢复时选择当地物种。</w:t>
            </w:r>
          </w:p>
          <w:p w14:paraId="6C016587">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bookmarkStart w:id="14" w:name="bookmark741"/>
            <w:r>
              <w:rPr>
                <w:b/>
                <w:bCs/>
                <w:color w:val="000000" w:themeColor="text1"/>
                <w:kern w:val="0"/>
                <w:szCs w:val="21"/>
                <w14:textFill>
                  <w14:solidFill>
                    <w14:schemeClr w14:val="tx1"/>
                  </w14:solidFill>
                </w14:textFill>
              </w:rPr>
              <w:t>（</w:t>
            </w:r>
            <w:bookmarkEnd w:id="14"/>
            <w:r>
              <w:rPr>
                <w:b/>
                <w:bCs/>
                <w:color w:val="000000" w:themeColor="text1"/>
                <w:kern w:val="0"/>
                <w:szCs w:val="21"/>
                <w14:textFill>
                  <w14:solidFill>
                    <w14:schemeClr w14:val="tx1"/>
                  </w14:solidFill>
                </w14:textFill>
              </w:rPr>
              <w:t>4）管理措施</w:t>
            </w:r>
          </w:p>
          <w:p w14:paraId="6106C3BC">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①积极进行环保宣传，控制行为规范，严格管理监督。施工前组织专业人员对施工人员进行环保宣传教育，施工期严格施工红线，严格行为规范，进行必要的管理监督，禁止破坏植被的情况发生。</w:t>
            </w:r>
          </w:p>
          <w:p w14:paraId="30203A69">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积极采取有效措施预防火灾。在林地分布较为集中的区段，在工程建设期，更应加强防护，如在施工区及周围山上竖立防火警示牌，划出可生火范围、巡回检查、搞好消防队伍及设施的建设等，以预防和杜绝火灾发生。</w:t>
            </w:r>
          </w:p>
          <w:p w14:paraId="3191CD96">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项目征地前将对征地范围进行详细调查，同时加强对施工人员发现、识别重点保护植物的宣传教育工作。若在实施过程中发现工程所在位置侵害国家重点保护植物，则必须申报相关主管部门，优先采取由设计对路径或占地范围进行优化调整、避开此区域的措施，若确实无法避让，应根据相关主管部门的要求编制并报批保护植物移栽方案，采取就地保护、就近相似相同生境移栽。</w:t>
            </w:r>
          </w:p>
          <w:p w14:paraId="7923F98F">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2、野生动物保护措施</w:t>
            </w:r>
          </w:p>
          <w:p w14:paraId="6801E8AA">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（1）避让措施</w:t>
            </w:r>
          </w:p>
          <w:p w14:paraId="5078322C">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①尽量避开沿线植被较好区域，缩短施工时间，降低施工活动对区域动物多样性的影响。</w:t>
            </w:r>
          </w:p>
          <w:p w14:paraId="3E09E726">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w:t>
            </w:r>
            <w:r>
              <w:rPr>
                <w:rFonts w:hint="eastAsia"/>
                <w:color w:val="000000" w:themeColor="text1"/>
                <w:kern w:val="0"/>
                <w:szCs w:val="21"/>
                <w14:textFill>
                  <w14:solidFill>
                    <w14:schemeClr w14:val="tx1"/>
                  </w14:solidFill>
                </w14:textFill>
              </w:rPr>
              <w:t>增强</w:t>
            </w:r>
            <w:r>
              <w:rPr>
                <w:color w:val="000000" w:themeColor="text1"/>
                <w:kern w:val="0"/>
                <w:szCs w:val="21"/>
                <w14:textFill>
                  <w14:solidFill>
                    <w14:schemeClr w14:val="tx1"/>
                  </w14:solidFill>
                </w14:textFill>
              </w:rPr>
              <w:t>施工人员的保护意识，严禁捕猎野生动物。施工人员必须遵守《中华人民共和国野生动物保护法》，尤其在占用水域路段施工时，严禁捕捉两栖类与爬行类野生动物。</w:t>
            </w:r>
          </w:p>
          <w:p w14:paraId="11A52181">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③在跨河架线施工过程中，由于水域及附近两栖爬行类动物活动较频繁，所以要做好施工污水的处理工作，不能随意排放至水体中，并禁止将施工废水直接排入水体。</w:t>
            </w:r>
          </w:p>
          <w:p w14:paraId="75ADEF01">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④施工材料的堆放要远离水源，尤其是粉状材料与有害材料，运输材料也要注意不能被雨水或风吹至水体中，以免对动物的生境造成污染。</w:t>
            </w:r>
          </w:p>
          <w:p w14:paraId="4C31E3CD">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⑤施工过程中减少施工噪声，避免对野生动物活动的影响。野生鸟类和兽类大多是晨昏外出觅食，正午休息。为了减少工程施工噪声对野生动物的惊扰，应做好施工方式和时间的计划，并力求避免在晨昏和正午进行噪声较大的施工活动。</w:t>
            </w:r>
          </w:p>
          <w:p w14:paraId="45BFEC17">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⑥施工机械要采用低噪声设备，加强设备的日常维修保养，使施工机械保持良好状态，避免超过正常噪声运转。对高噪声设备，应在其附近加设可移动的简单围障，以降低其噪音辐射。</w:t>
            </w:r>
          </w:p>
          <w:p w14:paraId="456B1268">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（2）减缓措施</w:t>
            </w:r>
          </w:p>
          <w:p w14:paraId="4219F0AE">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①加强施工人员对野生动物和生态环境的保护意识，禁止猎杀兽类、鸟类和捕蛇捉蛙，施工过程中遇到鸟类、蛇等动物的卵应妥善移置到附近类似的环境中。</w:t>
            </w:r>
          </w:p>
          <w:p w14:paraId="467BF0A0">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②为消减施工队伍对野生动植物的影响，要标明施工活动区，严令禁止到非施工区域活动，尤其要禁止在非施工区点火、狩猎等。</w:t>
            </w:r>
          </w:p>
          <w:p w14:paraId="10F56587">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③施工场地应恢复自然植被，确保不发生塌方及水土流失现象。</w:t>
            </w:r>
          </w:p>
          <w:p w14:paraId="44A03242">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④禁止夜间施工，减少施工区车辆灯光和施工人员照明灯光的持续，严格控制光源使用量或者进行遮蔽，减少对外界的漏光量。</w:t>
            </w:r>
          </w:p>
          <w:p w14:paraId="6BEE84A3">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⑤在条件允许的前提下，建设单位可考虑采用引鸟措施，降低输电工程对鸟类迁徙的影响，可采用在输电线路周围设立模拟杆塔、杆塔适当的位置加装人工鸟巢、线路走廊周围相关位置加装人工鸟巢等措施，改善鸟类迁徙过程中的视觉效果，降低输电线路对鸟类迁徙的干扰。</w:t>
            </w:r>
          </w:p>
          <w:p w14:paraId="67895A9A">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（3）恢复与补偿措施</w:t>
            </w:r>
          </w:p>
          <w:p w14:paraId="3F75516E">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对塔基临时施工区以及牵张场、施工临时道路等应尽快地做好植被恢复工作，以尽量减少生境破坏对动物造成的不利影响，有利于动物适应新的生境。</w:t>
            </w:r>
          </w:p>
          <w:p w14:paraId="10F9A223">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（4）管理措施</w:t>
            </w:r>
          </w:p>
          <w:p w14:paraId="70031F21">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定期对林地密集区加强跟踪监测，对其中受影响的兽类采取一定的保护措施。施工期间加强临时施工场所的防护，加强施</w:t>
            </w:r>
            <w:r>
              <w:rPr>
                <w:rFonts w:hint="eastAsia"/>
                <w:color w:val="000000" w:themeColor="text1"/>
                <w:kern w:val="0"/>
                <w:szCs w:val="21"/>
                <w:lang w:val="en-US" w:eastAsia="zh-CN"/>
                <w14:textFill>
                  <w14:solidFill>
                    <w14:schemeClr w14:val="tx1"/>
                  </w14:solidFill>
                </w14:textFill>
              </w:rPr>
              <w:t>员工</w:t>
            </w:r>
            <w:r>
              <w:rPr>
                <w:color w:val="000000" w:themeColor="text1"/>
                <w:kern w:val="0"/>
                <w:szCs w:val="21"/>
                <w14:textFill>
                  <w14:solidFill>
                    <w14:schemeClr w14:val="tx1"/>
                  </w14:solidFill>
                </w14:textFill>
              </w:rPr>
              <w:t>生活污水排放管理，减少水体污染，降低野生动物生境的受污染程度；做好工程完工后生态的恢复工作，以尽量减少因植被破坏、水土流失、水质污染等对动物带来的不利影响。</w:t>
            </w:r>
          </w:p>
          <w:p w14:paraId="2F4E8B30">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在项目区内特别是在林地区域内设置告示牌和警告牌，提醒大家保护野生动物及其栖息地生态环境，加强对项目区内的生态保护，严格按照规章制度执法，加强施工人员和检修人</w:t>
            </w:r>
            <w:r>
              <w:rPr>
                <w:rFonts w:hint="eastAsia"/>
                <w:color w:val="000000" w:themeColor="text1"/>
                <w:kern w:val="0"/>
                <w:szCs w:val="21"/>
                <w:lang w:eastAsia="zh-CN"/>
                <w14:textFill>
                  <w14:solidFill>
                    <w14:schemeClr w14:val="tx1"/>
                  </w14:solidFill>
                </w14:textFill>
              </w:rPr>
              <w:t>员对</w:t>
            </w:r>
            <w:r>
              <w:rPr>
                <w:color w:val="000000" w:themeColor="text1"/>
                <w:kern w:val="0"/>
                <w:szCs w:val="21"/>
                <w14:textFill>
                  <w14:solidFill>
                    <w14:schemeClr w14:val="tx1"/>
                  </w14:solidFill>
                </w14:textFill>
              </w:rPr>
              <w:t>野生动物保护和生态环境的保护意识教育；严禁捕猎野生动物和破坏动物生境的行为。</w:t>
            </w:r>
          </w:p>
          <w:p w14:paraId="52E08C93">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3、水土保持措施</w:t>
            </w:r>
          </w:p>
          <w:p w14:paraId="71F7E06C">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（1）水土保持措施总体布局</w:t>
            </w:r>
          </w:p>
          <w:p w14:paraId="40BCDDFB">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输电线路塔基施工具有沿线路布点分散及单个塔基开挖弃土量较小的特点，建设过程中应合理组织施工，尽量利用现有田间道路，减少占用临时施工用地。各塔基处因地制宜地设计护坡、护面、挡土墙、绿化等方案，以防止水土流失的现象产生。</w:t>
            </w:r>
          </w:p>
          <w:p w14:paraId="725CE274">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①塔基防护措施</w:t>
            </w:r>
          </w:p>
          <w:p w14:paraId="2CC664B9">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在主体工程设计中进行路径、塔基类型优化，减少占地及挖填方量。对输电线路塔基区，剥离的表土、临时堆土采取编织袋装土拦挡，并及时恢复植被，有效避免因塔基开挖建设引起的水土流失。</w:t>
            </w:r>
          </w:p>
          <w:p w14:paraId="40DC8ACA">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②塔基弃渣防护措施</w:t>
            </w:r>
          </w:p>
          <w:p w14:paraId="2FB3D8D4">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塔基回填后，弃渣量很小，弃渣处置采用在塔基征地范围内，升高基础后进行土地整治，恢复植被，并在周围设挡水土埂；对坡度大于15°塔位的弃渣，采用</w:t>
            </w:r>
            <w:r>
              <w:rPr>
                <w:rFonts w:hint="eastAsia"/>
                <w:color w:val="000000" w:themeColor="text1"/>
                <w:kern w:val="0"/>
                <w:szCs w:val="21"/>
                <w14:textFill>
                  <w14:solidFill>
                    <w14:schemeClr w14:val="tx1"/>
                  </w14:solidFill>
                </w14:textFill>
              </w:rPr>
              <w:t>浆砌石</w:t>
            </w:r>
            <w:r>
              <w:rPr>
                <w:color w:val="000000" w:themeColor="text1"/>
                <w:kern w:val="0"/>
                <w:szCs w:val="21"/>
                <w14:textFill>
                  <w14:solidFill>
                    <w14:schemeClr w14:val="tx1"/>
                  </w14:solidFill>
                </w14:textFill>
              </w:rPr>
              <w:t>重力式挡渣墙进行拦挡，弃渣表面进行土地整治、恢复植被，在弃渣区上游设挡水土埂或截水沟。</w:t>
            </w:r>
          </w:p>
          <w:p w14:paraId="1FDFB716">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③临时施工场地防护措施</w:t>
            </w:r>
          </w:p>
          <w:p w14:paraId="7280E9E0">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线路工程临时施工场地包括牵张场地及材料站等区域，施工结束后进行土地整治，尽可能恢复其原有土地使用功能或恢复植被。</w:t>
            </w:r>
          </w:p>
          <w:p w14:paraId="1FBE1B00">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本工程水土流失防治措施总体方案详见下表。</w:t>
            </w:r>
          </w:p>
          <w:p w14:paraId="7A09A516">
            <w:pPr>
              <w:spacing w:line="480" w:lineRule="exact"/>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表5-1  水土流失防治措施总体方案表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98"/>
              <w:gridCol w:w="798"/>
              <w:gridCol w:w="798"/>
              <w:gridCol w:w="3054"/>
              <w:gridCol w:w="2404"/>
            </w:tblGrid>
            <w:tr w14:paraId="769E8B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08" w:type="pct"/>
                  <w:vAlign w:val="center"/>
                </w:tcPr>
                <w:p w14:paraId="409BBEC0">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一级区</w:t>
                  </w:r>
                </w:p>
              </w:tc>
              <w:tc>
                <w:tcPr>
                  <w:tcW w:w="508" w:type="pct"/>
                  <w:vAlign w:val="center"/>
                </w:tcPr>
                <w:p w14:paraId="35C78327">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二级区</w:t>
                  </w:r>
                </w:p>
              </w:tc>
              <w:tc>
                <w:tcPr>
                  <w:tcW w:w="508" w:type="pct"/>
                  <w:vAlign w:val="center"/>
                </w:tcPr>
                <w:p w14:paraId="3DE42299">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次级区</w:t>
                  </w:r>
                </w:p>
              </w:tc>
              <w:tc>
                <w:tcPr>
                  <w:tcW w:w="1944" w:type="pct"/>
                  <w:vAlign w:val="center"/>
                </w:tcPr>
                <w:p w14:paraId="1C9C87DF">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工程</w:t>
                  </w:r>
                  <w:r>
                    <w:rPr>
                      <w:rFonts w:hint="eastAsia"/>
                      <w:b/>
                      <w:color w:val="000000" w:themeColor="text1"/>
                      <w:szCs w:val="21"/>
                      <w14:textFill>
                        <w14:solidFill>
                          <w14:schemeClr w14:val="tx1"/>
                        </w14:solidFill>
                      </w14:textFill>
                    </w:rPr>
                    <w:t>防治措施</w:t>
                  </w:r>
                </w:p>
              </w:tc>
              <w:tc>
                <w:tcPr>
                  <w:tcW w:w="1530" w:type="pct"/>
                  <w:vAlign w:val="center"/>
                </w:tcPr>
                <w:p w14:paraId="67D0F85C">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环保</w:t>
                  </w:r>
                  <w:r>
                    <w:rPr>
                      <w:rFonts w:hint="eastAsia"/>
                      <w:b/>
                      <w:color w:val="000000" w:themeColor="text1"/>
                      <w:szCs w:val="21"/>
                      <w14:textFill>
                        <w14:solidFill>
                          <w14:schemeClr w14:val="tx1"/>
                        </w14:solidFill>
                      </w14:textFill>
                    </w:rPr>
                    <w:t>防治措施</w:t>
                  </w:r>
                </w:p>
              </w:tc>
            </w:tr>
            <w:tr w14:paraId="22CC6F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08" w:type="pct"/>
                  <w:vMerge w:val="restart"/>
                  <w:vAlign w:val="center"/>
                </w:tcPr>
                <w:p w14:paraId="3E3E628F">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线路工程区</w:t>
                  </w:r>
                </w:p>
              </w:tc>
              <w:tc>
                <w:tcPr>
                  <w:tcW w:w="508" w:type="pct"/>
                  <w:vAlign w:val="center"/>
                </w:tcPr>
                <w:p w14:paraId="0B1CE7F3">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塔基区</w:t>
                  </w:r>
                </w:p>
              </w:tc>
              <w:tc>
                <w:tcPr>
                  <w:tcW w:w="508" w:type="pct"/>
                  <w:vAlign w:val="center"/>
                </w:tcPr>
                <w:p w14:paraId="3602D9A4">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塔基施工区</w:t>
                  </w:r>
                </w:p>
              </w:tc>
              <w:tc>
                <w:tcPr>
                  <w:tcW w:w="1944" w:type="pct"/>
                  <w:vAlign w:val="center"/>
                </w:tcPr>
                <w:p w14:paraId="0BF391F3">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路径优化设计，塔基类型优化设计，塔基护坡、挡墙及排水设施</w:t>
                  </w:r>
                </w:p>
              </w:tc>
              <w:tc>
                <w:tcPr>
                  <w:tcW w:w="1530" w:type="pct"/>
                  <w:vAlign w:val="center"/>
                </w:tcPr>
                <w:p w14:paraId="14BA5C12">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表土剥离、临时拦挡覆盖、土地整治、植物措施</w:t>
                  </w:r>
                </w:p>
              </w:tc>
            </w:tr>
            <w:tr w14:paraId="6C2614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08" w:type="pct"/>
                  <w:vMerge w:val="continue"/>
                  <w:vAlign w:val="center"/>
                </w:tcPr>
                <w:p w14:paraId="788384D3">
                  <w:pPr>
                    <w:spacing w:line="320" w:lineRule="exact"/>
                    <w:jc w:val="center"/>
                    <w:rPr>
                      <w:color w:val="000000" w:themeColor="text1"/>
                      <w:szCs w:val="21"/>
                      <w14:textFill>
                        <w14:solidFill>
                          <w14:schemeClr w14:val="tx1"/>
                        </w14:solidFill>
                      </w14:textFill>
                    </w:rPr>
                  </w:pPr>
                </w:p>
              </w:tc>
              <w:tc>
                <w:tcPr>
                  <w:tcW w:w="508" w:type="pct"/>
                  <w:vMerge w:val="restart"/>
                  <w:vAlign w:val="center"/>
                </w:tcPr>
                <w:p w14:paraId="0A5B92FB">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施工场地区</w:t>
                  </w:r>
                </w:p>
              </w:tc>
              <w:tc>
                <w:tcPr>
                  <w:tcW w:w="508" w:type="pct"/>
                  <w:vAlign w:val="center"/>
                </w:tcPr>
                <w:p w14:paraId="69A08C2A">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牵张场区</w:t>
                  </w:r>
                </w:p>
              </w:tc>
              <w:tc>
                <w:tcPr>
                  <w:tcW w:w="1944" w:type="pct"/>
                  <w:vAlign w:val="center"/>
                </w:tcPr>
                <w:p w14:paraId="01618F73">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场地优化、施工管理</w:t>
                  </w:r>
                </w:p>
              </w:tc>
              <w:tc>
                <w:tcPr>
                  <w:tcW w:w="1530" w:type="pct"/>
                  <w:vAlign w:val="center"/>
                </w:tcPr>
                <w:p w14:paraId="589DDCD3">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土地整治、植物措施</w:t>
                  </w:r>
                </w:p>
              </w:tc>
            </w:tr>
            <w:tr w14:paraId="28859B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08" w:type="pct"/>
                  <w:vMerge w:val="continue"/>
                  <w:vAlign w:val="center"/>
                </w:tcPr>
                <w:p w14:paraId="6B530395">
                  <w:pPr>
                    <w:spacing w:line="320" w:lineRule="exact"/>
                    <w:jc w:val="center"/>
                    <w:rPr>
                      <w:color w:val="000000" w:themeColor="text1"/>
                      <w:szCs w:val="21"/>
                      <w14:textFill>
                        <w14:solidFill>
                          <w14:schemeClr w14:val="tx1"/>
                        </w14:solidFill>
                      </w14:textFill>
                    </w:rPr>
                  </w:pPr>
                </w:p>
              </w:tc>
              <w:tc>
                <w:tcPr>
                  <w:tcW w:w="508" w:type="pct"/>
                  <w:vMerge w:val="continue"/>
                  <w:vAlign w:val="center"/>
                </w:tcPr>
                <w:p w14:paraId="0097AC76">
                  <w:pPr>
                    <w:spacing w:line="320" w:lineRule="exact"/>
                    <w:jc w:val="center"/>
                    <w:rPr>
                      <w:color w:val="000000" w:themeColor="text1"/>
                      <w:szCs w:val="21"/>
                      <w14:textFill>
                        <w14:solidFill>
                          <w14:schemeClr w14:val="tx1"/>
                        </w14:solidFill>
                      </w14:textFill>
                    </w:rPr>
                  </w:pPr>
                </w:p>
              </w:tc>
              <w:tc>
                <w:tcPr>
                  <w:tcW w:w="508" w:type="pct"/>
                  <w:vAlign w:val="center"/>
                </w:tcPr>
                <w:p w14:paraId="13F75FB9">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材料区</w:t>
                  </w:r>
                </w:p>
              </w:tc>
              <w:tc>
                <w:tcPr>
                  <w:tcW w:w="1944" w:type="pct"/>
                  <w:vAlign w:val="center"/>
                </w:tcPr>
                <w:p w14:paraId="72BC78F4">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场地优化、施工管理</w:t>
                  </w:r>
                </w:p>
              </w:tc>
              <w:tc>
                <w:tcPr>
                  <w:tcW w:w="1530" w:type="pct"/>
                  <w:vAlign w:val="center"/>
                </w:tcPr>
                <w:p w14:paraId="55A11139">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土地整治、植物措施</w:t>
                  </w:r>
                </w:p>
              </w:tc>
            </w:tr>
          </w:tbl>
          <w:p w14:paraId="745230AC">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（2）水土保持措施</w:t>
            </w:r>
          </w:p>
          <w:p w14:paraId="20005D4C">
            <w:pPr>
              <w:adjustRightInd w:val="0"/>
              <w:spacing w:line="480" w:lineRule="exact"/>
              <w:ind w:firstLine="420" w:firstLineChars="200"/>
              <w:jc w:val="both"/>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①线路路径优化</w:t>
            </w:r>
          </w:p>
          <w:p w14:paraId="52AF4D18">
            <w:pPr>
              <w:adjustRightInd w:val="0"/>
              <w:spacing w:line="480" w:lineRule="exact"/>
              <w:ind w:firstLine="420" w:firstLineChars="200"/>
              <w:jc w:val="both"/>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从保护生态环境角度出发，线路路径尽量避开林地，减少或避免树木砍伐，减少对水土保持设施的影响，防止水土流失。</w:t>
            </w:r>
          </w:p>
          <w:p w14:paraId="4885C39D">
            <w:pPr>
              <w:adjustRightInd w:val="0"/>
              <w:spacing w:line="480" w:lineRule="exact"/>
              <w:ind w:firstLine="420" w:firstLineChars="200"/>
              <w:jc w:val="both"/>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线路塔基、塔位尽量避开陡坡和不良地质段，减少基础施工范围和工程量；边坡太陡时，需降基5m甚至更多才能满足基础保护范围要求。避让陡坡，减少基础开挖工程量，减少弃土弃渣。避让不良地质段，避免塔基的不稳定因素，可避免滑坡、崩塌等造成的水土流失。</w:t>
            </w:r>
          </w:p>
          <w:p w14:paraId="0874E822">
            <w:pPr>
              <w:adjustRightInd w:val="0"/>
              <w:spacing w:line="480" w:lineRule="exact"/>
              <w:ind w:firstLine="420" w:firstLineChars="200"/>
              <w:jc w:val="both"/>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②合理确定基面范围</w:t>
            </w:r>
          </w:p>
          <w:p w14:paraId="712A4C59">
            <w:pPr>
              <w:adjustRightInd w:val="0"/>
              <w:spacing w:line="480" w:lineRule="exact"/>
              <w:ind w:firstLine="420" w:firstLineChars="200"/>
              <w:jc w:val="both"/>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基面范围大小的确定与地质条件、杆塔类型、地基承载力、基础类型等因素有关。主体工程设计中，根据</w:t>
            </w:r>
            <w:r>
              <w:rPr>
                <w:rFonts w:hint="eastAsia"/>
                <w:color w:val="000000" w:themeColor="text1"/>
                <w:kern w:val="0"/>
                <w:szCs w:val="21"/>
                <w14:textFill>
                  <w14:solidFill>
                    <w14:schemeClr w14:val="tx1"/>
                  </w14:solidFill>
                </w14:textFill>
              </w:rPr>
              <w:t>塔形</w:t>
            </w:r>
            <w:r>
              <w:rPr>
                <w:color w:val="000000" w:themeColor="text1"/>
                <w:kern w:val="0"/>
                <w:szCs w:val="21"/>
                <w14:textFill>
                  <w14:solidFill>
                    <w14:schemeClr w14:val="tx1"/>
                  </w14:solidFill>
                </w14:textFill>
              </w:rPr>
              <w:t>、塔高、地质及可能采取的基础形式确定基面范围，减少开挖面。</w:t>
            </w:r>
          </w:p>
          <w:p w14:paraId="40FC1273">
            <w:pPr>
              <w:adjustRightInd w:val="0"/>
              <w:spacing w:line="480" w:lineRule="exact"/>
              <w:ind w:firstLine="420" w:firstLineChars="200"/>
              <w:jc w:val="both"/>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③表土剥离措施</w:t>
            </w:r>
          </w:p>
          <w:p w14:paraId="6BA1CFFD">
            <w:pPr>
              <w:adjustRightInd w:val="0"/>
              <w:spacing w:line="480" w:lineRule="exact"/>
              <w:ind w:firstLine="420" w:firstLineChars="200"/>
              <w:jc w:val="both"/>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表层土壤是经过熟化过程的土壤，其中的水、肥条件更适合植物生长，剥离的表土在施工过程中单独堆存，并采取临时拦挡、覆盖措施。表土用于植物措施的换土、整地，以保证植物的成活率和生长。</w:t>
            </w:r>
          </w:p>
          <w:p w14:paraId="4E2015AD">
            <w:pPr>
              <w:adjustRightInd w:val="0"/>
              <w:spacing w:line="480" w:lineRule="exact"/>
              <w:ind w:firstLine="420" w:firstLineChars="200"/>
              <w:jc w:val="both"/>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④土方开挖措施</w:t>
            </w:r>
          </w:p>
          <w:p w14:paraId="34F9FBAA">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在施工过程中对土方开挖要统筹考虑，尽量利用原状土，可以减小基础的底板尺寸，</w:t>
            </w:r>
            <w:r>
              <w:rPr>
                <w:rFonts w:hint="eastAsia"/>
                <w:color w:val="000000" w:themeColor="text1"/>
                <w:kern w:val="0"/>
                <w:szCs w:val="21"/>
                <w14:textFill>
                  <w14:solidFill>
                    <w14:schemeClr w14:val="tx1"/>
                  </w14:solidFill>
                </w14:textFill>
              </w:rPr>
              <w:t>从而</w:t>
            </w:r>
            <w:r>
              <w:rPr>
                <w:color w:val="000000" w:themeColor="text1"/>
                <w:kern w:val="0"/>
                <w:szCs w:val="21"/>
                <w14:textFill>
                  <w14:solidFill>
                    <w14:schemeClr w14:val="tx1"/>
                  </w14:solidFill>
                </w14:textFill>
              </w:rPr>
              <w:t>减少土石开挖量。采取嵌固式基础、插入式基础等，施工可不用模板或少用模板，简化施工工艺。同时塔位原状土未受影响有利于塔基的稳定，并减少对生态环境的不良影响，有显著的经济和环境效益。杜绝重复挖填，开挖的土方要及时回填，减少临时堆土场的堆放量。临时堆土采用临时拦挡、覆盖措施。</w:t>
            </w:r>
          </w:p>
          <w:p w14:paraId="7683AF1C">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⑤杆塔基面排水</w:t>
            </w:r>
          </w:p>
          <w:p w14:paraId="306B753E">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杆塔基面外应设排水沟，使基面排水通畅，有利于基面挖方边坡基础保护范围外临空的土体稳定。开挖排水沟的弃土，不得随意抛在沟边或塔位上方的坡顶；排水沟设施应与降基、基坑开挖等土方工程同步进行，以使排水沟在线路施工过程中对基面及边坡起保护作用。</w:t>
            </w:r>
          </w:p>
          <w:p w14:paraId="21E96199">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⑥塔基临时堆土及弃渣防护措施</w:t>
            </w:r>
          </w:p>
          <w:p w14:paraId="7EB17A46">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线路沿线塔基区剥离的表土以及临时堆土设置围堰、覆盖等措施。围堰采用编织袋装土堆砌，覆盖采用宽幅纤维布。</w:t>
            </w:r>
          </w:p>
          <w:p w14:paraId="7852EEED">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根据各塔位地形坡度的不同对于塔基弃土、渣采取防护措施。</w:t>
            </w:r>
          </w:p>
          <w:p w14:paraId="625B1BA3">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⑦平地塔基弃渣处置</w:t>
            </w:r>
          </w:p>
          <w:p w14:paraId="10C3022B">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平地或坡度很小的塔位，基础回填后，弃渣量很小，弃渣处置采用在塔基征地范围内，升高基础，就地对弃土弃渣，表面整平，外围设土埂，在弃渣面覆盖表土后恢复植被。</w:t>
            </w:r>
          </w:p>
          <w:p w14:paraId="0F27E1E6">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⑧牵张场地</w:t>
            </w:r>
          </w:p>
          <w:p w14:paraId="2FC9A175">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施工过程中一般选择租用较为平坦的荒地作为牵张场，在施工过程中注意对场地进行保护，一般对土地的损坏较小。牵张场属于工程的施工临时租用，施工结束后恢复其原有功能。</w:t>
            </w:r>
          </w:p>
          <w:p w14:paraId="10A0E81C">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⑨线路工程区土地整治</w:t>
            </w:r>
          </w:p>
          <w:p w14:paraId="17E855B1">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塔基区土地整治包括临时堆土、弃渣表面的土地整治。土地整治时，应将表土覆盖在表层，根据原土地类型，尽量恢复其原来的土地功能或恢复植被。塔基区土地整治面积包括塔基区占地和临时堆土区。</w:t>
            </w:r>
          </w:p>
          <w:p w14:paraId="6BB0C0B3">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线路工程临时施工场地包括牵张场地及材料站，施工结束后进行整治，尽可能恢复其原有土地使用功能或恢复植被。</w:t>
            </w:r>
          </w:p>
          <w:p w14:paraId="08D38AB5">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⑩植物措施</w:t>
            </w:r>
          </w:p>
          <w:p w14:paraId="55DFD344">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根据本工程沿线自然条件，因地制宜、适树种树、适草种草，营造水土保持植物措施。优先选择低矮乡土树种、草种以及当地使用过的树种、草种，采取乔、灌、草相结合进行布设，加强抚育管理，提高植被的成活率，防治水土流失，改善周边生态环境。</w:t>
            </w:r>
          </w:p>
          <w:p w14:paraId="2D7A2C11">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经采取上述水保措施后，可有效防治水土流失，措施经论证可行。</w:t>
            </w:r>
          </w:p>
          <w:p w14:paraId="798EE51C">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（二）施工期大气环境保护措施</w:t>
            </w:r>
          </w:p>
          <w:p w14:paraId="3B3B891D">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施工阶段，尤其是施工初期，主要有表土剥离、基础开挖、道路建设、车辆行驶等施工活动和裸露场地风蚀产生扬尘。施工过程中，车辆运输散体材料和废弃物时，必须采用密闭式防尘布进行苫盖，避免沿途漏撒；加强材料转运与使用的管理，合理堆料，加盖苫布，防止物料裸露，文明施工；对进出施工场地的车辆进行冲洗、限制车速，减少或避免产生扬尘；施工现场设置围挡，施工临时中转土方以及弃土弃渣等要合理堆放苫盖；定期洒水进行扬尘控制；施工结束后，</w:t>
            </w:r>
            <w:r>
              <w:rPr>
                <w:rFonts w:hint="eastAsia" w:ascii="宋体" w:hAnsi="宋体" w:cs="宋体"/>
                <w:color w:val="000000" w:themeColor="text1"/>
                <w:kern w:val="0"/>
                <w:szCs w:val="21"/>
                <w14:textFill>
                  <w14:solidFill>
                    <w14:schemeClr w14:val="tx1"/>
                  </w14:solidFill>
                </w14:textFill>
              </w:rPr>
              <w:t>按“工完料尽场地清”的</w:t>
            </w:r>
            <w:r>
              <w:rPr>
                <w:color w:val="000000" w:themeColor="text1"/>
                <w:kern w:val="0"/>
                <w:szCs w:val="21"/>
                <w14:textFill>
                  <w14:solidFill>
                    <w14:schemeClr w14:val="tx1"/>
                  </w14:solidFill>
                </w14:textFill>
              </w:rPr>
              <w:t xml:space="preserve">原则立即进行空地硬化和覆盖，减少裸露地面面积。 </w:t>
            </w:r>
          </w:p>
          <w:p w14:paraId="2D8238EF">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施工机械和运输车辆</w:t>
            </w:r>
            <w:r>
              <w:rPr>
                <w:rFonts w:hint="eastAsia"/>
                <w:color w:val="000000" w:themeColor="text1"/>
                <w:kern w:val="0"/>
                <w:szCs w:val="21"/>
                <w:lang w:eastAsia="zh-CN"/>
                <w14:textFill>
                  <w14:solidFill>
                    <w14:schemeClr w14:val="tx1"/>
                  </w14:solidFill>
                </w14:textFill>
              </w:rPr>
              <w:t>基本</w:t>
            </w:r>
            <w:r>
              <w:rPr>
                <w:color w:val="000000" w:themeColor="text1"/>
                <w:kern w:val="0"/>
                <w:szCs w:val="21"/>
                <w14:textFill>
                  <w14:solidFill>
                    <w14:schemeClr w14:val="tx1"/>
                  </w14:solidFill>
                </w14:textFill>
              </w:rPr>
              <w:t>以燃油为主，燃烧尾气中含有CO、THC、NO</w:t>
            </w:r>
            <w:r>
              <w:rPr>
                <w:color w:val="000000" w:themeColor="text1"/>
                <w:kern w:val="0"/>
                <w:szCs w:val="21"/>
                <w:vertAlign w:val="subscript"/>
                <w14:textFill>
                  <w14:solidFill>
                    <w14:schemeClr w14:val="tx1"/>
                  </w14:solidFill>
                </w14:textFill>
              </w:rPr>
              <w:t>x</w:t>
            </w:r>
            <w:r>
              <w:rPr>
                <w:color w:val="000000" w:themeColor="text1"/>
                <w:kern w:val="0"/>
                <w:szCs w:val="21"/>
                <w14:textFill>
                  <w14:solidFill>
                    <w14:schemeClr w14:val="tx1"/>
                  </w14:solidFill>
                </w14:textFill>
              </w:rPr>
              <w:t>等大气污染物，影响施工区大气环境质量。通过采取限制超载、限制超速、安装尾气净化器等措施，可以大大降低运输车辆及施工机械尾气对周围环境的影响。</w:t>
            </w:r>
          </w:p>
          <w:p w14:paraId="210CE3EF">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为了有效的控制施工期间的扬尘，根据河北省建筑施工扬尘防治强化措施18条、《输变电建设项目环境保护技术要求》（HJ1113-2020）、《河北省扬尘污染防治办法</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河北省2021年建筑施工扬尘污染防治工作方案》的有关要求，主要采取的防尘措施有：</w:t>
            </w:r>
          </w:p>
          <w:p w14:paraId="5A68457E">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①应合理安排施工期，施工现场必须建立现场保洁制度，有专人负责保洁工作，做到工完场清，及时洒水清扫，大风时增加洒水量及次数；</w:t>
            </w:r>
          </w:p>
          <w:p w14:paraId="1F73A785">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②文明施工，加强施工管理，大风（四级及以上）天气时避免进行地表扰动的施工；</w:t>
            </w:r>
          </w:p>
          <w:p w14:paraId="7A24D314">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③裸露土地和覆土材料</w:t>
            </w:r>
            <w:r>
              <w:rPr>
                <w:rFonts w:hint="eastAsia"/>
                <w:color w:val="000000" w:themeColor="text1"/>
                <w:kern w:val="0"/>
                <w:szCs w:val="21"/>
                <w14:textFill>
                  <w14:solidFill>
                    <w14:schemeClr w14:val="tx1"/>
                  </w14:solidFill>
                </w14:textFill>
              </w:rPr>
              <w:t>100%</w:t>
            </w:r>
            <w:r>
              <w:rPr>
                <w:color w:val="000000" w:themeColor="text1"/>
                <w:kern w:val="0"/>
                <w:szCs w:val="21"/>
                <w14:textFill>
                  <w14:solidFill>
                    <w14:schemeClr w14:val="tx1"/>
                  </w14:solidFill>
                </w14:textFill>
              </w:rPr>
              <w:t>覆盖，应当采取密闭或者遮盖等防尘措施，装卸、搬运时应当采取防尘措施；</w:t>
            </w:r>
          </w:p>
          <w:p w14:paraId="5376AE55">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④涉及开挖过程中四周采取洒水、喷雾等降尘措施；</w:t>
            </w:r>
          </w:p>
          <w:p w14:paraId="277C79B9">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⑤施工现场不设置各类垃圾存放点，就地转运附近垃圾收集点或垃圾填埋场，不得长期堆存，防止扬尘污染，改善施工场地周围环境。</w:t>
            </w:r>
          </w:p>
          <w:p w14:paraId="3377F489">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⑥遇到干燥、易起尘的土方工程作业时，应辅以洒水压尘，尽量缩短起尘操作时间，覆土施工时应湿化，不得凌空抛掷、抛撒。此外，施工期采用密闭的运输车辆或对运输的施工材料采取遮盖措施；在容易产生二次扬尘的路段定时洒水，保持路面的清洁和湿润；限制运输车辆的车速，以尽量减少扬尘的产生；施工单位应尽量减少施工材料的堆存时间和堆存量，合理调配施工，进行严密的施工组织设计。</w:t>
            </w:r>
          </w:p>
          <w:p w14:paraId="4FB28DCD">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项目施工期应开展环境监理，环境监理机构由建设单位共同组成，由环保相关主管部门进行监督，共同进行施工期的环境监理。</w:t>
            </w:r>
          </w:p>
          <w:p w14:paraId="63128AD3">
            <w:pPr>
              <w:adjustRightInd w:val="0"/>
              <w:spacing w:line="480" w:lineRule="exact"/>
              <w:ind w:firstLine="420" w:firstLineChars="200"/>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经过严格采取上述一系列措施，施工期扬尘可控制在合理范围内。本项目各施工场地、牵张场地、塔基施工区等施工场地下风向PM</w:t>
            </w:r>
            <w:r>
              <w:rPr>
                <w:color w:val="000000" w:themeColor="text1"/>
                <w:kern w:val="0"/>
                <w:szCs w:val="21"/>
                <w:vertAlign w:val="subscript"/>
                <w14:textFill>
                  <w14:solidFill>
                    <w14:schemeClr w14:val="tx1"/>
                  </w14:solidFill>
                </w14:textFill>
              </w:rPr>
              <w:t>10</w:t>
            </w:r>
            <w:r>
              <w:rPr>
                <w:color w:val="000000" w:themeColor="text1"/>
                <w:kern w:val="0"/>
                <w:szCs w:val="21"/>
                <w14:textFill>
                  <w14:solidFill>
                    <w14:schemeClr w14:val="tx1"/>
                  </w14:solidFill>
                </w14:textFill>
              </w:rPr>
              <w:t>浓度低于《施工场地扬尘排放标准》（DB 13/2934-2019）表1扬尘排放浓度限值，即不大于0.08mg/m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不包含背景值）。根据调查，本项目输电线路沿线分布有少量住户，但距离施工场地、牵张场地较远（距离均在200m以上），受本项目施工扬尘影响较小。由于施工期较短，采取措施后可有效抑制扬尘的产生，对周围大气环境影响较小。</w:t>
            </w:r>
          </w:p>
          <w:p w14:paraId="64529193">
            <w:pPr>
              <w:adjustRightInd w:val="0"/>
              <w:spacing w:line="480" w:lineRule="exact"/>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（三）施工期水环境保护措施</w:t>
            </w:r>
          </w:p>
          <w:p w14:paraId="007EB2BD">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项目做好施工场地周围的拦挡措施，避免雨季开挖作业，严禁施工废水随意排放；施工期设立临时简易储水池，将施工废水集中收集，经沉淀处理后上清液用于喷洒抑尘；施工人员居住在施工点附近租住的民房内，不设施工营地，生活污水纳入当地居民生活污水处理系统。</w:t>
            </w:r>
          </w:p>
          <w:p w14:paraId="2F3EA14C">
            <w:pPr>
              <w:adjustRightInd w:val="0"/>
              <w:snapToGrid w:val="0"/>
              <w:spacing w:line="48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（四）施工噪声防治措施</w:t>
            </w:r>
          </w:p>
          <w:p w14:paraId="523493A9">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项目施工期应选用低噪声施工设备，加强施工机械的维修、管理，保证施工机械工作状态良好。项目施工场地周边200m范围内无声环境敏感目标，施工噪声环境影响轻微。</w:t>
            </w:r>
          </w:p>
          <w:p w14:paraId="22215D3D">
            <w:pPr>
              <w:adjustRightInd w:val="0"/>
              <w:snapToGrid w:val="0"/>
              <w:spacing w:line="48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（五）施工固体废物治理措施</w:t>
            </w:r>
          </w:p>
          <w:p w14:paraId="10B7A002">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塔基施工中挖方全部用于回填或塔座基面四周地面平整，无弃渣集中堆存。施工中产生的建筑垃圾运至指定场所处置，并采取挡护、排水等措施进行防护；施工人员生活垃圾集中堆放，运至附近的垃圾转运站。</w:t>
            </w:r>
          </w:p>
          <w:p w14:paraId="119A266F">
            <w:pPr>
              <w:adjustRightInd w:val="0"/>
              <w:snapToGrid w:val="0"/>
              <w:spacing w:line="480" w:lineRule="exact"/>
              <w:ind w:firstLine="422" w:firstLineChars="200"/>
              <w:rPr>
                <w:rFonts w:hint="default" w:eastAsia="宋体"/>
                <w:b/>
                <w:bCs w:val="0"/>
                <w:color w:val="000000" w:themeColor="text1"/>
                <w:szCs w:val="21"/>
                <w:lang w:val="en-US" w:eastAsia="zh-CN"/>
                <w14:textFill>
                  <w14:solidFill>
                    <w14:schemeClr w14:val="tx1"/>
                  </w14:solidFill>
                </w14:textFill>
              </w:rPr>
            </w:pPr>
            <w:r>
              <w:rPr>
                <w:rFonts w:hint="eastAsia"/>
                <w:b/>
                <w:bCs w:val="0"/>
                <w:color w:val="000000" w:themeColor="text1"/>
                <w:szCs w:val="21"/>
                <w:lang w:eastAsia="zh-CN"/>
                <w14:textFill>
                  <w14:solidFill>
                    <w14:schemeClr w14:val="tx1"/>
                  </w14:solidFill>
                </w14:textFill>
              </w:rPr>
              <w:t>（</w:t>
            </w:r>
            <w:r>
              <w:rPr>
                <w:rFonts w:hint="eastAsia"/>
                <w:b/>
                <w:bCs w:val="0"/>
                <w:color w:val="000000" w:themeColor="text1"/>
                <w:szCs w:val="21"/>
                <w:lang w:val="en-US" w:eastAsia="zh-CN"/>
                <w14:textFill>
                  <w14:solidFill>
                    <w14:schemeClr w14:val="tx1"/>
                  </w14:solidFill>
                </w14:textFill>
              </w:rPr>
              <w:t>六</w:t>
            </w:r>
            <w:r>
              <w:rPr>
                <w:rFonts w:hint="eastAsia"/>
                <w:b/>
                <w:bCs w:val="0"/>
                <w:color w:val="000000" w:themeColor="text1"/>
                <w:szCs w:val="21"/>
                <w:lang w:eastAsia="zh-CN"/>
                <w14:textFill>
                  <w14:solidFill>
                    <w14:schemeClr w14:val="tx1"/>
                  </w14:solidFill>
                </w14:textFill>
              </w:rPr>
              <w:t>）</w:t>
            </w:r>
            <w:r>
              <w:rPr>
                <w:rFonts w:hint="eastAsia"/>
                <w:b/>
                <w:bCs w:val="0"/>
                <w:color w:val="000000" w:themeColor="text1"/>
                <w:szCs w:val="21"/>
                <w:lang w:val="en-US" w:eastAsia="zh-CN"/>
                <w14:textFill>
                  <w14:solidFill>
                    <w14:schemeClr w14:val="tx1"/>
                  </w14:solidFill>
                </w14:textFill>
              </w:rPr>
              <w:t>本项目线路穿越饮用水水源保护地措施</w:t>
            </w:r>
          </w:p>
          <w:p w14:paraId="720925A9">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①禁止在饮用水水源保护区内设置施工营地、取</w:t>
            </w:r>
            <w:r>
              <w:rPr>
                <w:rFonts w:hint="default"/>
                <w:bCs/>
                <w:color w:val="000000" w:themeColor="text1"/>
                <w:szCs w:val="21"/>
                <w:lang w:val="en-US"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弃土场、固废堆放场、施工设备冲洗场等临时用地，禁止将水平顶管工作井设置在饮用水水源保护区内。</w:t>
            </w:r>
          </w:p>
          <w:p w14:paraId="1A7087C2">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②合理安排施工季节，尽量避免雨季施工。</w:t>
            </w:r>
          </w:p>
          <w:p w14:paraId="072F8987">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③在饮用水水源保护区内线路放线过程中，采用无人机放线等先进的施工放线方式。</w:t>
            </w:r>
          </w:p>
          <w:p w14:paraId="5FFC8575">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④禁止在水源保护区内清洗车辆机械，并避开雨季施工，避免雨水冲刷造成饮用水水源保护区的水污染影响。</w:t>
            </w:r>
          </w:p>
          <w:p w14:paraId="64F8CEE1">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⑤饮用水源保护区段施工采用无废污水排放的塔基基础施工方式，混凝土采用人工拌和；禁止在水源保护区内清洗车辆机械；施工工地外围设置围挡设施和修建临时排水沟，避免雨水冲刷；砂石料加工施工废水通过设置简易沉砂池进行沉砂处理，然后上清水回用施工场地绿化降尘，下层沉淀层填埋并采取绿化措施，实现施工废水不外排；施工人员产生的生活垃圾收集后及时清运；施工结束后，各类建筑废料、多余材料及生活垃圾应收集后及时带离，避免随着雨水进入保护区。</w:t>
            </w:r>
          </w:p>
          <w:p w14:paraId="17211473">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⑥施工结束后，应及时清理施工现场，临时占地区域按照原有土地利用类型进行植被恢复，植被恢复结合站区绿化进行，可采取灌、草相结合方式，植被种类宜选用本地物种或与周边生态环境相协调的植物种类。</w:t>
            </w:r>
          </w:p>
          <w:p w14:paraId="5238A9CF">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⑦在饮用水水源保护区内施工时，应做好施工期间的环境监理工作，确保各项环保措施得到有效落实。</w:t>
            </w:r>
          </w:p>
          <w:p w14:paraId="615A5BEE">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在采取上述措施后，工程施工对饮用水水源保护区的影响很小。</w:t>
            </w:r>
          </w:p>
          <w:p w14:paraId="67C07A5F">
            <w:pPr>
              <w:adjustRightInd w:val="0"/>
              <w:snapToGrid w:val="0"/>
              <w:spacing w:line="480" w:lineRule="exact"/>
              <w:ind w:firstLine="422" w:firstLineChars="200"/>
              <w:rPr>
                <w:rFonts w:hint="default" w:eastAsia="宋体"/>
                <w:b/>
                <w:bCs w:val="0"/>
                <w:color w:val="000000" w:themeColor="text1"/>
                <w:szCs w:val="21"/>
                <w:lang w:val="en-US" w:eastAsia="zh-CN"/>
                <w14:textFill>
                  <w14:solidFill>
                    <w14:schemeClr w14:val="tx1"/>
                  </w14:solidFill>
                </w14:textFill>
              </w:rPr>
            </w:pPr>
            <w:r>
              <w:rPr>
                <w:rFonts w:hint="eastAsia"/>
                <w:b/>
                <w:bCs w:val="0"/>
                <w:color w:val="000000" w:themeColor="text1"/>
                <w:szCs w:val="21"/>
                <w:lang w:eastAsia="zh-CN"/>
                <w14:textFill>
                  <w14:solidFill>
                    <w14:schemeClr w14:val="tx1"/>
                  </w14:solidFill>
                </w14:textFill>
              </w:rPr>
              <w:t>（</w:t>
            </w:r>
            <w:r>
              <w:rPr>
                <w:rFonts w:hint="eastAsia"/>
                <w:b/>
                <w:bCs w:val="0"/>
                <w:color w:val="000000" w:themeColor="text1"/>
                <w:szCs w:val="21"/>
                <w:lang w:val="en-US" w:eastAsia="zh-CN"/>
                <w14:textFill>
                  <w14:solidFill>
                    <w14:schemeClr w14:val="tx1"/>
                  </w14:solidFill>
                </w14:textFill>
              </w:rPr>
              <w:t>七</w:t>
            </w:r>
            <w:r>
              <w:rPr>
                <w:rFonts w:hint="eastAsia"/>
                <w:b/>
                <w:bCs w:val="0"/>
                <w:color w:val="000000" w:themeColor="text1"/>
                <w:szCs w:val="21"/>
                <w:lang w:eastAsia="zh-CN"/>
                <w14:textFill>
                  <w14:solidFill>
                    <w14:schemeClr w14:val="tx1"/>
                  </w14:solidFill>
                </w14:textFill>
              </w:rPr>
              <w:t>）</w:t>
            </w:r>
            <w:r>
              <w:rPr>
                <w:rFonts w:hint="eastAsia"/>
                <w:b/>
                <w:bCs w:val="0"/>
                <w:color w:val="000000" w:themeColor="text1"/>
                <w:szCs w:val="21"/>
                <w:lang w:val="en-US" w:eastAsia="zh-CN"/>
                <w14:textFill>
                  <w14:solidFill>
                    <w14:schemeClr w14:val="tx1"/>
                  </w14:solidFill>
                </w14:textFill>
              </w:rPr>
              <w:t>对生态保护红线环境保护措施</w:t>
            </w:r>
          </w:p>
          <w:p w14:paraId="6D48EA12">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①本项目线路不在生态保护红线范围内立塔，采用邻近生态保护红线的形式建设，下一阶段设计中，尽可能优化邻近生态保护红线的塔基布置，在工程地质、技术条件等允许的前提下，尽可能将塔基远离生态保护红线设置，进一步加大输电线路与生态保护红线的距离。</w:t>
            </w:r>
          </w:p>
          <w:p w14:paraId="56978C35">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②进一步优化塔基施工场地的布设，在满足施工要求的前提下，在临近生态保护红线的塔基施工时，充分利用现有电力线路运维道路等，尽量减少塔基占地面积，永久占地尽量避开有林地和其他植被良好的区域。</w:t>
            </w:r>
          </w:p>
          <w:p w14:paraId="10DF94C0">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③本工程拟建线路经过成片林区时应采用高跨方式通过，不得砍伐通道。</w:t>
            </w:r>
          </w:p>
          <w:p w14:paraId="6B84D89A">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④统筹规划施工布置，优化施工组织安排，尽量减少施工临时占地面积。尽量采用索道运输、畜力运输等对环境影响小的材料运输方式；尽量利用现有道路、机耕路和林间小路作为施工道路，减少临时施工道路的开挖长度和范围，新建道路应严格控制道路宽度；不在生态保护红线范围内设置牵张场。</w:t>
            </w:r>
          </w:p>
          <w:p w14:paraId="13EA44F4">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⑤采用环境影响小的施工放线方案。线路架线施工应采用生态环境影响较小的无人机架线工艺，减少对线路走廊下方植被的扰动和破坏。</w:t>
            </w:r>
          </w:p>
          <w:p w14:paraId="26B7E03F">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⑥做好环保教育培训和管理。加强对相关参建单位和人员的环保教育和培训，帮助其树立环境保护和野生动植物保护的意识和知识，避免施工过程中出现随意砍伐林木、破坏植被及捕杀、追逐或其他伤害野生动物的行为。</w:t>
            </w:r>
          </w:p>
          <w:p w14:paraId="4B6B10C0">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⑦加强施工活动的管控。合理规划施工组织方式和材料运输方式，尽量采用索道运输、畜力运输等材料运输方式，减少临时施工道路的开挖长度和范围；科学规划，合理划定施工范围并采用警戒线等方式明确，严格控制施工人员、车辆的活动范围，避免对施工范围之外的区域的农田、植被造成碾压和破坏；施工过程中应选用低噪音施工设备，严格控制施工活动范围，减少施工噪声和施工活动对野生动物的干扰；工现场使用带油料的机械器具，应采取措施防止油料跑、冒、滴、漏，防止对土壤和水体造成污染。</w:t>
            </w:r>
          </w:p>
          <w:p w14:paraId="55C22AB4">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⑧避开雨季施工，减少发生水土流失的环境风险。</w:t>
            </w:r>
          </w:p>
          <w:p w14:paraId="48B1F72F">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⑨施工完成后及时进行施工迹地清理。对于塔基施工区域施工过程中产生的建筑材料包装物、生活垃圾、剩余的砂石料建材及其他建筑垃圾，应及时清除出工程区域，并进行妥善处理，严防产生次生危害和污染。</w:t>
            </w:r>
          </w:p>
          <w:p w14:paraId="0C1447F8">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⑩强化施工期环境监理。在整个施工期内，由项目监理部门和建设部门的环保专职人员临时承担环境监理或是聘请保护区管理人员担任环境监理，采用巡检监理的方式，检查生态保护措施的落实及施工人员的生态保护行为。</w:t>
            </w:r>
          </w:p>
          <w:p w14:paraId="0591C56B">
            <w:pPr>
              <w:adjustRightInd w:val="0"/>
              <w:snapToGrid w:val="0"/>
              <w:spacing w:line="480" w:lineRule="exact"/>
              <w:ind w:firstLine="420" w:firstLineChars="200"/>
              <w:rPr>
                <w:bCs/>
                <w:color w:val="000000" w:themeColor="text1"/>
                <w:szCs w:val="21"/>
                <w14:textFill>
                  <w14:solidFill>
                    <w14:schemeClr w14:val="tx1"/>
                  </w14:solidFill>
                </w14:textFill>
              </w:rPr>
            </w:pPr>
          </w:p>
          <w:p w14:paraId="2FFB7C0F">
            <w:pPr>
              <w:adjustRightInd w:val="0"/>
              <w:snapToGrid w:val="0"/>
              <w:spacing w:line="480" w:lineRule="exact"/>
              <w:ind w:firstLine="420" w:firstLineChars="200"/>
              <w:rPr>
                <w:bCs/>
                <w:color w:val="000000" w:themeColor="text1"/>
                <w:szCs w:val="21"/>
                <w14:textFill>
                  <w14:solidFill>
                    <w14:schemeClr w14:val="tx1"/>
                  </w14:solidFill>
                </w14:textFill>
              </w:rPr>
            </w:pPr>
          </w:p>
          <w:p w14:paraId="53CF6A94">
            <w:pPr>
              <w:adjustRightInd w:val="0"/>
              <w:snapToGrid w:val="0"/>
              <w:spacing w:line="480" w:lineRule="exact"/>
              <w:ind w:firstLine="420" w:firstLineChars="200"/>
              <w:rPr>
                <w:bCs/>
                <w:color w:val="000000" w:themeColor="text1"/>
                <w:szCs w:val="21"/>
                <w14:textFill>
                  <w14:solidFill>
                    <w14:schemeClr w14:val="tx1"/>
                  </w14:solidFill>
                </w14:textFill>
              </w:rPr>
            </w:pPr>
          </w:p>
          <w:p w14:paraId="1F2DA468">
            <w:pPr>
              <w:adjustRightInd w:val="0"/>
              <w:snapToGrid w:val="0"/>
              <w:spacing w:line="480" w:lineRule="exact"/>
              <w:ind w:firstLine="420" w:firstLineChars="200"/>
              <w:rPr>
                <w:bCs/>
                <w:color w:val="000000" w:themeColor="text1"/>
                <w:szCs w:val="21"/>
                <w14:textFill>
                  <w14:solidFill>
                    <w14:schemeClr w14:val="tx1"/>
                  </w14:solidFill>
                </w14:textFill>
              </w:rPr>
            </w:pPr>
          </w:p>
          <w:p w14:paraId="631AB477">
            <w:pPr>
              <w:adjustRightInd w:val="0"/>
              <w:snapToGrid w:val="0"/>
              <w:spacing w:line="480" w:lineRule="exact"/>
              <w:ind w:firstLine="420" w:firstLineChars="200"/>
              <w:rPr>
                <w:bCs/>
                <w:color w:val="000000" w:themeColor="text1"/>
                <w:szCs w:val="21"/>
                <w14:textFill>
                  <w14:solidFill>
                    <w14:schemeClr w14:val="tx1"/>
                  </w14:solidFill>
                </w14:textFill>
              </w:rPr>
            </w:pPr>
          </w:p>
          <w:p w14:paraId="0AF1EB69">
            <w:pPr>
              <w:adjustRightInd w:val="0"/>
              <w:snapToGrid w:val="0"/>
              <w:spacing w:line="480" w:lineRule="exact"/>
              <w:ind w:firstLine="420" w:firstLineChars="200"/>
              <w:rPr>
                <w:bCs/>
                <w:color w:val="000000" w:themeColor="text1"/>
                <w:szCs w:val="21"/>
                <w14:textFill>
                  <w14:solidFill>
                    <w14:schemeClr w14:val="tx1"/>
                  </w14:solidFill>
                </w14:textFill>
              </w:rPr>
            </w:pPr>
          </w:p>
          <w:p w14:paraId="6A5E12E3">
            <w:pPr>
              <w:adjustRightInd w:val="0"/>
              <w:snapToGrid w:val="0"/>
              <w:spacing w:line="480" w:lineRule="exact"/>
              <w:ind w:firstLine="420" w:firstLineChars="200"/>
              <w:rPr>
                <w:bCs/>
                <w:color w:val="000000" w:themeColor="text1"/>
                <w:szCs w:val="21"/>
                <w14:textFill>
                  <w14:solidFill>
                    <w14:schemeClr w14:val="tx1"/>
                  </w14:solidFill>
                </w14:textFill>
              </w:rPr>
            </w:pPr>
          </w:p>
          <w:p w14:paraId="23ED348E">
            <w:pPr>
              <w:adjustRightInd w:val="0"/>
              <w:snapToGrid w:val="0"/>
              <w:spacing w:line="480" w:lineRule="exact"/>
              <w:ind w:firstLine="420" w:firstLineChars="200"/>
              <w:rPr>
                <w:bCs/>
                <w:color w:val="000000" w:themeColor="text1"/>
                <w:szCs w:val="21"/>
                <w14:textFill>
                  <w14:solidFill>
                    <w14:schemeClr w14:val="tx1"/>
                  </w14:solidFill>
                </w14:textFill>
              </w:rPr>
            </w:pPr>
          </w:p>
          <w:p w14:paraId="5AF934FA">
            <w:pPr>
              <w:adjustRightInd w:val="0"/>
              <w:snapToGrid w:val="0"/>
              <w:spacing w:line="480" w:lineRule="exact"/>
              <w:ind w:firstLine="420" w:firstLineChars="200"/>
              <w:rPr>
                <w:bCs/>
                <w:color w:val="000000" w:themeColor="text1"/>
                <w:szCs w:val="21"/>
                <w14:textFill>
                  <w14:solidFill>
                    <w14:schemeClr w14:val="tx1"/>
                  </w14:solidFill>
                </w14:textFill>
              </w:rPr>
            </w:pPr>
          </w:p>
          <w:p w14:paraId="011E8D7D">
            <w:pPr>
              <w:adjustRightInd w:val="0"/>
              <w:snapToGrid w:val="0"/>
              <w:spacing w:line="480" w:lineRule="exact"/>
              <w:ind w:firstLine="420" w:firstLineChars="200"/>
              <w:rPr>
                <w:bCs/>
                <w:color w:val="000000" w:themeColor="text1"/>
                <w:szCs w:val="21"/>
                <w14:textFill>
                  <w14:solidFill>
                    <w14:schemeClr w14:val="tx1"/>
                  </w14:solidFill>
                </w14:textFill>
              </w:rPr>
            </w:pPr>
          </w:p>
          <w:p w14:paraId="5E9E693C">
            <w:pPr>
              <w:adjustRightInd w:val="0"/>
              <w:snapToGrid w:val="0"/>
              <w:spacing w:line="480" w:lineRule="exact"/>
              <w:ind w:firstLine="420" w:firstLineChars="200"/>
              <w:rPr>
                <w:bCs/>
                <w:color w:val="000000" w:themeColor="text1"/>
                <w:szCs w:val="21"/>
                <w14:textFill>
                  <w14:solidFill>
                    <w14:schemeClr w14:val="tx1"/>
                  </w14:solidFill>
                </w14:textFill>
              </w:rPr>
            </w:pPr>
          </w:p>
          <w:p w14:paraId="37DF4DAE">
            <w:pPr>
              <w:adjustRightInd w:val="0"/>
              <w:snapToGrid w:val="0"/>
              <w:spacing w:line="480" w:lineRule="exact"/>
              <w:ind w:firstLine="420" w:firstLineChars="200"/>
              <w:rPr>
                <w:bCs/>
                <w:color w:val="000000" w:themeColor="text1"/>
                <w:szCs w:val="21"/>
                <w14:textFill>
                  <w14:solidFill>
                    <w14:schemeClr w14:val="tx1"/>
                  </w14:solidFill>
                </w14:textFill>
              </w:rPr>
            </w:pPr>
          </w:p>
          <w:p w14:paraId="5AE4F450">
            <w:pPr>
              <w:adjustRightInd w:val="0"/>
              <w:snapToGrid w:val="0"/>
              <w:spacing w:line="480" w:lineRule="exact"/>
              <w:ind w:firstLine="420" w:firstLineChars="200"/>
              <w:rPr>
                <w:bCs/>
                <w:color w:val="000000" w:themeColor="text1"/>
                <w:szCs w:val="21"/>
                <w14:textFill>
                  <w14:solidFill>
                    <w14:schemeClr w14:val="tx1"/>
                  </w14:solidFill>
                </w14:textFill>
              </w:rPr>
            </w:pPr>
          </w:p>
          <w:p w14:paraId="3933A79F">
            <w:pPr>
              <w:adjustRightInd w:val="0"/>
              <w:snapToGrid w:val="0"/>
              <w:spacing w:line="480" w:lineRule="exact"/>
              <w:ind w:firstLine="420" w:firstLineChars="200"/>
              <w:rPr>
                <w:bCs/>
                <w:color w:val="000000" w:themeColor="text1"/>
                <w:szCs w:val="21"/>
                <w14:textFill>
                  <w14:solidFill>
                    <w14:schemeClr w14:val="tx1"/>
                  </w14:solidFill>
                </w14:textFill>
              </w:rPr>
            </w:pPr>
          </w:p>
        </w:tc>
      </w:tr>
      <w:tr w14:paraId="049B5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6" w:hRule="atLeast"/>
          <w:jc w:val="center"/>
        </w:trPr>
        <w:tc>
          <w:tcPr>
            <w:tcW w:w="324" w:type="dxa"/>
            <w:tcMar>
              <w:left w:w="28" w:type="dxa"/>
              <w:right w:w="28" w:type="dxa"/>
            </w:tcMar>
            <w:vAlign w:val="center"/>
          </w:tcPr>
          <w:p w14:paraId="33C96F70">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运营期</w:t>
            </w:r>
          </w:p>
          <w:p w14:paraId="768D4FFA">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生态环境</w:t>
            </w:r>
          </w:p>
          <w:p w14:paraId="4F04BBB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保护措施</w:t>
            </w:r>
          </w:p>
        </w:tc>
        <w:tc>
          <w:tcPr>
            <w:tcW w:w="8180" w:type="dxa"/>
            <w:vAlign w:val="center"/>
          </w:tcPr>
          <w:p w14:paraId="4E79F056">
            <w:pPr>
              <w:adjustRightInd w:val="0"/>
              <w:snapToGrid w:val="0"/>
              <w:spacing w:line="48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（一）运营期生态保护措施</w:t>
            </w:r>
          </w:p>
          <w:p w14:paraId="62A9C747">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运营期加强架空线路巡查和检查，做好线路沿线维护和运行管理，强化线路检修维护人员的生态环境保护意识教育，并严格管理，避免对项目周边的自然植被和生态系统的破坏。</w:t>
            </w:r>
          </w:p>
          <w:p w14:paraId="576F486A">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根据项目所在区域的环境特点，运行主管单位应落实如下生态管理责任：</w:t>
            </w:r>
          </w:p>
          <w:p w14:paraId="6D84ED1A">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①制定和实施各项生态环境监督管理计划；</w:t>
            </w:r>
          </w:p>
          <w:p w14:paraId="36A28F95">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②不定期地巡查线路，特别注意保护环境保护对象，保护生态环境不被破坏，保证保护生态与工程运行相协调；</w:t>
            </w:r>
          </w:p>
          <w:p w14:paraId="664CE255">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③协调配合生态环境主管部门所进行的环境调查，生态调查等活动</w:t>
            </w:r>
            <w:r>
              <w:rPr>
                <w:rFonts w:hint="eastAsia"/>
                <w:bCs/>
                <w:color w:val="000000" w:themeColor="text1"/>
                <w:szCs w:val="21"/>
                <w14:textFill>
                  <w14:solidFill>
                    <w14:schemeClr w14:val="tx1"/>
                  </w14:solidFill>
                </w14:textFill>
              </w:rPr>
              <w:t>；</w:t>
            </w:r>
          </w:p>
          <w:p w14:paraId="1BDD3275">
            <w:pPr>
              <w:adjustRightInd w:val="0"/>
              <w:snapToGrid w:val="0"/>
              <w:spacing w:line="480" w:lineRule="exact"/>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④线路塔基安装驱鸟器，保护鸟类。</w:t>
            </w:r>
          </w:p>
          <w:p w14:paraId="43D3AE7C">
            <w:pPr>
              <w:adjustRightInd w:val="0"/>
              <w:snapToGrid w:val="0"/>
              <w:spacing w:line="48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（二）噪声污染防治措施</w:t>
            </w:r>
          </w:p>
          <w:p w14:paraId="619A2CDC">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架空线路合理选择导线类型，确保导线对地高度。</w:t>
            </w:r>
          </w:p>
          <w:p w14:paraId="6F226811">
            <w:pPr>
              <w:adjustRightInd w:val="0"/>
              <w:snapToGrid w:val="0"/>
              <w:spacing w:line="48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（三）电磁环境保护措施</w:t>
            </w:r>
          </w:p>
          <w:p w14:paraId="0A87CD90">
            <w:pPr>
              <w:snapToGrid w:val="0"/>
              <w:spacing w:line="480" w:lineRule="exact"/>
              <w:ind w:firstLine="420" w:firstLineChars="200"/>
              <w:jc w:val="left"/>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根据《电力设施保护条例》，任何单位或个人在电力电缆线路保护区内，必须遵守下列规定：不得堆放谷物、草料、垃圾、矿渣、易燃物、易爆物及其他影响安全供电的物品；不得烧窑、烧荒；不得兴建建筑物、构筑物或种植树木、竹子；不得种植可能危及电力设施安全的植物；地下电缆铺设后，应设立永久性标志，并将地下电缆所在位置书面通知有关部门。</w:t>
            </w:r>
          </w:p>
          <w:p w14:paraId="059D398F">
            <w:pPr>
              <w:autoSpaceDE w:val="0"/>
              <w:autoSpaceDN w:val="0"/>
              <w:adjustRightInd w:val="0"/>
              <w:spacing w:line="480" w:lineRule="exact"/>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建设单位按照《110kV-750kV 架空输电线路设计规范》控制架线高度，确保与跨越物留有足够净空距离。在运行过程中，加强线路日常管理和维护，使变压器、线路保持良好的运行状态，</w:t>
            </w:r>
          </w:p>
          <w:p w14:paraId="14558CE3">
            <w:pPr>
              <w:autoSpaceDE w:val="0"/>
              <w:autoSpaceDN w:val="0"/>
              <w:adjustRightInd w:val="0"/>
              <w:spacing w:line="480" w:lineRule="exact"/>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运营期做好环境保护设施的维护和运行管理，加强巡查和检查，保障发挥环境保护作用，定期开展环境监测。工频电场、工频磁感应强度满足《电磁环境控制限值》（GB 8702-2014）公众曝露控制限值要求；架空输电线路线下的耕地、园地、牧草地、畜禽饲养地、养殖水面、道路等场所，满足电场强度控制限值10kV/m，且给出警示和防护指示标志。针对线下实测电场强度超过4kV/m区域，应在线路走廊设置警示标志。</w:t>
            </w:r>
          </w:p>
          <w:p w14:paraId="4C653D5D">
            <w:pPr>
              <w:adjustRightInd w:val="0"/>
              <w:snapToGrid w:val="0"/>
              <w:spacing w:line="480" w:lineRule="exact"/>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（四）环境监测计划</w:t>
            </w:r>
          </w:p>
          <w:p w14:paraId="2C357F31">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根据《排污单位自行监测技术指南总则》（HJ819-2017）及输变电建设项目环境保护技术要求（HJ1113-2020），并结合本项目行业特点及环境特征，制定本项目建设单位自行监测计划。</w:t>
            </w:r>
          </w:p>
          <w:p w14:paraId="2B1A975B">
            <w:pPr>
              <w:spacing w:line="4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表5-2  环境监测计划表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388"/>
              <w:gridCol w:w="973"/>
              <w:gridCol w:w="2320"/>
              <w:gridCol w:w="2464"/>
            </w:tblGrid>
            <w:tr w14:paraId="0594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vAlign w:val="center"/>
                </w:tcPr>
                <w:p w14:paraId="7DF6CAC4">
                  <w:pPr>
                    <w:pStyle w:val="50"/>
                    <w:spacing w:before="24" w:after="24"/>
                    <w:rPr>
                      <w:rFonts w:ascii="Times New Roman"/>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监测内容</w:t>
                  </w:r>
                </w:p>
              </w:tc>
              <w:tc>
                <w:tcPr>
                  <w:tcW w:w="1388" w:type="dxa"/>
                  <w:vAlign w:val="center"/>
                </w:tcPr>
                <w:p w14:paraId="772B4474">
                  <w:pPr>
                    <w:pStyle w:val="50"/>
                    <w:spacing w:before="24" w:after="24"/>
                    <w:rPr>
                      <w:rFonts w:ascii="Times New Roman"/>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监测位置</w:t>
                  </w:r>
                </w:p>
              </w:tc>
              <w:tc>
                <w:tcPr>
                  <w:tcW w:w="0" w:type="auto"/>
                  <w:vAlign w:val="center"/>
                </w:tcPr>
                <w:p w14:paraId="5028D9F1">
                  <w:pPr>
                    <w:pStyle w:val="50"/>
                    <w:spacing w:before="24" w:after="24"/>
                    <w:rPr>
                      <w:rFonts w:ascii="Times New Roman"/>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监测因子</w:t>
                  </w:r>
                </w:p>
              </w:tc>
              <w:tc>
                <w:tcPr>
                  <w:tcW w:w="0" w:type="auto"/>
                  <w:vAlign w:val="center"/>
                </w:tcPr>
                <w:p w14:paraId="5A7F1C5E">
                  <w:pPr>
                    <w:pStyle w:val="50"/>
                    <w:spacing w:before="24" w:after="24"/>
                    <w:rPr>
                      <w:rFonts w:ascii="Times New Roman"/>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监测频次</w:t>
                  </w:r>
                </w:p>
              </w:tc>
              <w:tc>
                <w:tcPr>
                  <w:tcW w:w="0" w:type="auto"/>
                  <w:vAlign w:val="center"/>
                </w:tcPr>
                <w:p w14:paraId="0E94AD86">
                  <w:pPr>
                    <w:pStyle w:val="50"/>
                    <w:spacing w:before="24" w:after="24"/>
                    <w:rPr>
                      <w:rFonts w:ascii="Times New Roman"/>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执行标准</w:t>
                  </w:r>
                </w:p>
              </w:tc>
            </w:tr>
            <w:tr w14:paraId="4B95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vAlign w:val="center"/>
                </w:tcPr>
                <w:p w14:paraId="5FB67208">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噪声</w:t>
                  </w:r>
                </w:p>
              </w:tc>
              <w:tc>
                <w:tcPr>
                  <w:tcW w:w="1388" w:type="dxa"/>
                  <w:vAlign w:val="center"/>
                </w:tcPr>
                <w:p w14:paraId="51136532">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输电线路沿线跨越段</w:t>
                  </w:r>
                </w:p>
              </w:tc>
              <w:tc>
                <w:tcPr>
                  <w:tcW w:w="0" w:type="auto"/>
                  <w:vAlign w:val="center"/>
                </w:tcPr>
                <w:p w14:paraId="48BDC09E">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等效连续A 声级</w:t>
                  </w:r>
                </w:p>
              </w:tc>
              <w:tc>
                <w:tcPr>
                  <w:tcW w:w="0" w:type="auto"/>
                  <w:vAlign w:val="center"/>
                </w:tcPr>
                <w:p w14:paraId="7AD98C54">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环保验收监测1次，运行后突发环境事件时进行监测，公众发生投诉情况时进行监测</w:t>
                  </w:r>
                </w:p>
              </w:tc>
              <w:tc>
                <w:tcPr>
                  <w:tcW w:w="0" w:type="auto"/>
                  <w:vAlign w:val="center"/>
                </w:tcPr>
                <w:p w14:paraId="7898B5D9">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《声环境质量标准》（GB3096-2008）1 类标准</w:t>
                  </w:r>
                </w:p>
              </w:tc>
            </w:tr>
            <w:tr w14:paraId="7DF7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vAlign w:val="center"/>
                </w:tcPr>
                <w:p w14:paraId="5A087E0D">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电磁环境</w:t>
                  </w:r>
                </w:p>
              </w:tc>
              <w:tc>
                <w:tcPr>
                  <w:tcW w:w="1388" w:type="dxa"/>
                  <w:vAlign w:val="center"/>
                </w:tcPr>
                <w:p w14:paraId="28BC3868">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输电架空线路边导弧垂最低处设监测断面和沿线跨越处</w:t>
                  </w:r>
                </w:p>
              </w:tc>
              <w:tc>
                <w:tcPr>
                  <w:tcW w:w="0" w:type="auto"/>
                  <w:vAlign w:val="center"/>
                </w:tcPr>
                <w:p w14:paraId="6E17FD86">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工频电场、工频磁场</w:t>
                  </w:r>
                </w:p>
              </w:tc>
              <w:tc>
                <w:tcPr>
                  <w:tcW w:w="0" w:type="auto"/>
                  <w:vAlign w:val="center"/>
                </w:tcPr>
                <w:p w14:paraId="666DA101">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环保验收监测1次，运行后突发环境事件时进行监测，公众发生投诉情况时进行监测</w:t>
                  </w:r>
                </w:p>
              </w:tc>
              <w:tc>
                <w:tcPr>
                  <w:tcW w:w="0" w:type="auto"/>
                  <w:vAlign w:val="center"/>
                </w:tcPr>
                <w:p w14:paraId="0D74151D">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《电磁环境控制限值》</w:t>
                  </w:r>
                </w:p>
                <w:p w14:paraId="0796A460">
                  <w:pPr>
                    <w:pStyle w:val="50"/>
                    <w:spacing w:before="24" w:after="24"/>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（GB8702-2014）表1 公众曝露控制限值</w:t>
                  </w:r>
                </w:p>
              </w:tc>
            </w:tr>
          </w:tbl>
          <w:p w14:paraId="4B0A7298">
            <w:pPr>
              <w:adjustRightInd w:val="0"/>
              <w:snapToGrid w:val="0"/>
              <w:spacing w:line="480" w:lineRule="exact"/>
              <w:ind w:firstLine="420" w:firstLineChars="200"/>
              <w:rPr>
                <w:bCs/>
                <w:color w:val="000000" w:themeColor="text1"/>
                <w:szCs w:val="21"/>
                <w14:textFill>
                  <w14:solidFill>
                    <w14:schemeClr w14:val="tx1"/>
                  </w14:solidFill>
                </w14:textFill>
              </w:rPr>
            </w:pPr>
          </w:p>
        </w:tc>
      </w:tr>
      <w:tr w14:paraId="21185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4" w:type="dxa"/>
            <w:vAlign w:val="center"/>
          </w:tcPr>
          <w:p w14:paraId="29FEFFEC">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其他</w:t>
            </w:r>
          </w:p>
        </w:tc>
        <w:tc>
          <w:tcPr>
            <w:tcW w:w="8180" w:type="dxa"/>
            <w:vAlign w:val="center"/>
          </w:tcPr>
          <w:p w14:paraId="7F7735FE">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依据《建设项目环境保护管理条例》</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中华人民共和国国务院令第682号，2017年10月1日实施</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、《建设项目竣工环境保护验收暂行办法》（2017年11月20日发布），建设项目竣工后建设单位应当按照国务院生态环境主管部门规定的标准和程序，对配套建设的环境保护设施进行验收，编制验收报告。</w:t>
            </w:r>
          </w:p>
          <w:p w14:paraId="1078E5A6">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委托有环境监理单位承担，建设单位负责监督。在环境保护设施验收过程中，应当如实查验、监测、记载建设项目环境保护设施的建设和调试情况，需留存建设过程中各项环保措施落实情况过程性记录、生态恢复等环保措施过程性记录等痕迹记录，不得弄虚作假。其配套建设的环境保护设施经验收合格，方可投入生产或者使用；未经验收或者验收不合格的，不得投入生产或者使用。</w:t>
            </w:r>
          </w:p>
          <w:p w14:paraId="4235E2A1">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根据《</w:t>
            </w:r>
            <w:r>
              <w:rPr>
                <w:rFonts w:hint="eastAsia"/>
                <w:bCs/>
                <w:color w:val="000000" w:themeColor="text1"/>
                <w:szCs w:val="21"/>
                <w14:textFill>
                  <w14:solidFill>
                    <w14:schemeClr w14:val="tx1"/>
                  </w14:solidFill>
                </w14:textFill>
              </w:rPr>
              <w:t>建设项目竣工环境保护验收技术规范 输变电</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HJ 705-2020</w:t>
            </w:r>
            <w:r>
              <w:rPr>
                <w:bCs/>
                <w:color w:val="000000" w:themeColor="text1"/>
                <w:szCs w:val="21"/>
                <w14:textFill>
                  <w14:solidFill>
                    <w14:schemeClr w14:val="tx1"/>
                  </w14:solidFill>
                </w14:textFill>
              </w:rPr>
              <w:t>输变电工程竣工环境保护验收调查工作分为两个阶段：验收调查准备阶段；验收调查阶段。</w:t>
            </w:r>
          </w:p>
        </w:tc>
      </w:tr>
      <w:tr w14:paraId="68265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4" w:type="dxa"/>
            <w:vAlign w:val="center"/>
          </w:tcPr>
          <w:p w14:paraId="45BAB9F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环保投资</w:t>
            </w:r>
          </w:p>
        </w:tc>
        <w:tc>
          <w:tcPr>
            <w:tcW w:w="8180" w:type="dxa"/>
            <w:vAlign w:val="center"/>
          </w:tcPr>
          <w:p w14:paraId="76890974">
            <w:pPr>
              <w:adjustRightInd w:val="0"/>
              <w:snapToGrid w:val="0"/>
              <w:spacing w:line="480" w:lineRule="exact"/>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针对本项目施工期、运行期可能产生的环境问题，估算环保投资为</w:t>
            </w:r>
            <w:r>
              <w:rPr>
                <w:rFonts w:hint="eastAsia"/>
                <w:bCs/>
                <w:color w:val="000000" w:themeColor="text1"/>
                <w:szCs w:val="21"/>
                <w14:textFill>
                  <w14:solidFill>
                    <w14:schemeClr w14:val="tx1"/>
                  </w14:solidFill>
                </w14:textFill>
              </w:rPr>
              <w:t>635</w:t>
            </w:r>
            <w:r>
              <w:rPr>
                <w:bCs/>
                <w:color w:val="000000" w:themeColor="text1"/>
                <w:szCs w:val="21"/>
                <w14:textFill>
                  <w14:solidFill>
                    <w14:schemeClr w14:val="tx1"/>
                  </w14:solidFill>
                </w14:textFill>
              </w:rPr>
              <w:t>万元，主要用于生态补偿、施工期扬尘、噪声污染防治措施、运行期噪声防治措施、电磁防治措施等，具体明细见下表。</w:t>
            </w:r>
          </w:p>
          <w:p w14:paraId="41D1F794">
            <w:pPr>
              <w:spacing w:line="480" w:lineRule="exact"/>
              <w:ind w:firstLine="422" w:firstLineChars="200"/>
              <w:jc w:val="center"/>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表5-3  环保投资估算表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756"/>
              <w:gridCol w:w="5211"/>
              <w:gridCol w:w="1347"/>
            </w:tblGrid>
            <w:tr w14:paraId="79DD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28194E69">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0" w:type="auto"/>
                  <w:vAlign w:val="center"/>
                </w:tcPr>
                <w:p w14:paraId="0D1D6013">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5211" w:type="dxa"/>
                  <w:vAlign w:val="center"/>
                </w:tcPr>
                <w:p w14:paraId="3BD87ED7">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环保工程内容</w:t>
                  </w:r>
                </w:p>
              </w:tc>
              <w:tc>
                <w:tcPr>
                  <w:tcW w:w="1347" w:type="dxa"/>
                  <w:vAlign w:val="center"/>
                </w:tcPr>
                <w:p w14:paraId="2EECD16E">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投资额</w:t>
                  </w:r>
                </w:p>
                <w:p w14:paraId="395C82D2">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（万元）</w:t>
                  </w:r>
                </w:p>
              </w:tc>
            </w:tr>
            <w:tr w14:paraId="5316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58E6A4AD">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0" w:type="auto"/>
                  <w:vAlign w:val="center"/>
                </w:tcPr>
                <w:p w14:paraId="58A626A2">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5211" w:type="dxa"/>
                  <w:vAlign w:val="center"/>
                </w:tcPr>
                <w:p w14:paraId="2F5ADC2D">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洒水抑尘、苫盖、定期维护车辆等。</w:t>
                  </w:r>
                </w:p>
              </w:tc>
              <w:tc>
                <w:tcPr>
                  <w:tcW w:w="1347" w:type="dxa"/>
                  <w:vAlign w:val="center"/>
                </w:tcPr>
                <w:p w14:paraId="485FAAFD">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14:paraId="5BA2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4736FACA">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0" w:type="auto"/>
                  <w:vAlign w:val="center"/>
                </w:tcPr>
                <w:p w14:paraId="2275B785">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5211" w:type="dxa"/>
                  <w:vAlign w:val="center"/>
                </w:tcPr>
                <w:p w14:paraId="2CEEA42F">
                  <w:pPr>
                    <w:spacing w:line="320" w:lineRule="exact"/>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项目杆塔组立及导线牵张等不产生废水，施工人员租用周边民房，生活污水纳入当地居民生活污水处理系统。</w:t>
                  </w:r>
                </w:p>
              </w:tc>
              <w:tc>
                <w:tcPr>
                  <w:tcW w:w="1347" w:type="dxa"/>
                  <w:vAlign w:val="center"/>
                </w:tcPr>
                <w:p w14:paraId="1E592B68">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14:paraId="5EF0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468C34AD">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0" w:type="auto"/>
                  <w:vAlign w:val="center"/>
                </w:tcPr>
                <w:p w14:paraId="7CE1093D">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5211" w:type="dxa"/>
                  <w:vAlign w:val="center"/>
                </w:tcPr>
                <w:p w14:paraId="3EF9825E">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选用低噪声设备，加强设备维护</w:t>
                  </w:r>
                </w:p>
              </w:tc>
              <w:tc>
                <w:tcPr>
                  <w:tcW w:w="1347" w:type="dxa"/>
                  <w:vAlign w:val="center"/>
                </w:tcPr>
                <w:p w14:paraId="7B69C6B7">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14:paraId="3821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5339EFEC">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0" w:type="auto"/>
                  <w:vAlign w:val="center"/>
                </w:tcPr>
                <w:p w14:paraId="16D9D91B">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生态补偿</w:t>
                  </w:r>
                </w:p>
              </w:tc>
              <w:tc>
                <w:tcPr>
                  <w:tcW w:w="5211" w:type="dxa"/>
                  <w:vAlign w:val="center"/>
                </w:tcPr>
                <w:p w14:paraId="177E51B9">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临时占地植被恢复及耕地恢复、临时拦挡等水土流失防范工程等</w:t>
                  </w:r>
                </w:p>
              </w:tc>
              <w:tc>
                <w:tcPr>
                  <w:tcW w:w="1347" w:type="dxa"/>
                  <w:vAlign w:val="center"/>
                </w:tcPr>
                <w:p w14:paraId="1150BF61">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410</w:t>
                  </w:r>
                </w:p>
              </w:tc>
            </w:tr>
            <w:tr w14:paraId="1738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68D5DDB9">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0" w:type="auto"/>
                  <w:vAlign w:val="center"/>
                </w:tcPr>
                <w:p w14:paraId="2F73C71D">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5211" w:type="dxa"/>
                  <w:vAlign w:val="center"/>
                </w:tcPr>
                <w:p w14:paraId="52DC141D">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废料清运和平整；垃圾桶等</w:t>
                  </w:r>
                </w:p>
              </w:tc>
              <w:tc>
                <w:tcPr>
                  <w:tcW w:w="1347" w:type="dxa"/>
                  <w:vAlign w:val="center"/>
                </w:tcPr>
                <w:p w14:paraId="422CCBB9">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r w14:paraId="1C3B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54680E45">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0" w:type="auto"/>
                  <w:vAlign w:val="center"/>
                </w:tcPr>
                <w:p w14:paraId="2DFDEB9E">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w:t>
                  </w:r>
                </w:p>
              </w:tc>
              <w:tc>
                <w:tcPr>
                  <w:tcW w:w="5211" w:type="dxa"/>
                  <w:vAlign w:val="center"/>
                </w:tcPr>
                <w:p w14:paraId="232681E3">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合理选择和布设导线、绝缘子等</w:t>
                  </w:r>
                </w:p>
              </w:tc>
              <w:tc>
                <w:tcPr>
                  <w:tcW w:w="1347" w:type="dxa"/>
                  <w:vAlign w:val="center"/>
                </w:tcPr>
                <w:p w14:paraId="6AFA83B2">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r>
            <w:tr w14:paraId="3BA4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05" w:type="dxa"/>
                  <w:gridSpan w:val="3"/>
                  <w:vAlign w:val="center"/>
                </w:tcPr>
                <w:p w14:paraId="6772535A">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1347" w:type="dxa"/>
                  <w:vAlign w:val="center"/>
                </w:tcPr>
                <w:p w14:paraId="52A20ABB">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635</w:t>
                  </w:r>
                </w:p>
              </w:tc>
            </w:tr>
          </w:tbl>
          <w:p w14:paraId="6E55ED7C">
            <w:pPr>
              <w:adjustRightInd w:val="0"/>
              <w:snapToGrid w:val="0"/>
              <w:spacing w:line="480" w:lineRule="exact"/>
              <w:ind w:firstLine="420" w:firstLineChars="200"/>
              <w:rPr>
                <w:bCs/>
                <w:color w:val="000000" w:themeColor="text1"/>
                <w:szCs w:val="21"/>
                <w14:textFill>
                  <w14:solidFill>
                    <w14:schemeClr w14:val="tx1"/>
                  </w14:solidFill>
                </w14:textFill>
              </w:rPr>
            </w:pPr>
          </w:p>
          <w:p w14:paraId="4BB048ED">
            <w:pPr>
              <w:adjustRightInd w:val="0"/>
              <w:snapToGrid w:val="0"/>
              <w:spacing w:line="480" w:lineRule="exact"/>
              <w:ind w:firstLine="420" w:firstLineChars="200"/>
              <w:rPr>
                <w:bCs/>
                <w:color w:val="000000" w:themeColor="text1"/>
                <w:szCs w:val="21"/>
                <w14:textFill>
                  <w14:solidFill>
                    <w14:schemeClr w14:val="tx1"/>
                  </w14:solidFill>
                </w14:textFill>
              </w:rPr>
            </w:pPr>
          </w:p>
          <w:p w14:paraId="66FAB226">
            <w:pPr>
              <w:adjustRightInd w:val="0"/>
              <w:snapToGrid w:val="0"/>
              <w:spacing w:line="480" w:lineRule="exact"/>
              <w:ind w:firstLine="420" w:firstLineChars="200"/>
              <w:rPr>
                <w:bCs/>
                <w:color w:val="000000" w:themeColor="text1"/>
                <w:szCs w:val="21"/>
                <w14:textFill>
                  <w14:solidFill>
                    <w14:schemeClr w14:val="tx1"/>
                  </w14:solidFill>
                </w14:textFill>
              </w:rPr>
            </w:pPr>
          </w:p>
          <w:p w14:paraId="75A4B01E">
            <w:pPr>
              <w:adjustRightInd w:val="0"/>
              <w:snapToGrid w:val="0"/>
              <w:spacing w:line="480" w:lineRule="exact"/>
              <w:ind w:firstLine="420" w:firstLineChars="200"/>
              <w:rPr>
                <w:bCs/>
                <w:color w:val="000000" w:themeColor="text1"/>
                <w:szCs w:val="21"/>
                <w14:textFill>
                  <w14:solidFill>
                    <w14:schemeClr w14:val="tx1"/>
                  </w14:solidFill>
                </w14:textFill>
              </w:rPr>
            </w:pPr>
          </w:p>
          <w:p w14:paraId="1432CBC4">
            <w:pPr>
              <w:adjustRightInd w:val="0"/>
              <w:snapToGrid w:val="0"/>
              <w:spacing w:line="480" w:lineRule="exact"/>
              <w:ind w:firstLine="420" w:firstLineChars="200"/>
              <w:rPr>
                <w:bCs/>
                <w:color w:val="000000" w:themeColor="text1"/>
                <w:szCs w:val="21"/>
                <w14:textFill>
                  <w14:solidFill>
                    <w14:schemeClr w14:val="tx1"/>
                  </w14:solidFill>
                </w14:textFill>
              </w:rPr>
            </w:pPr>
          </w:p>
          <w:p w14:paraId="154CABF5">
            <w:pPr>
              <w:adjustRightInd w:val="0"/>
              <w:snapToGrid w:val="0"/>
              <w:spacing w:line="480" w:lineRule="exact"/>
              <w:ind w:firstLine="420" w:firstLineChars="200"/>
              <w:rPr>
                <w:bCs/>
                <w:color w:val="000000" w:themeColor="text1"/>
                <w:szCs w:val="21"/>
                <w14:textFill>
                  <w14:solidFill>
                    <w14:schemeClr w14:val="tx1"/>
                  </w14:solidFill>
                </w14:textFill>
              </w:rPr>
            </w:pPr>
          </w:p>
          <w:p w14:paraId="61AF40D4">
            <w:pPr>
              <w:adjustRightInd w:val="0"/>
              <w:snapToGrid w:val="0"/>
              <w:spacing w:line="480" w:lineRule="exact"/>
              <w:ind w:firstLine="420" w:firstLineChars="200"/>
              <w:rPr>
                <w:bCs/>
                <w:color w:val="000000" w:themeColor="text1"/>
                <w:szCs w:val="21"/>
                <w14:textFill>
                  <w14:solidFill>
                    <w14:schemeClr w14:val="tx1"/>
                  </w14:solidFill>
                </w14:textFill>
              </w:rPr>
            </w:pPr>
          </w:p>
          <w:p w14:paraId="7441E457">
            <w:pPr>
              <w:adjustRightInd w:val="0"/>
              <w:snapToGrid w:val="0"/>
              <w:spacing w:line="480" w:lineRule="exact"/>
              <w:ind w:firstLine="420" w:firstLineChars="200"/>
              <w:rPr>
                <w:bCs/>
                <w:color w:val="000000" w:themeColor="text1"/>
                <w:szCs w:val="21"/>
                <w14:textFill>
                  <w14:solidFill>
                    <w14:schemeClr w14:val="tx1"/>
                  </w14:solidFill>
                </w14:textFill>
              </w:rPr>
            </w:pPr>
          </w:p>
          <w:p w14:paraId="03BDAE0A">
            <w:pPr>
              <w:adjustRightInd w:val="0"/>
              <w:snapToGrid w:val="0"/>
              <w:spacing w:line="480" w:lineRule="exact"/>
              <w:ind w:firstLine="420" w:firstLineChars="200"/>
              <w:rPr>
                <w:bCs/>
                <w:color w:val="000000" w:themeColor="text1"/>
                <w:szCs w:val="21"/>
                <w14:textFill>
                  <w14:solidFill>
                    <w14:schemeClr w14:val="tx1"/>
                  </w14:solidFill>
                </w14:textFill>
              </w:rPr>
            </w:pPr>
          </w:p>
          <w:p w14:paraId="504505B1">
            <w:pPr>
              <w:adjustRightInd w:val="0"/>
              <w:snapToGrid w:val="0"/>
              <w:spacing w:line="480" w:lineRule="exact"/>
              <w:ind w:firstLine="420" w:firstLineChars="200"/>
              <w:rPr>
                <w:bCs/>
                <w:color w:val="000000" w:themeColor="text1"/>
                <w:szCs w:val="21"/>
                <w14:textFill>
                  <w14:solidFill>
                    <w14:schemeClr w14:val="tx1"/>
                  </w14:solidFill>
                </w14:textFill>
              </w:rPr>
            </w:pPr>
          </w:p>
          <w:p w14:paraId="208883C0">
            <w:pPr>
              <w:adjustRightInd w:val="0"/>
              <w:snapToGrid w:val="0"/>
              <w:spacing w:line="480" w:lineRule="exact"/>
              <w:ind w:firstLine="420" w:firstLineChars="200"/>
              <w:rPr>
                <w:bCs/>
                <w:color w:val="000000" w:themeColor="text1"/>
                <w:szCs w:val="21"/>
                <w14:textFill>
                  <w14:solidFill>
                    <w14:schemeClr w14:val="tx1"/>
                  </w14:solidFill>
                </w14:textFill>
              </w:rPr>
            </w:pPr>
          </w:p>
          <w:p w14:paraId="5E7DB0EB">
            <w:pPr>
              <w:adjustRightInd w:val="0"/>
              <w:snapToGrid w:val="0"/>
              <w:spacing w:line="480" w:lineRule="exact"/>
              <w:ind w:firstLine="420" w:firstLineChars="200"/>
              <w:rPr>
                <w:bCs/>
                <w:color w:val="000000" w:themeColor="text1"/>
                <w:szCs w:val="21"/>
                <w14:textFill>
                  <w14:solidFill>
                    <w14:schemeClr w14:val="tx1"/>
                  </w14:solidFill>
                </w14:textFill>
              </w:rPr>
            </w:pPr>
          </w:p>
          <w:p w14:paraId="54C910A9">
            <w:pPr>
              <w:adjustRightInd w:val="0"/>
              <w:snapToGrid w:val="0"/>
              <w:spacing w:line="480" w:lineRule="exact"/>
              <w:ind w:firstLine="420" w:firstLineChars="200"/>
              <w:rPr>
                <w:bCs/>
                <w:color w:val="000000" w:themeColor="text1"/>
                <w:szCs w:val="21"/>
                <w14:textFill>
                  <w14:solidFill>
                    <w14:schemeClr w14:val="tx1"/>
                  </w14:solidFill>
                </w14:textFill>
              </w:rPr>
            </w:pPr>
          </w:p>
          <w:p w14:paraId="7BFA9C5D">
            <w:pPr>
              <w:adjustRightInd w:val="0"/>
              <w:snapToGrid w:val="0"/>
              <w:spacing w:line="480" w:lineRule="exact"/>
              <w:ind w:firstLine="420" w:firstLineChars="200"/>
              <w:rPr>
                <w:bCs/>
                <w:color w:val="000000" w:themeColor="text1"/>
                <w:szCs w:val="21"/>
                <w14:textFill>
                  <w14:solidFill>
                    <w14:schemeClr w14:val="tx1"/>
                  </w14:solidFill>
                </w14:textFill>
              </w:rPr>
            </w:pPr>
          </w:p>
          <w:p w14:paraId="2F0DA55B">
            <w:pPr>
              <w:adjustRightInd w:val="0"/>
              <w:snapToGrid w:val="0"/>
              <w:spacing w:line="480" w:lineRule="exact"/>
              <w:ind w:firstLine="420" w:firstLineChars="200"/>
              <w:rPr>
                <w:bCs/>
                <w:color w:val="000000" w:themeColor="text1"/>
                <w:szCs w:val="21"/>
                <w14:textFill>
                  <w14:solidFill>
                    <w14:schemeClr w14:val="tx1"/>
                  </w14:solidFill>
                </w14:textFill>
              </w:rPr>
            </w:pPr>
          </w:p>
          <w:p w14:paraId="25DEA734">
            <w:pPr>
              <w:adjustRightInd w:val="0"/>
              <w:snapToGrid w:val="0"/>
              <w:spacing w:line="480" w:lineRule="exact"/>
              <w:ind w:firstLine="420" w:firstLineChars="200"/>
              <w:rPr>
                <w:bCs/>
                <w:color w:val="000000" w:themeColor="text1"/>
                <w:szCs w:val="21"/>
                <w14:textFill>
                  <w14:solidFill>
                    <w14:schemeClr w14:val="tx1"/>
                  </w14:solidFill>
                </w14:textFill>
              </w:rPr>
            </w:pPr>
          </w:p>
          <w:p w14:paraId="6EC2A396">
            <w:pPr>
              <w:adjustRightInd w:val="0"/>
              <w:snapToGrid w:val="0"/>
              <w:spacing w:line="480" w:lineRule="exact"/>
              <w:ind w:firstLine="420" w:firstLineChars="200"/>
              <w:rPr>
                <w:bCs/>
                <w:color w:val="000000" w:themeColor="text1"/>
                <w:szCs w:val="21"/>
                <w14:textFill>
                  <w14:solidFill>
                    <w14:schemeClr w14:val="tx1"/>
                  </w14:solidFill>
                </w14:textFill>
              </w:rPr>
            </w:pPr>
          </w:p>
        </w:tc>
      </w:tr>
    </w:tbl>
    <w:p w14:paraId="22610CD4">
      <w:pPr>
        <w:pStyle w:val="20"/>
        <w:numPr>
          <w:ilvl w:val="0"/>
          <w:numId w:val="3"/>
        </w:numPr>
        <w:jc w:val="center"/>
        <w:rPr>
          <w:rFonts w:ascii="Times New Roman" w:hAnsi="Times New Roman"/>
          <w:b/>
          <w:bCs/>
          <w:snapToGrid w:val="0"/>
          <w:color w:val="000000" w:themeColor="text1"/>
          <w:sz w:val="30"/>
          <w:szCs w:val="30"/>
          <w14:textFill>
            <w14:solidFill>
              <w14:schemeClr w14:val="tx1"/>
            </w14:solidFill>
          </w14:textFill>
        </w:rPr>
        <w:sectPr>
          <w:pgSz w:w="11906" w:h="16838"/>
          <w:pgMar w:top="1440" w:right="1800" w:bottom="1440" w:left="1800" w:header="851" w:footer="1077" w:gutter="0"/>
          <w:pgNumType w:fmt="decimal"/>
          <w:cols w:space="720" w:num="1"/>
          <w:docGrid w:linePitch="312" w:charSpace="0"/>
        </w:sectPr>
      </w:pPr>
    </w:p>
    <w:p w14:paraId="7FB5338F">
      <w:pPr>
        <w:pStyle w:val="20"/>
        <w:jc w:val="center"/>
        <w:outlineLvl w:val="0"/>
        <w:rPr>
          <w:rFonts w:ascii="黑体" w:hAnsi="黑体" w:eastAsia="黑体"/>
          <w:snapToGrid w:val="0"/>
          <w:color w:val="000000" w:themeColor="text1"/>
          <w:sz w:val="30"/>
          <w:szCs w:val="30"/>
          <w14:textFill>
            <w14:solidFill>
              <w14:schemeClr w14:val="tx1"/>
            </w14:solidFill>
          </w14:textFill>
        </w:rPr>
      </w:pPr>
      <w:bookmarkStart w:id="15" w:name="_Toc2575"/>
      <w:r>
        <w:rPr>
          <w:rFonts w:hint="eastAsia" w:ascii="黑体" w:hAnsi="黑体" w:eastAsia="黑体"/>
          <w:snapToGrid w:val="0"/>
          <w:color w:val="000000" w:themeColor="text1"/>
          <w:sz w:val="30"/>
          <w:szCs w:val="30"/>
          <w14:textFill>
            <w14:solidFill>
              <w14:schemeClr w14:val="tx1"/>
            </w14:solidFill>
          </w14:textFill>
        </w:rPr>
        <w:t>六、生态环境保护措施监督检查清单</w:t>
      </w:r>
      <w:bookmarkEnd w:id="15"/>
    </w:p>
    <w:tbl>
      <w:tblPr>
        <w:tblStyle w:val="2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8"/>
        <w:gridCol w:w="5290"/>
        <w:gridCol w:w="2705"/>
        <w:gridCol w:w="2032"/>
        <w:gridCol w:w="3296"/>
      </w:tblGrid>
      <w:tr w14:paraId="07145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99" w:type="pct"/>
            <w:vMerge w:val="restart"/>
            <w:tcBorders>
              <w:tl2br w:val="single" w:color="auto" w:sz="4" w:space="0"/>
            </w:tcBorders>
          </w:tcPr>
          <w:p w14:paraId="52638BDC">
            <w:pPr>
              <w:pStyle w:val="20"/>
              <w:wordWrap w:val="0"/>
              <w:adjustRightInd w:val="0"/>
              <w:snapToGrid w:val="0"/>
              <w:spacing w:before="93" w:beforeLines="30" w:beforeAutospacing="0" w:after="0" w:afterAutospacing="0"/>
              <w:jc w:val="right"/>
              <w:outlineLvl w:val="0"/>
              <w:rPr>
                <w:rFonts w:ascii="Times New Roman" w:hAnsi="Times New Roman"/>
                <w:b/>
                <w:bCs/>
                <w:color w:val="000000" w:themeColor="text1"/>
                <w:kern w:val="2"/>
                <w:sz w:val="21"/>
                <w:szCs w:val="21"/>
                <w14:textFill>
                  <w14:solidFill>
                    <w14:schemeClr w14:val="tx1"/>
                  </w14:solidFill>
                </w14:textFill>
              </w:rPr>
            </w:pPr>
            <w:bookmarkStart w:id="16" w:name="_Toc32633"/>
            <w:r>
              <w:rPr>
                <w:rFonts w:ascii="Times New Roman" w:hAnsi="Times New Roman"/>
                <w:b/>
                <w:bCs/>
                <w:color w:val="000000" w:themeColor="text1"/>
                <w:kern w:val="2"/>
                <w:sz w:val="21"/>
                <w:szCs w:val="21"/>
                <w14:textFill>
                  <w14:solidFill>
                    <w14:schemeClr w14:val="tx1"/>
                  </w14:solidFill>
                </w14:textFill>
              </w:rPr>
              <w:t>内容</w:t>
            </w:r>
            <w:bookmarkEnd w:id="16"/>
          </w:p>
          <w:p w14:paraId="64E6836B">
            <w:pPr>
              <w:pStyle w:val="20"/>
              <w:wordWrap w:val="0"/>
              <w:adjustRightInd w:val="0"/>
              <w:snapToGrid w:val="0"/>
              <w:spacing w:before="0" w:beforeAutospacing="0" w:after="0" w:afterAutospacing="0" w:line="14" w:lineRule="auto"/>
              <w:rPr>
                <w:rFonts w:ascii="Times New Roman" w:hAnsi="Times New Roman"/>
                <w:b/>
                <w:bCs/>
                <w:color w:val="000000" w:themeColor="text1"/>
                <w:kern w:val="2"/>
                <w:sz w:val="21"/>
                <w:szCs w:val="21"/>
                <w14:textFill>
                  <w14:solidFill>
                    <w14:schemeClr w14:val="tx1"/>
                  </w14:solidFill>
                </w14:textFill>
              </w:rPr>
            </w:pPr>
            <w:r>
              <w:rPr>
                <w:rFonts w:ascii="Times New Roman" w:hAnsi="Times New Roman"/>
                <w:b/>
                <w:bCs/>
                <w:color w:val="000000" w:themeColor="text1"/>
                <w:kern w:val="2"/>
                <w:sz w:val="21"/>
                <w:szCs w:val="21"/>
                <w14:textFill>
                  <w14:solidFill>
                    <w14:schemeClr w14:val="tx1"/>
                  </w14:solidFill>
                </w14:textFill>
              </w:rPr>
              <w:t xml:space="preserve">  </w:t>
            </w:r>
          </w:p>
          <w:p w14:paraId="27C02E2F">
            <w:pPr>
              <w:pStyle w:val="20"/>
              <w:wordWrap w:val="0"/>
              <w:adjustRightInd w:val="0"/>
              <w:snapToGrid w:val="0"/>
              <w:spacing w:before="0" w:beforeAutospacing="0" w:after="0" w:afterAutospacing="0"/>
              <w:jc w:val="both"/>
              <w:rPr>
                <w:rFonts w:ascii="Times New Roman" w:hAnsi="Times New Roman"/>
                <w:b/>
                <w:bCs/>
                <w:color w:val="000000" w:themeColor="text1"/>
                <w:kern w:val="2"/>
                <w:sz w:val="21"/>
                <w:szCs w:val="21"/>
                <w14:textFill>
                  <w14:solidFill>
                    <w14:schemeClr w14:val="tx1"/>
                  </w14:solidFill>
                </w14:textFill>
              </w:rPr>
            </w:pPr>
          </w:p>
          <w:p w14:paraId="242E19C3">
            <w:pPr>
              <w:pStyle w:val="20"/>
              <w:wordWrap w:val="0"/>
              <w:adjustRightInd w:val="0"/>
              <w:snapToGrid w:val="0"/>
              <w:spacing w:before="0" w:beforeAutospacing="0" w:after="0" w:afterAutospacing="0"/>
              <w:jc w:val="both"/>
              <w:outlineLvl w:val="0"/>
              <w:rPr>
                <w:rFonts w:ascii="Times New Roman" w:hAnsi="Times New Roman"/>
                <w:b/>
                <w:bCs/>
                <w:color w:val="000000" w:themeColor="text1"/>
                <w:kern w:val="2"/>
                <w:sz w:val="21"/>
                <w:szCs w:val="21"/>
                <w14:textFill>
                  <w14:solidFill>
                    <w14:schemeClr w14:val="tx1"/>
                  </w14:solidFill>
                </w14:textFill>
              </w:rPr>
            </w:pPr>
            <w:bookmarkStart w:id="17" w:name="_Toc14361"/>
            <w:r>
              <w:rPr>
                <w:rFonts w:ascii="Times New Roman" w:hAnsi="Times New Roman"/>
                <w:b/>
                <w:bCs/>
                <w:color w:val="000000" w:themeColor="text1"/>
                <w:kern w:val="2"/>
                <w:sz w:val="21"/>
                <w:szCs w:val="21"/>
                <w14:textFill>
                  <w14:solidFill>
                    <w14:schemeClr w14:val="tx1"/>
                  </w14:solidFill>
                </w14:textFill>
              </w:rPr>
              <w:t>要素</w:t>
            </w:r>
            <w:bookmarkEnd w:id="17"/>
          </w:p>
        </w:tc>
        <w:tc>
          <w:tcPr>
            <w:tcW w:w="2820" w:type="pct"/>
            <w:gridSpan w:val="2"/>
            <w:vAlign w:val="center"/>
          </w:tcPr>
          <w:p w14:paraId="4F63B484">
            <w:pPr>
              <w:pStyle w:val="20"/>
              <w:wordWrap w:val="0"/>
              <w:adjustRightInd w:val="0"/>
              <w:snapToGrid w:val="0"/>
              <w:spacing w:before="0" w:beforeAutospacing="0" w:after="0" w:afterAutospacing="0"/>
              <w:jc w:val="center"/>
              <w:outlineLvl w:val="0"/>
              <w:rPr>
                <w:rFonts w:ascii="Times New Roman" w:hAnsi="Times New Roman"/>
                <w:b/>
                <w:bCs/>
                <w:color w:val="000000" w:themeColor="text1"/>
                <w:kern w:val="2"/>
                <w:sz w:val="21"/>
                <w:szCs w:val="21"/>
                <w14:textFill>
                  <w14:solidFill>
                    <w14:schemeClr w14:val="tx1"/>
                  </w14:solidFill>
                </w14:textFill>
              </w:rPr>
            </w:pPr>
            <w:bookmarkStart w:id="18" w:name="_Toc11276"/>
            <w:r>
              <w:rPr>
                <w:rFonts w:ascii="Times New Roman" w:hAnsi="Times New Roman"/>
                <w:b/>
                <w:bCs/>
                <w:color w:val="000000" w:themeColor="text1"/>
                <w:kern w:val="2"/>
                <w:sz w:val="21"/>
                <w:szCs w:val="21"/>
                <w14:textFill>
                  <w14:solidFill>
                    <w14:schemeClr w14:val="tx1"/>
                  </w14:solidFill>
                </w14:textFill>
              </w:rPr>
              <w:t>施工期</w:t>
            </w:r>
            <w:bookmarkEnd w:id="18"/>
          </w:p>
        </w:tc>
        <w:tc>
          <w:tcPr>
            <w:tcW w:w="1880" w:type="pct"/>
            <w:gridSpan w:val="2"/>
            <w:vAlign w:val="center"/>
          </w:tcPr>
          <w:p w14:paraId="11498B08">
            <w:pPr>
              <w:pStyle w:val="20"/>
              <w:wordWrap w:val="0"/>
              <w:adjustRightInd w:val="0"/>
              <w:snapToGrid w:val="0"/>
              <w:spacing w:before="0" w:beforeAutospacing="0" w:after="0" w:afterAutospacing="0"/>
              <w:jc w:val="center"/>
              <w:outlineLvl w:val="0"/>
              <w:rPr>
                <w:rFonts w:ascii="Times New Roman" w:hAnsi="Times New Roman"/>
                <w:b/>
                <w:bCs/>
                <w:color w:val="000000" w:themeColor="text1"/>
                <w:kern w:val="2"/>
                <w:sz w:val="21"/>
                <w:szCs w:val="21"/>
                <w14:textFill>
                  <w14:solidFill>
                    <w14:schemeClr w14:val="tx1"/>
                  </w14:solidFill>
                </w14:textFill>
              </w:rPr>
            </w:pPr>
            <w:bookmarkStart w:id="19" w:name="_Toc32109"/>
            <w:r>
              <w:rPr>
                <w:rFonts w:ascii="Times New Roman" w:hAnsi="Times New Roman"/>
                <w:b/>
                <w:bCs/>
                <w:color w:val="000000" w:themeColor="text1"/>
                <w:kern w:val="2"/>
                <w:sz w:val="21"/>
                <w:szCs w:val="21"/>
                <w14:textFill>
                  <w14:solidFill>
                    <w14:schemeClr w14:val="tx1"/>
                  </w14:solidFill>
                </w14:textFill>
              </w:rPr>
              <w:t>运营期</w:t>
            </w:r>
            <w:bookmarkEnd w:id="19"/>
          </w:p>
        </w:tc>
      </w:tr>
      <w:tr w14:paraId="2DC31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99" w:type="pct"/>
            <w:vMerge w:val="continue"/>
          </w:tcPr>
          <w:p w14:paraId="41BCC70D">
            <w:pPr>
              <w:pStyle w:val="20"/>
              <w:wordWrap w:val="0"/>
              <w:adjustRightInd w:val="0"/>
              <w:snapToGrid w:val="0"/>
              <w:spacing w:before="0" w:beforeAutospacing="0" w:after="0" w:afterAutospacing="0"/>
              <w:ind w:firstLine="840"/>
              <w:jc w:val="center"/>
              <w:rPr>
                <w:rFonts w:ascii="Times New Roman" w:hAnsi="Times New Roman"/>
                <w:b/>
                <w:bCs/>
                <w:color w:val="000000" w:themeColor="text1"/>
                <w:kern w:val="2"/>
                <w:sz w:val="21"/>
                <w:szCs w:val="21"/>
                <w14:textFill>
                  <w14:solidFill>
                    <w14:schemeClr w14:val="tx1"/>
                  </w14:solidFill>
                </w14:textFill>
              </w:rPr>
            </w:pPr>
          </w:p>
        </w:tc>
        <w:tc>
          <w:tcPr>
            <w:tcW w:w="1866" w:type="pct"/>
            <w:vAlign w:val="center"/>
          </w:tcPr>
          <w:p w14:paraId="056B6D71">
            <w:pPr>
              <w:pStyle w:val="20"/>
              <w:wordWrap w:val="0"/>
              <w:adjustRightInd w:val="0"/>
              <w:snapToGrid w:val="0"/>
              <w:spacing w:before="0" w:beforeAutospacing="0" w:after="0" w:afterAutospacing="0"/>
              <w:jc w:val="center"/>
              <w:outlineLvl w:val="0"/>
              <w:rPr>
                <w:rFonts w:ascii="Times New Roman" w:hAnsi="Times New Roman"/>
                <w:b/>
                <w:bCs/>
                <w:color w:val="000000" w:themeColor="text1"/>
                <w:kern w:val="2"/>
                <w:sz w:val="21"/>
                <w:szCs w:val="21"/>
                <w14:textFill>
                  <w14:solidFill>
                    <w14:schemeClr w14:val="tx1"/>
                  </w14:solidFill>
                </w14:textFill>
              </w:rPr>
            </w:pPr>
            <w:bookmarkStart w:id="20" w:name="_Toc11660"/>
            <w:r>
              <w:rPr>
                <w:rFonts w:ascii="Times New Roman" w:hAnsi="Times New Roman"/>
                <w:b/>
                <w:bCs/>
                <w:color w:val="000000" w:themeColor="text1"/>
                <w:kern w:val="2"/>
                <w:sz w:val="21"/>
                <w:szCs w:val="21"/>
                <w14:textFill>
                  <w14:solidFill>
                    <w14:schemeClr w14:val="tx1"/>
                  </w14:solidFill>
                </w14:textFill>
              </w:rPr>
              <w:t>环境保护措施</w:t>
            </w:r>
            <w:bookmarkEnd w:id="20"/>
          </w:p>
        </w:tc>
        <w:tc>
          <w:tcPr>
            <w:tcW w:w="953" w:type="pct"/>
            <w:vAlign w:val="center"/>
          </w:tcPr>
          <w:p w14:paraId="3FAB7E4A">
            <w:pPr>
              <w:pStyle w:val="20"/>
              <w:wordWrap w:val="0"/>
              <w:adjustRightInd w:val="0"/>
              <w:snapToGrid w:val="0"/>
              <w:spacing w:before="0" w:beforeAutospacing="0" w:after="0" w:afterAutospacing="0"/>
              <w:jc w:val="center"/>
              <w:outlineLvl w:val="0"/>
              <w:rPr>
                <w:rFonts w:ascii="Times New Roman" w:hAnsi="Times New Roman"/>
                <w:b/>
                <w:bCs/>
                <w:color w:val="000000" w:themeColor="text1"/>
                <w:kern w:val="2"/>
                <w:sz w:val="21"/>
                <w:szCs w:val="21"/>
                <w14:textFill>
                  <w14:solidFill>
                    <w14:schemeClr w14:val="tx1"/>
                  </w14:solidFill>
                </w14:textFill>
              </w:rPr>
            </w:pPr>
            <w:bookmarkStart w:id="21" w:name="_Toc27802"/>
            <w:r>
              <w:rPr>
                <w:rFonts w:ascii="Times New Roman" w:hAnsi="Times New Roman"/>
                <w:b/>
                <w:bCs/>
                <w:color w:val="000000" w:themeColor="text1"/>
                <w:kern w:val="2"/>
                <w:sz w:val="21"/>
                <w:szCs w:val="21"/>
                <w14:textFill>
                  <w14:solidFill>
                    <w14:schemeClr w14:val="tx1"/>
                  </w14:solidFill>
                </w14:textFill>
              </w:rPr>
              <w:t>验收要求</w:t>
            </w:r>
            <w:bookmarkEnd w:id="21"/>
          </w:p>
        </w:tc>
        <w:tc>
          <w:tcPr>
            <w:tcW w:w="717" w:type="pct"/>
            <w:vAlign w:val="center"/>
          </w:tcPr>
          <w:p w14:paraId="597291BC">
            <w:pPr>
              <w:pStyle w:val="20"/>
              <w:wordWrap w:val="0"/>
              <w:adjustRightInd w:val="0"/>
              <w:snapToGrid w:val="0"/>
              <w:spacing w:before="0" w:beforeAutospacing="0" w:after="0" w:afterAutospacing="0"/>
              <w:jc w:val="center"/>
              <w:outlineLvl w:val="0"/>
              <w:rPr>
                <w:rFonts w:ascii="Times New Roman" w:hAnsi="Times New Roman"/>
                <w:b/>
                <w:bCs/>
                <w:color w:val="000000" w:themeColor="text1"/>
                <w:kern w:val="2"/>
                <w:sz w:val="21"/>
                <w:szCs w:val="21"/>
                <w14:textFill>
                  <w14:solidFill>
                    <w14:schemeClr w14:val="tx1"/>
                  </w14:solidFill>
                </w14:textFill>
              </w:rPr>
            </w:pPr>
            <w:bookmarkStart w:id="22" w:name="_Toc19612"/>
            <w:r>
              <w:rPr>
                <w:rFonts w:ascii="Times New Roman" w:hAnsi="Times New Roman"/>
                <w:b/>
                <w:bCs/>
                <w:color w:val="000000" w:themeColor="text1"/>
                <w:kern w:val="2"/>
                <w:sz w:val="21"/>
                <w:szCs w:val="21"/>
                <w14:textFill>
                  <w14:solidFill>
                    <w14:schemeClr w14:val="tx1"/>
                  </w14:solidFill>
                </w14:textFill>
              </w:rPr>
              <w:t>环境保护措施</w:t>
            </w:r>
            <w:bookmarkEnd w:id="22"/>
          </w:p>
        </w:tc>
        <w:tc>
          <w:tcPr>
            <w:tcW w:w="1162" w:type="pct"/>
            <w:vAlign w:val="center"/>
          </w:tcPr>
          <w:p w14:paraId="736ED62F">
            <w:pPr>
              <w:pStyle w:val="20"/>
              <w:wordWrap w:val="0"/>
              <w:adjustRightInd w:val="0"/>
              <w:snapToGrid w:val="0"/>
              <w:spacing w:before="0" w:beforeAutospacing="0" w:after="0" w:afterAutospacing="0"/>
              <w:jc w:val="center"/>
              <w:outlineLvl w:val="0"/>
              <w:rPr>
                <w:rFonts w:ascii="Times New Roman" w:hAnsi="Times New Roman"/>
                <w:b/>
                <w:bCs/>
                <w:color w:val="000000" w:themeColor="text1"/>
                <w:kern w:val="2"/>
                <w:sz w:val="21"/>
                <w:szCs w:val="21"/>
                <w14:textFill>
                  <w14:solidFill>
                    <w14:schemeClr w14:val="tx1"/>
                  </w14:solidFill>
                </w14:textFill>
              </w:rPr>
            </w:pPr>
            <w:bookmarkStart w:id="23" w:name="_Toc29381"/>
            <w:r>
              <w:rPr>
                <w:rFonts w:ascii="Times New Roman" w:hAnsi="Times New Roman"/>
                <w:b/>
                <w:bCs/>
                <w:color w:val="000000" w:themeColor="text1"/>
                <w:kern w:val="2"/>
                <w:sz w:val="21"/>
                <w:szCs w:val="21"/>
                <w14:textFill>
                  <w14:solidFill>
                    <w14:schemeClr w14:val="tx1"/>
                  </w14:solidFill>
                </w14:textFill>
              </w:rPr>
              <w:t>验收要求</w:t>
            </w:r>
            <w:bookmarkEnd w:id="23"/>
          </w:p>
        </w:tc>
      </w:tr>
      <w:tr w14:paraId="53AA4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14CA4866">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陆生生态</w:t>
            </w:r>
          </w:p>
        </w:tc>
        <w:tc>
          <w:tcPr>
            <w:tcW w:w="1866" w:type="pct"/>
            <w:vAlign w:val="center"/>
          </w:tcPr>
          <w:p w14:paraId="37AC5888">
            <w:pPr>
              <w:wordWrap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优化施工方案和布局，永久占地和临时占地避让生态保护红线；占地区表土剥离，单独存放。塔基开挖过程中，严格按设计的基础型式等要求开挖，尽量缩小施工作业范围，材料堆放要有序，注意保护周围的植被；尽量减小开挖范围，避免不必要的开挖和过多的原状土破坏。临时工程恢复植被，等面积生态补偿。</w:t>
            </w:r>
          </w:p>
        </w:tc>
        <w:tc>
          <w:tcPr>
            <w:tcW w:w="953" w:type="pct"/>
            <w:vAlign w:val="center"/>
          </w:tcPr>
          <w:p w14:paraId="09CDCFCA">
            <w:pPr>
              <w:wordWrap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临时工程（含物料堆存场、牵张场等）植被恢复。</w:t>
            </w:r>
          </w:p>
        </w:tc>
        <w:tc>
          <w:tcPr>
            <w:tcW w:w="717" w:type="pct"/>
            <w:vAlign w:val="center"/>
          </w:tcPr>
          <w:p w14:paraId="7D7999F5">
            <w:pPr>
              <w:wordWrap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对恢复植被进行维护，对生态保护设施进行检修维护。</w:t>
            </w:r>
          </w:p>
        </w:tc>
        <w:tc>
          <w:tcPr>
            <w:tcW w:w="1162" w:type="pct"/>
            <w:vAlign w:val="center"/>
          </w:tcPr>
          <w:p w14:paraId="4D868449">
            <w:pPr>
              <w:wordWrap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植被成活率、恢复措施效果、植被覆盖率、恢复面积、恢复植被种类。</w:t>
            </w:r>
          </w:p>
        </w:tc>
      </w:tr>
      <w:tr w14:paraId="1A5A3D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323332F9">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水生生态</w:t>
            </w:r>
          </w:p>
        </w:tc>
        <w:tc>
          <w:tcPr>
            <w:tcW w:w="1866" w:type="pct"/>
            <w:vAlign w:val="center"/>
          </w:tcPr>
          <w:p w14:paraId="3DC55F06">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953" w:type="pct"/>
            <w:vAlign w:val="center"/>
          </w:tcPr>
          <w:p w14:paraId="08FD9375">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717" w:type="pct"/>
            <w:vAlign w:val="center"/>
          </w:tcPr>
          <w:p w14:paraId="491EFF98">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1162" w:type="pct"/>
            <w:vAlign w:val="center"/>
          </w:tcPr>
          <w:p w14:paraId="3985D61B">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r>
      <w:tr w14:paraId="026F2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42284753">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866" w:type="pct"/>
            <w:vAlign w:val="center"/>
          </w:tcPr>
          <w:p w14:paraId="6BEB7B41">
            <w:pPr>
              <w:widowControl/>
              <w:wordWrap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做好施工场地周围的拦挡措施，避免雨季开挖作业，严禁施工废水随意排放。施工人员居住在施工点附近租住的民房内，不设施工营地，生活污水纳入当地居民生活污水处理系统。</w:t>
            </w:r>
          </w:p>
        </w:tc>
        <w:tc>
          <w:tcPr>
            <w:tcW w:w="953" w:type="pct"/>
            <w:vAlign w:val="center"/>
          </w:tcPr>
          <w:p w14:paraId="34C3C58C">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施工废水不外排</w:t>
            </w:r>
          </w:p>
        </w:tc>
        <w:tc>
          <w:tcPr>
            <w:tcW w:w="717" w:type="pct"/>
            <w:vAlign w:val="center"/>
          </w:tcPr>
          <w:p w14:paraId="2A411640">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1162" w:type="pct"/>
            <w:vAlign w:val="center"/>
          </w:tcPr>
          <w:p w14:paraId="24FA6841">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r>
      <w:tr w14:paraId="58BEF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1AB5B047">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地下水及土壤环境</w:t>
            </w:r>
          </w:p>
        </w:tc>
        <w:tc>
          <w:tcPr>
            <w:tcW w:w="1866" w:type="pct"/>
            <w:vAlign w:val="center"/>
          </w:tcPr>
          <w:p w14:paraId="2B379B03">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953" w:type="pct"/>
            <w:vAlign w:val="center"/>
          </w:tcPr>
          <w:p w14:paraId="49BC2C18">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717" w:type="pct"/>
            <w:vAlign w:val="center"/>
          </w:tcPr>
          <w:p w14:paraId="16311B7A">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1162" w:type="pct"/>
            <w:vAlign w:val="center"/>
          </w:tcPr>
          <w:p w14:paraId="2179618E">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r>
      <w:tr w14:paraId="49A25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3CAC82F9">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866" w:type="pct"/>
            <w:vAlign w:val="center"/>
          </w:tcPr>
          <w:p w14:paraId="3AC5617E">
            <w:pPr>
              <w:wordWrap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选用低噪声设备，加强设备维护保养。</w:t>
            </w:r>
          </w:p>
        </w:tc>
        <w:tc>
          <w:tcPr>
            <w:tcW w:w="953" w:type="pct"/>
            <w:vAlign w:val="center"/>
          </w:tcPr>
          <w:p w14:paraId="3AB966C3">
            <w:pPr>
              <w:widowControl/>
              <w:wordWrap w:val="0"/>
              <w:jc w:val="lef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施工噪声满足《建筑施工场界环境噪声排放标准》（GB12523-2011）</w:t>
            </w:r>
          </w:p>
        </w:tc>
        <w:tc>
          <w:tcPr>
            <w:tcW w:w="717" w:type="pct"/>
            <w:vAlign w:val="center"/>
          </w:tcPr>
          <w:p w14:paraId="48C2FD3E">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1162" w:type="pct"/>
            <w:vAlign w:val="center"/>
          </w:tcPr>
          <w:p w14:paraId="2D1CF4B6">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r>
      <w:tr w14:paraId="74F20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0A7C2CBD">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振动</w:t>
            </w:r>
          </w:p>
        </w:tc>
        <w:tc>
          <w:tcPr>
            <w:tcW w:w="1866" w:type="pct"/>
            <w:vAlign w:val="center"/>
          </w:tcPr>
          <w:p w14:paraId="08745F77">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953" w:type="pct"/>
            <w:vAlign w:val="center"/>
          </w:tcPr>
          <w:p w14:paraId="784F442E">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717" w:type="pct"/>
            <w:vAlign w:val="center"/>
          </w:tcPr>
          <w:p w14:paraId="5A531627">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1162" w:type="pct"/>
            <w:vAlign w:val="center"/>
          </w:tcPr>
          <w:p w14:paraId="64AC157B">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r>
      <w:tr w14:paraId="38EF3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323C7BF4">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866" w:type="pct"/>
            <w:vAlign w:val="center"/>
          </w:tcPr>
          <w:p w14:paraId="57EE6C76">
            <w:pPr>
              <w:widowControl/>
              <w:wordWrap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施工现场必须建立现场保洁制度，及时洒水清扫；裸露土地和覆土材料百分之百覆盖，应当采取密闭或者遮盖等防尘措施，装卸、搬运时应当采取防尘措施；涉及开挖过程中四周采取洒水、喷雾等降尘措施。</w:t>
            </w:r>
          </w:p>
        </w:tc>
        <w:tc>
          <w:tcPr>
            <w:tcW w:w="953" w:type="pct"/>
            <w:vAlign w:val="center"/>
          </w:tcPr>
          <w:p w14:paraId="7C0F51CF">
            <w:pPr>
              <w:wordWrap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r>
              <w:rPr>
                <w:color w:val="000000" w:themeColor="text1"/>
                <w:szCs w:val="21"/>
                <w14:textFill>
                  <w14:solidFill>
                    <w14:schemeClr w14:val="tx1"/>
                  </w14:solidFill>
                </w14:textFill>
              </w:rPr>
              <w:t>符合《施工场地扬尘排放标准》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DB 13/2934-2019） 表1扬尘排放浓度限值</w:t>
            </w:r>
          </w:p>
        </w:tc>
        <w:tc>
          <w:tcPr>
            <w:tcW w:w="717" w:type="pct"/>
            <w:vAlign w:val="center"/>
          </w:tcPr>
          <w:p w14:paraId="26BE55C1">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1162" w:type="pct"/>
            <w:vAlign w:val="center"/>
          </w:tcPr>
          <w:p w14:paraId="0707D16B">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r>
      <w:tr w14:paraId="74FC4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540770BF">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1866" w:type="pct"/>
            <w:vAlign w:val="center"/>
          </w:tcPr>
          <w:p w14:paraId="7FF602A0">
            <w:pPr>
              <w:wordWrap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施工中产生的建筑垃圾运至指定场所处置，并采取挡护、排水等措施进行防护；施工人员生活垃圾集中堆放，委托当地环卫部门清运。</w:t>
            </w:r>
          </w:p>
        </w:tc>
        <w:tc>
          <w:tcPr>
            <w:tcW w:w="953" w:type="pct"/>
            <w:vAlign w:val="center"/>
          </w:tcPr>
          <w:p w14:paraId="7111E7F2">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施工场地无固体废物堆存</w:t>
            </w:r>
          </w:p>
        </w:tc>
        <w:tc>
          <w:tcPr>
            <w:tcW w:w="717" w:type="pct"/>
            <w:vAlign w:val="center"/>
          </w:tcPr>
          <w:p w14:paraId="2A75446A">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1162" w:type="pct"/>
            <w:vAlign w:val="center"/>
          </w:tcPr>
          <w:p w14:paraId="4D91DCE8">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r>
      <w:tr w14:paraId="2D01F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0A63F859">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电磁环境</w:t>
            </w:r>
          </w:p>
        </w:tc>
        <w:tc>
          <w:tcPr>
            <w:tcW w:w="1866" w:type="pct"/>
            <w:vAlign w:val="center"/>
          </w:tcPr>
          <w:p w14:paraId="0BC61028">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953" w:type="pct"/>
            <w:vAlign w:val="center"/>
          </w:tcPr>
          <w:p w14:paraId="2B961A20">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717" w:type="pct"/>
            <w:vAlign w:val="center"/>
          </w:tcPr>
          <w:p w14:paraId="4A086144">
            <w:pPr>
              <w:widowControl/>
              <w:wordWrap w:val="0"/>
              <w:jc w:val="lef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输电线路按规范确保导线对地高度；合理选择导线类型。</w:t>
            </w:r>
          </w:p>
        </w:tc>
        <w:tc>
          <w:tcPr>
            <w:tcW w:w="1162" w:type="pct"/>
            <w:vAlign w:val="center"/>
          </w:tcPr>
          <w:p w14:paraId="0229DCE8">
            <w:pPr>
              <w:wordWrap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工频电场、工频磁感应强度满足《电磁环境控制限值》（GB 8702-2014）公众曝露控制限值要求；架空输电线路线下的耕地、园地、牧草地、畜禽饲养地、养殖水面、道路等场所，满足电场强度控制限值10kV/m，且给出警示和防护指示标志。</w:t>
            </w:r>
          </w:p>
        </w:tc>
      </w:tr>
      <w:tr w14:paraId="72B0A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22D64776">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w:t>
            </w:r>
          </w:p>
        </w:tc>
        <w:tc>
          <w:tcPr>
            <w:tcW w:w="1866" w:type="pct"/>
            <w:vAlign w:val="center"/>
          </w:tcPr>
          <w:p w14:paraId="4F850B11">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953" w:type="pct"/>
            <w:vAlign w:val="center"/>
          </w:tcPr>
          <w:p w14:paraId="6FDD2685">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717" w:type="pct"/>
            <w:vAlign w:val="center"/>
          </w:tcPr>
          <w:p w14:paraId="4C304D15">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1162" w:type="pct"/>
            <w:vAlign w:val="center"/>
          </w:tcPr>
          <w:p w14:paraId="7CE4B868">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r>
      <w:tr w14:paraId="4990E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2890F3F5">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环境监测</w:t>
            </w:r>
          </w:p>
        </w:tc>
        <w:tc>
          <w:tcPr>
            <w:tcW w:w="1866" w:type="pct"/>
            <w:vAlign w:val="center"/>
          </w:tcPr>
          <w:p w14:paraId="52E4CC91">
            <w:pPr>
              <w:widowControl/>
              <w:wordWrap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环境空气、施工噪声监测</w:t>
            </w:r>
          </w:p>
        </w:tc>
        <w:tc>
          <w:tcPr>
            <w:tcW w:w="953" w:type="pct"/>
            <w:vAlign w:val="center"/>
          </w:tcPr>
          <w:p w14:paraId="2EA9E237">
            <w:pPr>
              <w:wordWrap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r>
              <w:rPr>
                <w:color w:val="000000" w:themeColor="text1"/>
                <w:szCs w:val="21"/>
                <w14:textFill>
                  <w14:solidFill>
                    <w14:schemeClr w14:val="tx1"/>
                  </w14:solidFill>
                </w14:textFill>
              </w:rPr>
              <w:t>符合《施工场地扬尘排放标准》（DB 13/2934-2019） 表1扬尘排放浓度限值；施工噪声满足《建筑施工场界环境噪声排放标准》（GB12523-2011）</w:t>
            </w:r>
          </w:p>
        </w:tc>
        <w:tc>
          <w:tcPr>
            <w:tcW w:w="717" w:type="pct"/>
            <w:vAlign w:val="center"/>
          </w:tcPr>
          <w:p w14:paraId="068ADA46">
            <w:pPr>
              <w:widowControl/>
              <w:wordWrap w:val="0"/>
              <w:jc w:val="lef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电磁环境、声环境</w:t>
            </w:r>
          </w:p>
        </w:tc>
        <w:tc>
          <w:tcPr>
            <w:tcW w:w="1162" w:type="pct"/>
            <w:vAlign w:val="center"/>
          </w:tcPr>
          <w:p w14:paraId="55FC8D71">
            <w:pPr>
              <w:wordWrap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电磁环境满足《电磁环境控制限值》（GB8702-2014）相应标准限值要求；</w:t>
            </w:r>
          </w:p>
          <w:p w14:paraId="19982418">
            <w:pPr>
              <w:wordWrap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噪声满足《声环境质量标准》（GB3096－2008）1类标准要求</w:t>
            </w:r>
          </w:p>
        </w:tc>
      </w:tr>
      <w:tr w14:paraId="7A42F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 w:type="pct"/>
            <w:vAlign w:val="center"/>
          </w:tcPr>
          <w:p w14:paraId="742E5DA8">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w:t>
            </w:r>
          </w:p>
        </w:tc>
        <w:tc>
          <w:tcPr>
            <w:tcW w:w="1866" w:type="pct"/>
            <w:vAlign w:val="center"/>
          </w:tcPr>
          <w:p w14:paraId="1126EE70">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3" w:type="pct"/>
            <w:vAlign w:val="center"/>
          </w:tcPr>
          <w:p w14:paraId="7E1E325C">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17" w:type="pct"/>
            <w:vAlign w:val="center"/>
          </w:tcPr>
          <w:p w14:paraId="20F99C6B">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62" w:type="pct"/>
            <w:vAlign w:val="center"/>
          </w:tcPr>
          <w:p w14:paraId="60FB572B">
            <w:pPr>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5315A9C5">
      <w:pPr>
        <w:pStyle w:val="20"/>
        <w:spacing w:before="249" w:beforeLines="80" w:beforeAutospacing="0"/>
        <w:jc w:val="center"/>
        <w:rPr>
          <w:rFonts w:ascii="黑体" w:hAnsi="黑体" w:eastAsia="黑体"/>
          <w:snapToGrid w:val="0"/>
          <w:color w:val="000000" w:themeColor="text1"/>
          <w:sz w:val="30"/>
          <w:szCs w:val="30"/>
          <w14:textFill>
            <w14:solidFill>
              <w14:schemeClr w14:val="tx1"/>
            </w14:solidFill>
          </w14:textFill>
        </w:rPr>
        <w:sectPr>
          <w:pgSz w:w="16838" w:h="11906" w:orient="landscape"/>
          <w:pgMar w:top="1800" w:right="1440" w:bottom="1800" w:left="1440" w:header="851" w:footer="992" w:gutter="0"/>
          <w:pgNumType w:fmt="decimal"/>
          <w:cols w:space="720" w:num="1"/>
          <w:docGrid w:type="lines" w:linePitch="312" w:charSpace="0"/>
        </w:sectPr>
      </w:pPr>
    </w:p>
    <w:p w14:paraId="3E0EDBD5">
      <w:pPr>
        <w:pStyle w:val="20"/>
        <w:spacing w:before="249" w:beforeLines="80" w:beforeAutospacing="0"/>
        <w:jc w:val="center"/>
        <w:outlineLvl w:val="0"/>
        <w:rPr>
          <w:rFonts w:ascii="黑体" w:hAnsi="黑体" w:eastAsia="黑体"/>
          <w:snapToGrid w:val="0"/>
          <w:color w:val="000000" w:themeColor="text1"/>
          <w:sz w:val="30"/>
          <w:szCs w:val="30"/>
          <w14:textFill>
            <w14:solidFill>
              <w14:schemeClr w14:val="tx1"/>
            </w14:solidFill>
          </w14:textFill>
        </w:rPr>
      </w:pPr>
      <w:bookmarkStart w:id="24" w:name="_Toc5299"/>
      <w:r>
        <w:rPr>
          <w:rFonts w:hint="eastAsia" w:ascii="黑体" w:hAnsi="黑体" w:eastAsia="黑体"/>
          <w:snapToGrid w:val="0"/>
          <w:color w:val="000000" w:themeColor="text1"/>
          <w:sz w:val="30"/>
          <w:szCs w:val="30"/>
          <w14:textFill>
            <w14:solidFill>
              <w14:schemeClr w14:val="tx1"/>
            </w14:solidFill>
          </w14:textFill>
        </w:rPr>
        <w:t>七、结论</w:t>
      </w:r>
      <w:bookmarkEnd w:id="24"/>
    </w:p>
    <w:tbl>
      <w:tblPr>
        <w:tblStyle w:val="23"/>
        <w:tblW w:w="88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14:paraId="52D56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61" w:hRule="atLeast"/>
          <w:jc w:val="center"/>
        </w:trPr>
        <w:tc>
          <w:tcPr>
            <w:tcW w:w="8820" w:type="dxa"/>
            <w:vAlign w:val="center"/>
          </w:tcPr>
          <w:p w14:paraId="1AA45187">
            <w:pPr>
              <w:snapToGrid w:val="0"/>
              <w:spacing w:before="156" w:beforeLines="50" w:line="360" w:lineRule="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本项目对环境的影响及建设的可行性结论：</w:t>
            </w:r>
          </w:p>
          <w:p w14:paraId="3724E9F4">
            <w:pPr>
              <w:snapToGrid w:val="0"/>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项目符合国家和地方有关环境保护法律法规、标准、政策、规范要求，</w:t>
            </w:r>
            <w:r>
              <w:rPr>
                <w:rFonts w:hint="eastAsia" w:ascii="宋体" w:hAnsi="宋体" w:cs="宋体"/>
                <w:color w:val="000000" w:themeColor="text1"/>
                <w:sz w:val="21"/>
                <w:szCs w:val="21"/>
                <w14:textFill>
                  <w14:solidFill>
                    <w14:schemeClr w14:val="tx1"/>
                  </w14:solidFill>
                </w14:textFill>
              </w:rPr>
              <w:t>符合“三线一单”控制要求，符合国家及地方相关的产业政策要求。项目</w:t>
            </w:r>
            <w:r>
              <w:rPr>
                <w:rFonts w:hint="eastAsia"/>
                <w:color w:val="000000" w:themeColor="text1"/>
                <w:sz w:val="21"/>
                <w:szCs w:val="21"/>
                <w14:textFill>
                  <w14:solidFill>
                    <w14:schemeClr w14:val="tx1"/>
                  </w14:solidFill>
                </w14:textFill>
              </w:rPr>
              <w:t>施工期采取了有效的污染防治措施，对周围环境影响较小，在认真落实各项环保措施的条件下</w:t>
            </w:r>
            <w:r>
              <w:rPr>
                <w:color w:val="000000" w:themeColor="text1"/>
                <w:sz w:val="21"/>
                <w:szCs w:val="21"/>
                <w14:textFill>
                  <w14:solidFill>
                    <w14:schemeClr w14:val="tx1"/>
                  </w14:solidFill>
                </w14:textFill>
              </w:rPr>
              <w:t>，从环境保护的角度分析，项目具有环境可行性。</w:t>
            </w:r>
          </w:p>
          <w:p w14:paraId="5DEF0EA6">
            <w:pPr>
              <w:adjustRightInd w:val="0"/>
              <w:snapToGrid w:val="0"/>
              <w:ind w:firstLine="315"/>
              <w:rPr>
                <w:rFonts w:ascii="宋体" w:hAnsi="宋体" w:cs="宋体"/>
                <w:color w:val="000000" w:themeColor="text1"/>
                <w:szCs w:val="21"/>
                <w14:textFill>
                  <w14:solidFill>
                    <w14:schemeClr w14:val="tx1"/>
                  </w14:solidFill>
                </w14:textFill>
              </w:rPr>
            </w:pPr>
          </w:p>
          <w:p w14:paraId="5515BD64">
            <w:pPr>
              <w:adjustRightInd w:val="0"/>
              <w:snapToGrid w:val="0"/>
              <w:ind w:firstLine="315"/>
              <w:rPr>
                <w:rFonts w:ascii="宋体" w:hAnsi="宋体" w:cs="宋体"/>
                <w:color w:val="000000" w:themeColor="text1"/>
                <w:szCs w:val="21"/>
                <w14:textFill>
                  <w14:solidFill>
                    <w14:schemeClr w14:val="tx1"/>
                  </w14:solidFill>
                </w14:textFill>
              </w:rPr>
            </w:pPr>
          </w:p>
          <w:p w14:paraId="43BF4940">
            <w:pPr>
              <w:adjustRightInd w:val="0"/>
              <w:snapToGrid w:val="0"/>
              <w:ind w:firstLine="315"/>
              <w:rPr>
                <w:rFonts w:ascii="宋体" w:hAnsi="宋体" w:cs="宋体"/>
                <w:color w:val="000000" w:themeColor="text1"/>
                <w:szCs w:val="21"/>
                <w14:textFill>
                  <w14:solidFill>
                    <w14:schemeClr w14:val="tx1"/>
                  </w14:solidFill>
                </w14:textFill>
              </w:rPr>
            </w:pPr>
          </w:p>
          <w:p w14:paraId="4AD63B3E">
            <w:pPr>
              <w:adjustRightInd w:val="0"/>
              <w:snapToGrid w:val="0"/>
              <w:ind w:firstLine="315"/>
              <w:rPr>
                <w:rFonts w:ascii="宋体" w:hAnsi="宋体" w:cs="宋体"/>
                <w:color w:val="000000" w:themeColor="text1"/>
                <w:szCs w:val="21"/>
                <w14:textFill>
                  <w14:solidFill>
                    <w14:schemeClr w14:val="tx1"/>
                  </w14:solidFill>
                </w14:textFill>
              </w:rPr>
            </w:pPr>
          </w:p>
          <w:p w14:paraId="3E3415C4">
            <w:pPr>
              <w:adjustRightInd w:val="0"/>
              <w:snapToGrid w:val="0"/>
              <w:ind w:firstLine="315"/>
              <w:rPr>
                <w:rFonts w:ascii="宋体" w:hAnsi="宋体" w:cs="宋体"/>
                <w:color w:val="000000" w:themeColor="text1"/>
                <w:szCs w:val="21"/>
                <w14:textFill>
                  <w14:solidFill>
                    <w14:schemeClr w14:val="tx1"/>
                  </w14:solidFill>
                </w14:textFill>
              </w:rPr>
            </w:pPr>
          </w:p>
          <w:p w14:paraId="46D8BE93">
            <w:pPr>
              <w:adjustRightInd w:val="0"/>
              <w:snapToGrid w:val="0"/>
              <w:ind w:firstLine="315"/>
              <w:rPr>
                <w:rFonts w:ascii="宋体" w:hAnsi="宋体" w:cs="宋体"/>
                <w:color w:val="000000" w:themeColor="text1"/>
                <w:szCs w:val="21"/>
                <w14:textFill>
                  <w14:solidFill>
                    <w14:schemeClr w14:val="tx1"/>
                  </w14:solidFill>
                </w14:textFill>
              </w:rPr>
            </w:pPr>
          </w:p>
          <w:p w14:paraId="0A4647E2">
            <w:pPr>
              <w:adjustRightInd w:val="0"/>
              <w:snapToGrid w:val="0"/>
              <w:ind w:firstLine="315"/>
              <w:rPr>
                <w:rFonts w:ascii="宋体" w:hAnsi="宋体" w:cs="宋体"/>
                <w:color w:val="000000" w:themeColor="text1"/>
                <w:szCs w:val="21"/>
                <w14:textFill>
                  <w14:solidFill>
                    <w14:schemeClr w14:val="tx1"/>
                  </w14:solidFill>
                </w14:textFill>
              </w:rPr>
            </w:pPr>
          </w:p>
          <w:p w14:paraId="2B3AE2A0">
            <w:pPr>
              <w:adjustRightInd w:val="0"/>
              <w:snapToGrid w:val="0"/>
              <w:ind w:firstLine="315"/>
              <w:rPr>
                <w:rFonts w:ascii="宋体" w:hAnsi="宋体" w:cs="宋体"/>
                <w:color w:val="000000" w:themeColor="text1"/>
                <w:szCs w:val="21"/>
                <w14:textFill>
                  <w14:solidFill>
                    <w14:schemeClr w14:val="tx1"/>
                  </w14:solidFill>
                </w14:textFill>
              </w:rPr>
            </w:pPr>
          </w:p>
          <w:p w14:paraId="7EE0E8C2">
            <w:pPr>
              <w:adjustRightInd w:val="0"/>
              <w:snapToGrid w:val="0"/>
              <w:ind w:firstLine="315"/>
              <w:rPr>
                <w:rFonts w:ascii="宋体" w:hAnsi="宋体" w:cs="宋体"/>
                <w:color w:val="000000" w:themeColor="text1"/>
                <w:szCs w:val="21"/>
                <w14:textFill>
                  <w14:solidFill>
                    <w14:schemeClr w14:val="tx1"/>
                  </w14:solidFill>
                </w14:textFill>
              </w:rPr>
            </w:pPr>
          </w:p>
          <w:p w14:paraId="3B9E26F7">
            <w:pPr>
              <w:adjustRightInd w:val="0"/>
              <w:snapToGrid w:val="0"/>
              <w:ind w:firstLine="315"/>
              <w:rPr>
                <w:rFonts w:ascii="宋体" w:hAnsi="宋体" w:cs="宋体"/>
                <w:color w:val="000000" w:themeColor="text1"/>
                <w:szCs w:val="21"/>
                <w14:textFill>
                  <w14:solidFill>
                    <w14:schemeClr w14:val="tx1"/>
                  </w14:solidFill>
                </w14:textFill>
              </w:rPr>
            </w:pPr>
          </w:p>
          <w:p w14:paraId="02C492D0">
            <w:pPr>
              <w:adjustRightInd w:val="0"/>
              <w:snapToGrid w:val="0"/>
              <w:ind w:firstLine="315"/>
              <w:rPr>
                <w:rFonts w:ascii="宋体" w:hAnsi="宋体" w:cs="宋体"/>
                <w:color w:val="000000" w:themeColor="text1"/>
                <w:szCs w:val="21"/>
                <w14:textFill>
                  <w14:solidFill>
                    <w14:schemeClr w14:val="tx1"/>
                  </w14:solidFill>
                </w14:textFill>
              </w:rPr>
            </w:pPr>
          </w:p>
          <w:p w14:paraId="11B1C8CD">
            <w:pPr>
              <w:adjustRightInd w:val="0"/>
              <w:snapToGrid w:val="0"/>
              <w:ind w:firstLine="315"/>
              <w:rPr>
                <w:rFonts w:ascii="宋体" w:hAnsi="宋体" w:cs="宋体"/>
                <w:color w:val="000000" w:themeColor="text1"/>
                <w:szCs w:val="21"/>
                <w14:textFill>
                  <w14:solidFill>
                    <w14:schemeClr w14:val="tx1"/>
                  </w14:solidFill>
                </w14:textFill>
              </w:rPr>
            </w:pPr>
          </w:p>
          <w:p w14:paraId="3EEE732D">
            <w:pPr>
              <w:adjustRightInd w:val="0"/>
              <w:snapToGrid w:val="0"/>
              <w:ind w:firstLine="315"/>
              <w:rPr>
                <w:rFonts w:ascii="宋体" w:hAnsi="宋体" w:cs="宋体"/>
                <w:color w:val="000000" w:themeColor="text1"/>
                <w:szCs w:val="21"/>
                <w14:textFill>
                  <w14:solidFill>
                    <w14:schemeClr w14:val="tx1"/>
                  </w14:solidFill>
                </w14:textFill>
              </w:rPr>
            </w:pPr>
          </w:p>
          <w:p w14:paraId="14D9A8F8">
            <w:pPr>
              <w:adjustRightInd w:val="0"/>
              <w:snapToGrid w:val="0"/>
              <w:ind w:firstLine="315"/>
              <w:rPr>
                <w:rFonts w:ascii="宋体" w:hAnsi="宋体" w:cs="宋体"/>
                <w:color w:val="000000" w:themeColor="text1"/>
                <w:szCs w:val="21"/>
                <w14:textFill>
                  <w14:solidFill>
                    <w14:schemeClr w14:val="tx1"/>
                  </w14:solidFill>
                </w14:textFill>
              </w:rPr>
            </w:pPr>
          </w:p>
          <w:p w14:paraId="12E191C8">
            <w:pPr>
              <w:adjustRightInd w:val="0"/>
              <w:snapToGrid w:val="0"/>
              <w:ind w:firstLine="315"/>
              <w:rPr>
                <w:rFonts w:ascii="宋体" w:hAnsi="宋体" w:cs="宋体"/>
                <w:color w:val="000000" w:themeColor="text1"/>
                <w:szCs w:val="21"/>
                <w14:textFill>
                  <w14:solidFill>
                    <w14:schemeClr w14:val="tx1"/>
                  </w14:solidFill>
                </w14:textFill>
              </w:rPr>
            </w:pPr>
          </w:p>
          <w:p w14:paraId="46E5F3E8">
            <w:pPr>
              <w:adjustRightInd w:val="0"/>
              <w:snapToGrid w:val="0"/>
              <w:ind w:firstLine="315"/>
              <w:rPr>
                <w:rFonts w:ascii="宋体" w:hAnsi="宋体" w:cs="宋体"/>
                <w:color w:val="000000" w:themeColor="text1"/>
                <w:szCs w:val="21"/>
                <w14:textFill>
                  <w14:solidFill>
                    <w14:schemeClr w14:val="tx1"/>
                  </w14:solidFill>
                </w14:textFill>
              </w:rPr>
            </w:pPr>
          </w:p>
          <w:p w14:paraId="017AB9E7">
            <w:pPr>
              <w:adjustRightInd w:val="0"/>
              <w:snapToGrid w:val="0"/>
              <w:ind w:firstLine="315"/>
              <w:rPr>
                <w:rFonts w:ascii="宋体" w:hAnsi="宋体" w:cs="宋体"/>
                <w:color w:val="000000" w:themeColor="text1"/>
                <w:szCs w:val="21"/>
                <w14:textFill>
                  <w14:solidFill>
                    <w14:schemeClr w14:val="tx1"/>
                  </w14:solidFill>
                </w14:textFill>
              </w:rPr>
            </w:pPr>
          </w:p>
          <w:p w14:paraId="400EFD6D">
            <w:pPr>
              <w:adjustRightInd w:val="0"/>
              <w:snapToGrid w:val="0"/>
              <w:ind w:firstLine="315"/>
              <w:rPr>
                <w:rFonts w:ascii="宋体" w:hAnsi="宋体" w:cs="宋体"/>
                <w:color w:val="000000" w:themeColor="text1"/>
                <w:szCs w:val="21"/>
                <w14:textFill>
                  <w14:solidFill>
                    <w14:schemeClr w14:val="tx1"/>
                  </w14:solidFill>
                </w14:textFill>
              </w:rPr>
            </w:pPr>
          </w:p>
          <w:p w14:paraId="252DAE13">
            <w:pPr>
              <w:adjustRightInd w:val="0"/>
              <w:snapToGrid w:val="0"/>
              <w:ind w:firstLine="315"/>
              <w:rPr>
                <w:rFonts w:ascii="宋体" w:hAnsi="宋体" w:cs="宋体"/>
                <w:color w:val="000000" w:themeColor="text1"/>
                <w:szCs w:val="21"/>
                <w14:textFill>
                  <w14:solidFill>
                    <w14:schemeClr w14:val="tx1"/>
                  </w14:solidFill>
                </w14:textFill>
              </w:rPr>
            </w:pPr>
          </w:p>
          <w:p w14:paraId="358687B7">
            <w:pPr>
              <w:adjustRightInd w:val="0"/>
              <w:snapToGrid w:val="0"/>
              <w:ind w:firstLine="315"/>
              <w:rPr>
                <w:rFonts w:ascii="宋体" w:hAnsi="宋体" w:cs="宋体"/>
                <w:color w:val="000000" w:themeColor="text1"/>
                <w:szCs w:val="21"/>
                <w14:textFill>
                  <w14:solidFill>
                    <w14:schemeClr w14:val="tx1"/>
                  </w14:solidFill>
                </w14:textFill>
              </w:rPr>
            </w:pPr>
          </w:p>
          <w:p w14:paraId="5E781A3D">
            <w:pPr>
              <w:adjustRightInd w:val="0"/>
              <w:snapToGrid w:val="0"/>
              <w:ind w:firstLine="315"/>
              <w:rPr>
                <w:rFonts w:ascii="宋体" w:hAnsi="宋体" w:cs="宋体"/>
                <w:color w:val="000000" w:themeColor="text1"/>
                <w:szCs w:val="21"/>
                <w14:textFill>
                  <w14:solidFill>
                    <w14:schemeClr w14:val="tx1"/>
                  </w14:solidFill>
                </w14:textFill>
              </w:rPr>
            </w:pPr>
          </w:p>
          <w:p w14:paraId="44286AAD">
            <w:pPr>
              <w:adjustRightInd w:val="0"/>
              <w:snapToGrid w:val="0"/>
              <w:ind w:firstLine="315"/>
              <w:rPr>
                <w:rFonts w:ascii="宋体" w:hAnsi="宋体" w:cs="宋体"/>
                <w:color w:val="000000" w:themeColor="text1"/>
                <w:szCs w:val="21"/>
                <w14:textFill>
                  <w14:solidFill>
                    <w14:schemeClr w14:val="tx1"/>
                  </w14:solidFill>
                </w14:textFill>
              </w:rPr>
            </w:pPr>
          </w:p>
          <w:p w14:paraId="212B53C5">
            <w:pPr>
              <w:adjustRightInd w:val="0"/>
              <w:snapToGrid w:val="0"/>
              <w:ind w:firstLine="315"/>
              <w:rPr>
                <w:rFonts w:ascii="宋体" w:hAnsi="宋体" w:cs="宋体"/>
                <w:color w:val="000000" w:themeColor="text1"/>
                <w:szCs w:val="21"/>
                <w14:textFill>
                  <w14:solidFill>
                    <w14:schemeClr w14:val="tx1"/>
                  </w14:solidFill>
                </w14:textFill>
              </w:rPr>
            </w:pPr>
          </w:p>
          <w:p w14:paraId="5C6EC8ED">
            <w:pPr>
              <w:adjustRightInd w:val="0"/>
              <w:snapToGrid w:val="0"/>
              <w:ind w:firstLine="315"/>
              <w:rPr>
                <w:rFonts w:ascii="宋体" w:hAnsi="宋体" w:cs="宋体"/>
                <w:color w:val="000000" w:themeColor="text1"/>
                <w:szCs w:val="21"/>
                <w14:textFill>
                  <w14:solidFill>
                    <w14:schemeClr w14:val="tx1"/>
                  </w14:solidFill>
                </w14:textFill>
              </w:rPr>
            </w:pPr>
          </w:p>
          <w:p w14:paraId="7B500EDC">
            <w:pPr>
              <w:adjustRightInd w:val="0"/>
              <w:snapToGrid w:val="0"/>
              <w:ind w:firstLine="315"/>
              <w:rPr>
                <w:rFonts w:ascii="宋体" w:hAnsi="宋体" w:cs="宋体"/>
                <w:color w:val="000000" w:themeColor="text1"/>
                <w:szCs w:val="21"/>
                <w14:textFill>
                  <w14:solidFill>
                    <w14:schemeClr w14:val="tx1"/>
                  </w14:solidFill>
                </w14:textFill>
              </w:rPr>
            </w:pPr>
          </w:p>
          <w:p w14:paraId="3CD93D87">
            <w:pPr>
              <w:adjustRightInd w:val="0"/>
              <w:snapToGrid w:val="0"/>
              <w:ind w:firstLine="315"/>
              <w:rPr>
                <w:rFonts w:ascii="宋体" w:hAnsi="宋体" w:cs="宋体"/>
                <w:color w:val="000000" w:themeColor="text1"/>
                <w:szCs w:val="21"/>
                <w14:textFill>
                  <w14:solidFill>
                    <w14:schemeClr w14:val="tx1"/>
                  </w14:solidFill>
                </w14:textFill>
              </w:rPr>
            </w:pPr>
          </w:p>
          <w:p w14:paraId="7B2C74AC">
            <w:pPr>
              <w:adjustRightInd w:val="0"/>
              <w:snapToGrid w:val="0"/>
              <w:ind w:firstLine="315"/>
              <w:rPr>
                <w:rFonts w:ascii="宋体" w:hAnsi="宋体" w:cs="宋体"/>
                <w:color w:val="000000" w:themeColor="text1"/>
                <w:szCs w:val="21"/>
                <w14:textFill>
                  <w14:solidFill>
                    <w14:schemeClr w14:val="tx1"/>
                  </w14:solidFill>
                </w14:textFill>
              </w:rPr>
            </w:pPr>
          </w:p>
          <w:p w14:paraId="41037EA8">
            <w:pPr>
              <w:adjustRightInd w:val="0"/>
              <w:snapToGrid w:val="0"/>
              <w:ind w:firstLine="315"/>
              <w:rPr>
                <w:rFonts w:ascii="宋体" w:hAnsi="宋体" w:cs="宋体"/>
                <w:color w:val="000000" w:themeColor="text1"/>
                <w:szCs w:val="21"/>
                <w14:textFill>
                  <w14:solidFill>
                    <w14:schemeClr w14:val="tx1"/>
                  </w14:solidFill>
                </w14:textFill>
              </w:rPr>
            </w:pPr>
          </w:p>
          <w:p w14:paraId="2D83D05E">
            <w:pPr>
              <w:adjustRightInd w:val="0"/>
              <w:snapToGrid w:val="0"/>
              <w:ind w:firstLine="315"/>
              <w:rPr>
                <w:rFonts w:ascii="宋体" w:hAnsi="宋体" w:cs="宋体"/>
                <w:color w:val="000000" w:themeColor="text1"/>
                <w:szCs w:val="21"/>
                <w14:textFill>
                  <w14:solidFill>
                    <w14:schemeClr w14:val="tx1"/>
                  </w14:solidFill>
                </w14:textFill>
              </w:rPr>
            </w:pPr>
          </w:p>
          <w:p w14:paraId="6388D493">
            <w:pPr>
              <w:adjustRightInd w:val="0"/>
              <w:snapToGrid w:val="0"/>
              <w:ind w:firstLine="315"/>
              <w:rPr>
                <w:rFonts w:ascii="宋体" w:hAnsi="宋体" w:cs="宋体"/>
                <w:color w:val="000000" w:themeColor="text1"/>
                <w:szCs w:val="21"/>
                <w14:textFill>
                  <w14:solidFill>
                    <w14:schemeClr w14:val="tx1"/>
                  </w14:solidFill>
                </w14:textFill>
              </w:rPr>
            </w:pPr>
          </w:p>
          <w:p w14:paraId="385AED5C">
            <w:pPr>
              <w:adjustRightInd w:val="0"/>
              <w:snapToGrid w:val="0"/>
              <w:ind w:firstLine="315"/>
              <w:rPr>
                <w:rFonts w:ascii="宋体" w:hAnsi="宋体" w:cs="宋体"/>
                <w:color w:val="000000" w:themeColor="text1"/>
                <w:szCs w:val="21"/>
                <w14:textFill>
                  <w14:solidFill>
                    <w14:schemeClr w14:val="tx1"/>
                  </w14:solidFill>
                </w14:textFill>
              </w:rPr>
            </w:pPr>
          </w:p>
          <w:p w14:paraId="52625585">
            <w:pPr>
              <w:adjustRightInd w:val="0"/>
              <w:snapToGrid w:val="0"/>
              <w:ind w:firstLine="315"/>
              <w:rPr>
                <w:rFonts w:ascii="宋体" w:hAnsi="宋体" w:cs="宋体"/>
                <w:color w:val="000000" w:themeColor="text1"/>
                <w:szCs w:val="21"/>
                <w14:textFill>
                  <w14:solidFill>
                    <w14:schemeClr w14:val="tx1"/>
                  </w14:solidFill>
                </w14:textFill>
              </w:rPr>
            </w:pPr>
          </w:p>
          <w:p w14:paraId="0D307AD7">
            <w:pPr>
              <w:adjustRightInd w:val="0"/>
              <w:snapToGrid w:val="0"/>
              <w:ind w:firstLine="315"/>
              <w:rPr>
                <w:rFonts w:ascii="宋体" w:hAnsi="宋体" w:cs="宋体"/>
                <w:color w:val="000000" w:themeColor="text1"/>
                <w:szCs w:val="21"/>
                <w14:textFill>
                  <w14:solidFill>
                    <w14:schemeClr w14:val="tx1"/>
                  </w14:solidFill>
                </w14:textFill>
              </w:rPr>
            </w:pPr>
          </w:p>
        </w:tc>
      </w:tr>
    </w:tbl>
    <w:p w14:paraId="1EB8F13F">
      <w:pPr>
        <w:pStyle w:val="20"/>
        <w:spacing w:before="249" w:beforeLines="80" w:beforeAutospacing="0"/>
        <w:jc w:val="both"/>
        <w:rPr>
          <w:rFonts w:ascii="黑体" w:hAnsi="黑体" w:eastAsia="黑体"/>
          <w:snapToGrid w:val="0"/>
          <w:color w:val="000000" w:themeColor="text1"/>
          <w:sz w:val="30"/>
          <w:szCs w:val="30"/>
          <w14:textFill>
            <w14:solidFill>
              <w14:schemeClr w14:val="tx1"/>
            </w14:solidFill>
          </w14:textFill>
        </w:rPr>
        <w:sectPr>
          <w:footerReference r:id="rId5" w:type="default"/>
          <w:pgSz w:w="11906" w:h="16838"/>
          <w:pgMar w:top="1440" w:right="1800" w:bottom="1440" w:left="1800" w:header="851" w:footer="992" w:gutter="0"/>
          <w:pgNumType w:fmt="decimal"/>
          <w:cols w:space="720" w:num="1"/>
          <w:docGrid w:type="lines" w:linePitch="312" w:charSpace="0"/>
        </w:sectPr>
      </w:pPr>
    </w:p>
    <w:p w14:paraId="6D78287A">
      <w:pPr>
        <w:pStyle w:val="50"/>
        <w:spacing w:before="192" w:beforeLines="80" w:after="24"/>
        <w:jc w:val="left"/>
        <w:rPr>
          <w:rFonts w:hAnsi="宋体"/>
          <w:snapToGrid w:val="0"/>
          <w:color w:val="000000" w:themeColor="text1"/>
          <w:kern w:val="21"/>
          <w14:textFill>
            <w14:solidFill>
              <w14:schemeClr w14:val="tx1"/>
            </w14:solidFill>
          </w14:textFill>
        </w:rPr>
      </w:pPr>
    </w:p>
    <w:sectPr>
      <w:headerReference r:id="rId6" w:type="default"/>
      <w:footerReference r:id="rId7" w:type="default"/>
      <w:pgSz w:w="11906" w:h="16838"/>
      <w:pgMar w:top="1701" w:right="1531" w:bottom="1701" w:left="153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E3932C-CD31-4271-B4FE-8E79DAB011B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72975">
    <w:pPr>
      <w:pStyle w:val="15"/>
      <w:framePr w:wrap="around" w:vAnchor="text" w:hAnchor="margin" w:xAlign="outside" w:y="1"/>
      <w:rPr>
        <w:rStyle w:val="26"/>
        <w:rFonts w:ascii="宋体" w:hAnsi="宋体"/>
        <w:sz w:val="28"/>
        <w:szCs w:val="28"/>
      </w:rPr>
    </w:pPr>
  </w:p>
  <w:p w14:paraId="3D7EE767">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43F11">
    <w:pPr>
      <w:pStyle w:val="15"/>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FAEDC">
                          <w:pPr>
                            <w:pStyle w:val="15"/>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szCs w:val="20"/>
                            </w:rPr>
                            <w:t xml:space="preserve">  </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60</w:t>
                          </w:r>
                          <w:r>
                            <w:rPr>
                              <w:rStyle w:val="26"/>
                              <w:rFonts w:ascii="宋体" w:hAnsi="宋体"/>
                              <w:sz w:val="26"/>
                              <w:szCs w:val="26"/>
                            </w:rPr>
                            <w:fldChar w:fldCharType="end"/>
                          </w:r>
                          <w:r>
                            <w:rPr>
                              <w:rStyle w:val="26"/>
                              <w:rFonts w:hint="eastAsia" w:ascii="宋体" w:hAnsi="宋体"/>
                              <w:sz w:val="20"/>
                              <w:szCs w:val="20"/>
                            </w:rPr>
                            <w:t xml:space="preserve">  </w:t>
                          </w:r>
                          <w:r>
                            <w:rPr>
                              <w:rStyle w:val="26"/>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9DFAEDC">
                    <w:pPr>
                      <w:pStyle w:val="15"/>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szCs w:val="20"/>
                      </w:rPr>
                      <w:t xml:space="preserve">  </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60</w:t>
                    </w:r>
                    <w:r>
                      <w:rPr>
                        <w:rStyle w:val="26"/>
                        <w:rFonts w:ascii="宋体" w:hAnsi="宋体"/>
                        <w:sz w:val="26"/>
                        <w:szCs w:val="26"/>
                      </w:rPr>
                      <w:fldChar w:fldCharType="end"/>
                    </w:r>
                    <w:r>
                      <w:rPr>
                        <w:rStyle w:val="26"/>
                        <w:rFonts w:hint="eastAsia" w:ascii="宋体" w:hAnsi="宋体"/>
                        <w:sz w:val="20"/>
                        <w:szCs w:val="20"/>
                      </w:rPr>
                      <w:t xml:space="preserve">  </w:t>
                    </w:r>
                    <w:r>
                      <w:rPr>
                        <w:rStyle w:val="26"/>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F6788">
    <w:pPr>
      <w:pStyle w:val="15"/>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7AFF28">
                          <w:pPr>
                            <w:pStyle w:val="15"/>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szCs w:val="20"/>
                            </w:rPr>
                            <w:t xml:space="preserve">  </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80</w:t>
                          </w:r>
                          <w:r>
                            <w:rPr>
                              <w:rStyle w:val="26"/>
                              <w:rFonts w:ascii="宋体" w:hAnsi="宋体"/>
                              <w:sz w:val="26"/>
                              <w:szCs w:val="26"/>
                            </w:rPr>
                            <w:fldChar w:fldCharType="end"/>
                          </w:r>
                          <w:r>
                            <w:rPr>
                              <w:rStyle w:val="26"/>
                              <w:rFonts w:hint="eastAsia" w:ascii="宋体" w:hAnsi="宋体"/>
                              <w:sz w:val="20"/>
                              <w:szCs w:val="20"/>
                            </w:rPr>
                            <w:t xml:space="preserve">  </w:t>
                          </w:r>
                          <w:r>
                            <w:rPr>
                              <w:rStyle w:val="26"/>
                              <w:rFonts w:hint="eastAsia" w:ascii="宋体" w:hAnsi="宋体"/>
                              <w:sz w:val="28"/>
                              <w:szCs w:val="28"/>
                            </w:rPr>
                            <w:t>—</w:t>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eHIksIBAACOAwAADgAAAGRycy9lMm9Eb2MueG1srVPNjtMwEL4j8Q6W&#10;79Rpk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nxNieMWJ375/u3y49fl51ey&#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HhyJLCAQAAjgMAAA4AAAAAAAAAAQAgAAAAHgEAAGRycy9lMm9Eb2MueG1sUEsF&#10;BgAAAAAGAAYAWQEAAFIFAAAAAA==&#10;">
              <v:fill on="f" focussize="0,0"/>
              <v:stroke on="f"/>
              <v:imagedata o:title=""/>
              <o:lock v:ext="edit" aspectratio="f"/>
              <v:textbox inset="0mm,0mm,0mm,0mm" style="mso-fit-shape-to-text:t;">
                <w:txbxContent>
                  <w:p w14:paraId="6E7AFF28">
                    <w:pPr>
                      <w:pStyle w:val="15"/>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szCs w:val="20"/>
                      </w:rPr>
                      <w:t xml:space="preserve">  </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80</w:t>
                    </w:r>
                    <w:r>
                      <w:rPr>
                        <w:rStyle w:val="26"/>
                        <w:rFonts w:ascii="宋体" w:hAnsi="宋体"/>
                        <w:sz w:val="26"/>
                        <w:szCs w:val="26"/>
                      </w:rPr>
                      <w:fldChar w:fldCharType="end"/>
                    </w:r>
                    <w:r>
                      <w:rPr>
                        <w:rStyle w:val="26"/>
                        <w:rFonts w:hint="eastAsia" w:ascii="宋体" w:hAnsi="宋体"/>
                        <w:sz w:val="20"/>
                        <w:szCs w:val="20"/>
                      </w:rPr>
                      <w:t xml:space="preserve">  </w:t>
                    </w:r>
                    <w:r>
                      <w:rPr>
                        <w:rStyle w:val="26"/>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C6E85">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CB2F4">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95FE23"/>
    <w:multiLevelType w:val="singleLevel"/>
    <w:tmpl w:val="C395FE23"/>
    <w:lvl w:ilvl="0" w:tentative="0">
      <w:start w:val="5"/>
      <w:numFmt w:val="chineseCounting"/>
      <w:suff w:val="nothing"/>
      <w:lvlText w:val="%1、"/>
      <w:lvlJc w:val="left"/>
      <w:rPr>
        <w:rFonts w:hint="eastAsia"/>
      </w:rPr>
    </w:lvl>
  </w:abstractNum>
  <w:abstractNum w:abstractNumId="1">
    <w:nsid w:val="ECE588BF"/>
    <w:multiLevelType w:val="singleLevel"/>
    <w:tmpl w:val="ECE588BF"/>
    <w:lvl w:ilvl="0" w:tentative="0">
      <w:start w:val="4"/>
      <w:numFmt w:val="decimal"/>
      <w:suff w:val="nothing"/>
      <w:lvlText w:val="%1、"/>
      <w:lvlJc w:val="left"/>
    </w:lvl>
  </w:abstractNum>
  <w:abstractNum w:abstractNumId="2">
    <w:nsid w:val="1FBE3F00"/>
    <w:multiLevelType w:val="multilevel"/>
    <w:tmpl w:val="1FBE3F00"/>
    <w:lvl w:ilvl="0" w:tentative="0">
      <w:start w:val="1"/>
      <w:numFmt w:val="decimal"/>
      <w:isLgl/>
      <w:suff w:val="space"/>
      <w:lvlText w:val="%1"/>
      <w:lvlJc w:val="center"/>
      <w:pPr>
        <w:tabs>
          <w:tab w:val="left" w:pos="420"/>
        </w:tabs>
        <w:ind w:left="432" w:hanging="432"/>
      </w:pPr>
      <w:rPr>
        <w:rFonts w:hint="default" w:ascii="宋体" w:hAnsi="宋体" w:eastAsia="宋体" w:cs="宋体"/>
        <w:b/>
        <w:bCs/>
        <w:sz w:val="44"/>
        <w:szCs w:val="44"/>
        <w:u w:val="none"/>
      </w:rPr>
    </w:lvl>
    <w:lvl w:ilvl="1" w:tentative="0">
      <w:start w:val="1"/>
      <w:numFmt w:val="decimal"/>
      <w:isLgl/>
      <w:suff w:val="space"/>
      <w:lvlText w:val="%1.%2"/>
      <w:lvlJc w:val="left"/>
      <w:pPr>
        <w:tabs>
          <w:tab w:val="left" w:pos="0"/>
        </w:tabs>
        <w:ind w:left="0" w:firstLine="0"/>
      </w:pPr>
      <w:rPr>
        <w:rFonts w:hint="default" w:ascii="Times New Roman" w:hAnsi="Times New Roman" w:eastAsia="宋体" w:cs="Times New Roman"/>
        <w:b/>
        <w:bCs/>
        <w:sz w:val="32"/>
        <w:szCs w:val="32"/>
        <w:u w:val="none"/>
      </w:rPr>
    </w:lvl>
    <w:lvl w:ilvl="2" w:tentative="0">
      <w:start w:val="1"/>
      <w:numFmt w:val="decimal"/>
      <w:pStyle w:val="3"/>
      <w:isLgl/>
      <w:suff w:val="space"/>
      <w:lvlText w:val="%1.%2.%3"/>
      <w:lvlJc w:val="left"/>
      <w:pPr>
        <w:tabs>
          <w:tab w:val="left" w:pos="0"/>
        </w:tabs>
        <w:ind w:left="0" w:firstLine="0"/>
      </w:pPr>
      <w:rPr>
        <w:rFonts w:hint="default" w:ascii="Times New Roman" w:hAnsi="Times New Roman" w:eastAsia="宋体" w:cs="Times New Roman"/>
        <w:b/>
        <w:bCs/>
        <w:spacing w:val="0"/>
        <w:sz w:val="28"/>
        <w:szCs w:val="28"/>
        <w:u w:val="none"/>
      </w:rPr>
    </w:lvl>
    <w:lvl w:ilvl="3" w:tentative="0">
      <w:start w:val="1"/>
      <w:numFmt w:val="decimal"/>
      <w:isLgl/>
      <w:suff w:val="space"/>
      <w:lvlText w:val="%1.%2.%3.%4"/>
      <w:lvlJc w:val="left"/>
      <w:pPr>
        <w:tabs>
          <w:tab w:val="left" w:pos="0"/>
        </w:tabs>
        <w:ind w:left="0" w:firstLine="0"/>
      </w:pPr>
      <w:rPr>
        <w:rFonts w:hint="default" w:ascii="Times New Roman" w:hAnsi="Times New Roman" w:eastAsia="宋体" w:cs="Times New Roman"/>
        <w:sz w:val="24"/>
        <w:szCs w:val="24"/>
        <w:u w:val="none"/>
      </w:rPr>
    </w:lvl>
    <w:lvl w:ilvl="4" w:tentative="0">
      <w:start w:val="1"/>
      <w:numFmt w:val="decimal"/>
      <w:lvlText w:val="%1.%2.%3.%4.%5"/>
      <w:lvlJc w:val="left"/>
      <w:pPr>
        <w:ind w:left="1008" w:hanging="1008"/>
      </w:pPr>
      <w:rPr>
        <w:rFonts w:hint="default" w:ascii="宋体" w:hAnsi="宋体" w:eastAsia="宋体"/>
        <w:u w:val="none"/>
      </w:rPr>
    </w:lvl>
    <w:lvl w:ilvl="5" w:tentative="0">
      <w:start w:val="1"/>
      <w:numFmt w:val="decimal"/>
      <w:lvlText w:val="%1.%2.%3.%4.%5.%6."/>
      <w:lvlJc w:val="left"/>
      <w:pPr>
        <w:ind w:left="1151" w:hanging="1151"/>
      </w:pPr>
      <w:rPr>
        <w:rFonts w:hint="default" w:ascii="Times New Roman"/>
        <w:u w:val="none"/>
      </w:rPr>
    </w:lvl>
    <w:lvl w:ilvl="6" w:tentative="0">
      <w:start w:val="1"/>
      <w:numFmt w:val="decimal"/>
      <w:lvlText w:val="%1.%2.%3.%4.%5.%6.%7."/>
      <w:lvlJc w:val="left"/>
      <w:pPr>
        <w:ind w:left="1296" w:hanging="1296"/>
      </w:pPr>
      <w:rPr>
        <w:rFonts w:hint="default" w:ascii="Times New Roman"/>
        <w:u w:val="none"/>
      </w:rPr>
    </w:lvl>
    <w:lvl w:ilvl="7" w:tentative="0">
      <w:start w:val="1"/>
      <w:numFmt w:val="decimal"/>
      <w:lvlText w:val="%1.%2.%3.%4.%5.%6.%7.%8."/>
      <w:lvlJc w:val="left"/>
      <w:pPr>
        <w:ind w:left="1440" w:hanging="1440"/>
      </w:pPr>
      <w:rPr>
        <w:rFonts w:hint="default" w:ascii="Times New Roman"/>
        <w:u w:val="none"/>
      </w:rPr>
    </w:lvl>
    <w:lvl w:ilvl="8" w:tentative="0">
      <w:start w:val="1"/>
      <w:numFmt w:val="decimal"/>
      <w:lvlText w:val="%1.%2.%3.%4.%5.%6.%7.%8.%9."/>
      <w:lvlJc w:val="left"/>
      <w:pPr>
        <w:ind w:left="1583" w:hanging="1583"/>
      </w:pPr>
      <w:rPr>
        <w:rFonts w:hint="default" w:ascii="Times New Roman"/>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wZDM1ZjU5MzZlYjc0ODQ3NDUzY2M0MDhjM2VlNmQifQ=="/>
  </w:docVars>
  <w:rsids>
    <w:rsidRoot w:val="00A14947"/>
    <w:rsid w:val="00001CED"/>
    <w:rsid w:val="00001E67"/>
    <w:rsid w:val="00003CD8"/>
    <w:rsid w:val="00014965"/>
    <w:rsid w:val="0001523A"/>
    <w:rsid w:val="00016ECB"/>
    <w:rsid w:val="0002555D"/>
    <w:rsid w:val="000269F6"/>
    <w:rsid w:val="00031939"/>
    <w:rsid w:val="00032D25"/>
    <w:rsid w:val="00041DF4"/>
    <w:rsid w:val="0005219D"/>
    <w:rsid w:val="0005568F"/>
    <w:rsid w:val="0006153D"/>
    <w:rsid w:val="00061B1F"/>
    <w:rsid w:val="00063019"/>
    <w:rsid w:val="00065C71"/>
    <w:rsid w:val="000664DB"/>
    <w:rsid w:val="0007127D"/>
    <w:rsid w:val="00071AE5"/>
    <w:rsid w:val="00074783"/>
    <w:rsid w:val="00074CD2"/>
    <w:rsid w:val="000801E0"/>
    <w:rsid w:val="00082A29"/>
    <w:rsid w:val="0008331D"/>
    <w:rsid w:val="00083C18"/>
    <w:rsid w:val="0008766B"/>
    <w:rsid w:val="00087FB9"/>
    <w:rsid w:val="00090DAC"/>
    <w:rsid w:val="00090E8D"/>
    <w:rsid w:val="00092899"/>
    <w:rsid w:val="000A0E34"/>
    <w:rsid w:val="000A178E"/>
    <w:rsid w:val="000A557E"/>
    <w:rsid w:val="000B058F"/>
    <w:rsid w:val="000B693F"/>
    <w:rsid w:val="000C09AC"/>
    <w:rsid w:val="000C0A63"/>
    <w:rsid w:val="000C437E"/>
    <w:rsid w:val="000D67A7"/>
    <w:rsid w:val="000E1A9F"/>
    <w:rsid w:val="000E5F16"/>
    <w:rsid w:val="000E6839"/>
    <w:rsid w:val="000F4452"/>
    <w:rsid w:val="000F6DA1"/>
    <w:rsid w:val="000F701B"/>
    <w:rsid w:val="001006DD"/>
    <w:rsid w:val="001056A0"/>
    <w:rsid w:val="001138E8"/>
    <w:rsid w:val="00115279"/>
    <w:rsid w:val="00117459"/>
    <w:rsid w:val="0011749A"/>
    <w:rsid w:val="001228CA"/>
    <w:rsid w:val="00127A68"/>
    <w:rsid w:val="00140B13"/>
    <w:rsid w:val="00141B68"/>
    <w:rsid w:val="001466DA"/>
    <w:rsid w:val="00154DE1"/>
    <w:rsid w:val="00155B40"/>
    <w:rsid w:val="00157435"/>
    <w:rsid w:val="00163EEA"/>
    <w:rsid w:val="00165639"/>
    <w:rsid w:val="00167A07"/>
    <w:rsid w:val="0017046A"/>
    <w:rsid w:val="001704A3"/>
    <w:rsid w:val="0017504D"/>
    <w:rsid w:val="00177422"/>
    <w:rsid w:val="00184F10"/>
    <w:rsid w:val="00185546"/>
    <w:rsid w:val="0019146B"/>
    <w:rsid w:val="00194398"/>
    <w:rsid w:val="001960C5"/>
    <w:rsid w:val="001A2E3B"/>
    <w:rsid w:val="001A4B4D"/>
    <w:rsid w:val="001A7D2A"/>
    <w:rsid w:val="001B574C"/>
    <w:rsid w:val="001C0AF9"/>
    <w:rsid w:val="001C155A"/>
    <w:rsid w:val="001C48C0"/>
    <w:rsid w:val="001C498A"/>
    <w:rsid w:val="001C6EC8"/>
    <w:rsid w:val="001D0F15"/>
    <w:rsid w:val="001D6726"/>
    <w:rsid w:val="001F3347"/>
    <w:rsid w:val="001F4440"/>
    <w:rsid w:val="001F69E4"/>
    <w:rsid w:val="00206A65"/>
    <w:rsid w:val="00212D31"/>
    <w:rsid w:val="002130C7"/>
    <w:rsid w:val="002218A8"/>
    <w:rsid w:val="0022306D"/>
    <w:rsid w:val="00226574"/>
    <w:rsid w:val="002278EC"/>
    <w:rsid w:val="00234B79"/>
    <w:rsid w:val="002357C7"/>
    <w:rsid w:val="002367C4"/>
    <w:rsid w:val="0025679E"/>
    <w:rsid w:val="0026023C"/>
    <w:rsid w:val="00260C68"/>
    <w:rsid w:val="00262AFE"/>
    <w:rsid w:val="002648B0"/>
    <w:rsid w:val="0027500D"/>
    <w:rsid w:val="00275271"/>
    <w:rsid w:val="0027535E"/>
    <w:rsid w:val="00275AA6"/>
    <w:rsid w:val="002807D5"/>
    <w:rsid w:val="00281C60"/>
    <w:rsid w:val="00282CCD"/>
    <w:rsid w:val="002921EE"/>
    <w:rsid w:val="002961E7"/>
    <w:rsid w:val="002A128C"/>
    <w:rsid w:val="002A168C"/>
    <w:rsid w:val="002A2C48"/>
    <w:rsid w:val="002A3EED"/>
    <w:rsid w:val="002A4A39"/>
    <w:rsid w:val="002A5A17"/>
    <w:rsid w:val="002A6425"/>
    <w:rsid w:val="002B49E2"/>
    <w:rsid w:val="002B4F0C"/>
    <w:rsid w:val="002B7B00"/>
    <w:rsid w:val="002B7C44"/>
    <w:rsid w:val="002C1388"/>
    <w:rsid w:val="002C3C6A"/>
    <w:rsid w:val="002D42DB"/>
    <w:rsid w:val="002E1F3A"/>
    <w:rsid w:val="002E298A"/>
    <w:rsid w:val="002F02A4"/>
    <w:rsid w:val="002F272B"/>
    <w:rsid w:val="002F7010"/>
    <w:rsid w:val="002F7C6D"/>
    <w:rsid w:val="00300CA6"/>
    <w:rsid w:val="003027E4"/>
    <w:rsid w:val="0030332C"/>
    <w:rsid w:val="00306363"/>
    <w:rsid w:val="00312296"/>
    <w:rsid w:val="0031340E"/>
    <w:rsid w:val="00316464"/>
    <w:rsid w:val="0032073A"/>
    <w:rsid w:val="00321D8E"/>
    <w:rsid w:val="003308B1"/>
    <w:rsid w:val="00334996"/>
    <w:rsid w:val="00336969"/>
    <w:rsid w:val="00336C52"/>
    <w:rsid w:val="00341B3E"/>
    <w:rsid w:val="00341B42"/>
    <w:rsid w:val="00345154"/>
    <w:rsid w:val="0034560E"/>
    <w:rsid w:val="00350523"/>
    <w:rsid w:val="00352975"/>
    <w:rsid w:val="00356868"/>
    <w:rsid w:val="00362A26"/>
    <w:rsid w:val="0036485B"/>
    <w:rsid w:val="00373B0D"/>
    <w:rsid w:val="00376988"/>
    <w:rsid w:val="00381A72"/>
    <w:rsid w:val="003820F5"/>
    <w:rsid w:val="003915EE"/>
    <w:rsid w:val="003A1948"/>
    <w:rsid w:val="003A4ACF"/>
    <w:rsid w:val="003A4E7D"/>
    <w:rsid w:val="003B152A"/>
    <w:rsid w:val="003B2E8A"/>
    <w:rsid w:val="003B545B"/>
    <w:rsid w:val="003C3320"/>
    <w:rsid w:val="003D1C48"/>
    <w:rsid w:val="003D32D4"/>
    <w:rsid w:val="003D3EE9"/>
    <w:rsid w:val="003E7681"/>
    <w:rsid w:val="003F0809"/>
    <w:rsid w:val="003F3EDB"/>
    <w:rsid w:val="003F611C"/>
    <w:rsid w:val="003F7384"/>
    <w:rsid w:val="003F755C"/>
    <w:rsid w:val="00406F01"/>
    <w:rsid w:val="00411B36"/>
    <w:rsid w:val="004121D7"/>
    <w:rsid w:val="00416D50"/>
    <w:rsid w:val="00417772"/>
    <w:rsid w:val="00420E6A"/>
    <w:rsid w:val="00427339"/>
    <w:rsid w:val="00433CA9"/>
    <w:rsid w:val="0043521D"/>
    <w:rsid w:val="00442024"/>
    <w:rsid w:val="0044254C"/>
    <w:rsid w:val="00443F6A"/>
    <w:rsid w:val="00450A17"/>
    <w:rsid w:val="00460027"/>
    <w:rsid w:val="00461367"/>
    <w:rsid w:val="00461EFC"/>
    <w:rsid w:val="00463DF5"/>
    <w:rsid w:val="00466321"/>
    <w:rsid w:val="00466D4F"/>
    <w:rsid w:val="004672AF"/>
    <w:rsid w:val="004727B0"/>
    <w:rsid w:val="00472D3A"/>
    <w:rsid w:val="00480247"/>
    <w:rsid w:val="0048081D"/>
    <w:rsid w:val="0048117E"/>
    <w:rsid w:val="004855F6"/>
    <w:rsid w:val="00486F0C"/>
    <w:rsid w:val="00494670"/>
    <w:rsid w:val="004A0EB4"/>
    <w:rsid w:val="004A3823"/>
    <w:rsid w:val="004A59BB"/>
    <w:rsid w:val="004B1533"/>
    <w:rsid w:val="004B43A3"/>
    <w:rsid w:val="004B4C49"/>
    <w:rsid w:val="004B58A5"/>
    <w:rsid w:val="004B63D9"/>
    <w:rsid w:val="004C0882"/>
    <w:rsid w:val="004C55BE"/>
    <w:rsid w:val="004D7EED"/>
    <w:rsid w:val="004E5B30"/>
    <w:rsid w:val="004F0779"/>
    <w:rsid w:val="004F1230"/>
    <w:rsid w:val="004F173F"/>
    <w:rsid w:val="004F177C"/>
    <w:rsid w:val="004F2DCE"/>
    <w:rsid w:val="004F2FB2"/>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57D5B"/>
    <w:rsid w:val="0056064F"/>
    <w:rsid w:val="00561B84"/>
    <w:rsid w:val="00571006"/>
    <w:rsid w:val="00571D98"/>
    <w:rsid w:val="005720AE"/>
    <w:rsid w:val="0058030D"/>
    <w:rsid w:val="00582045"/>
    <w:rsid w:val="00584B6C"/>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89B"/>
    <w:rsid w:val="00604BC8"/>
    <w:rsid w:val="00615B4C"/>
    <w:rsid w:val="00615B5D"/>
    <w:rsid w:val="0062146F"/>
    <w:rsid w:val="0063377E"/>
    <w:rsid w:val="006343AF"/>
    <w:rsid w:val="0063634A"/>
    <w:rsid w:val="0064250D"/>
    <w:rsid w:val="006535EB"/>
    <w:rsid w:val="00653A6D"/>
    <w:rsid w:val="00663016"/>
    <w:rsid w:val="00674605"/>
    <w:rsid w:val="006748B8"/>
    <w:rsid w:val="00676F15"/>
    <w:rsid w:val="0068535B"/>
    <w:rsid w:val="0068736E"/>
    <w:rsid w:val="0069290A"/>
    <w:rsid w:val="00695045"/>
    <w:rsid w:val="00697032"/>
    <w:rsid w:val="006975AC"/>
    <w:rsid w:val="006A15FB"/>
    <w:rsid w:val="006A72BF"/>
    <w:rsid w:val="006B15D6"/>
    <w:rsid w:val="006B332A"/>
    <w:rsid w:val="006B33BD"/>
    <w:rsid w:val="006C3F75"/>
    <w:rsid w:val="006C4866"/>
    <w:rsid w:val="006D170E"/>
    <w:rsid w:val="006D37B0"/>
    <w:rsid w:val="006D61CE"/>
    <w:rsid w:val="006E06AF"/>
    <w:rsid w:val="006F1789"/>
    <w:rsid w:val="006F6BAA"/>
    <w:rsid w:val="007044CC"/>
    <w:rsid w:val="00706C5D"/>
    <w:rsid w:val="00706CB4"/>
    <w:rsid w:val="007118E6"/>
    <w:rsid w:val="007225C9"/>
    <w:rsid w:val="00735CD7"/>
    <w:rsid w:val="00742BDF"/>
    <w:rsid w:val="00754034"/>
    <w:rsid w:val="00754BF1"/>
    <w:rsid w:val="00755A30"/>
    <w:rsid w:val="00755E1C"/>
    <w:rsid w:val="00756556"/>
    <w:rsid w:val="0076132B"/>
    <w:rsid w:val="007623AE"/>
    <w:rsid w:val="00770B19"/>
    <w:rsid w:val="00774FA0"/>
    <w:rsid w:val="00776620"/>
    <w:rsid w:val="00777B6D"/>
    <w:rsid w:val="00781B0A"/>
    <w:rsid w:val="00784855"/>
    <w:rsid w:val="00784F39"/>
    <w:rsid w:val="0078545C"/>
    <w:rsid w:val="007906C4"/>
    <w:rsid w:val="007940EA"/>
    <w:rsid w:val="007967E8"/>
    <w:rsid w:val="00797139"/>
    <w:rsid w:val="007A63F2"/>
    <w:rsid w:val="007B68DE"/>
    <w:rsid w:val="007C1857"/>
    <w:rsid w:val="007C514F"/>
    <w:rsid w:val="007D0F95"/>
    <w:rsid w:val="007D2F62"/>
    <w:rsid w:val="007D7ECB"/>
    <w:rsid w:val="007E25A1"/>
    <w:rsid w:val="007E4BD2"/>
    <w:rsid w:val="007E7145"/>
    <w:rsid w:val="007F3916"/>
    <w:rsid w:val="007F4D70"/>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53D17"/>
    <w:rsid w:val="00861FE7"/>
    <w:rsid w:val="008676B5"/>
    <w:rsid w:val="00867CBC"/>
    <w:rsid w:val="00876C30"/>
    <w:rsid w:val="00877017"/>
    <w:rsid w:val="008773C0"/>
    <w:rsid w:val="00880364"/>
    <w:rsid w:val="00886C4C"/>
    <w:rsid w:val="0088711C"/>
    <w:rsid w:val="00892ECF"/>
    <w:rsid w:val="00892F06"/>
    <w:rsid w:val="00894285"/>
    <w:rsid w:val="00896BEB"/>
    <w:rsid w:val="008A40AE"/>
    <w:rsid w:val="008A4E19"/>
    <w:rsid w:val="008A67C5"/>
    <w:rsid w:val="008B22E1"/>
    <w:rsid w:val="008B3C78"/>
    <w:rsid w:val="008B4AE9"/>
    <w:rsid w:val="008C30AD"/>
    <w:rsid w:val="008D068E"/>
    <w:rsid w:val="008D0F7A"/>
    <w:rsid w:val="008D1239"/>
    <w:rsid w:val="008D5C41"/>
    <w:rsid w:val="008D63BE"/>
    <w:rsid w:val="008E0CFF"/>
    <w:rsid w:val="008E5D6B"/>
    <w:rsid w:val="008E689B"/>
    <w:rsid w:val="008E76F0"/>
    <w:rsid w:val="008F15FE"/>
    <w:rsid w:val="008F2A94"/>
    <w:rsid w:val="008F5187"/>
    <w:rsid w:val="008F709C"/>
    <w:rsid w:val="0090312B"/>
    <w:rsid w:val="00904961"/>
    <w:rsid w:val="00904C2A"/>
    <w:rsid w:val="00907188"/>
    <w:rsid w:val="0091736D"/>
    <w:rsid w:val="00931001"/>
    <w:rsid w:val="00931863"/>
    <w:rsid w:val="00933524"/>
    <w:rsid w:val="0094109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C025E"/>
    <w:rsid w:val="009C2702"/>
    <w:rsid w:val="009D0852"/>
    <w:rsid w:val="009D1FBF"/>
    <w:rsid w:val="009E399C"/>
    <w:rsid w:val="009E43C1"/>
    <w:rsid w:val="009E56AD"/>
    <w:rsid w:val="009E7E95"/>
    <w:rsid w:val="009F116F"/>
    <w:rsid w:val="009F329E"/>
    <w:rsid w:val="009F7ED3"/>
    <w:rsid w:val="00A01192"/>
    <w:rsid w:val="00A03607"/>
    <w:rsid w:val="00A03CDB"/>
    <w:rsid w:val="00A047FF"/>
    <w:rsid w:val="00A04FEF"/>
    <w:rsid w:val="00A122CD"/>
    <w:rsid w:val="00A12A32"/>
    <w:rsid w:val="00A13D9B"/>
    <w:rsid w:val="00A14248"/>
    <w:rsid w:val="00A14947"/>
    <w:rsid w:val="00A15A69"/>
    <w:rsid w:val="00A23DC5"/>
    <w:rsid w:val="00A2484E"/>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1E3C"/>
    <w:rsid w:val="00AA2C17"/>
    <w:rsid w:val="00AA2C7B"/>
    <w:rsid w:val="00AA4172"/>
    <w:rsid w:val="00AB1914"/>
    <w:rsid w:val="00AB3717"/>
    <w:rsid w:val="00AB5330"/>
    <w:rsid w:val="00AB7747"/>
    <w:rsid w:val="00AC0C4C"/>
    <w:rsid w:val="00AC1EA0"/>
    <w:rsid w:val="00AC2532"/>
    <w:rsid w:val="00AD1507"/>
    <w:rsid w:val="00AD5A70"/>
    <w:rsid w:val="00AD738B"/>
    <w:rsid w:val="00AE1BF4"/>
    <w:rsid w:val="00AE52F6"/>
    <w:rsid w:val="00AE5D97"/>
    <w:rsid w:val="00AE6794"/>
    <w:rsid w:val="00AF2918"/>
    <w:rsid w:val="00B01110"/>
    <w:rsid w:val="00B02262"/>
    <w:rsid w:val="00B03CEC"/>
    <w:rsid w:val="00B1209F"/>
    <w:rsid w:val="00B12AD0"/>
    <w:rsid w:val="00B12FFF"/>
    <w:rsid w:val="00B1791A"/>
    <w:rsid w:val="00B24897"/>
    <w:rsid w:val="00B24F30"/>
    <w:rsid w:val="00B31ABF"/>
    <w:rsid w:val="00B335AE"/>
    <w:rsid w:val="00B3559B"/>
    <w:rsid w:val="00B37CE1"/>
    <w:rsid w:val="00B40ACF"/>
    <w:rsid w:val="00B46BAA"/>
    <w:rsid w:val="00B50B5F"/>
    <w:rsid w:val="00B54128"/>
    <w:rsid w:val="00B55826"/>
    <w:rsid w:val="00B60426"/>
    <w:rsid w:val="00B622DD"/>
    <w:rsid w:val="00B63522"/>
    <w:rsid w:val="00B65B28"/>
    <w:rsid w:val="00B76F1D"/>
    <w:rsid w:val="00B92A19"/>
    <w:rsid w:val="00B9544C"/>
    <w:rsid w:val="00B97BC4"/>
    <w:rsid w:val="00BA29E9"/>
    <w:rsid w:val="00BB3618"/>
    <w:rsid w:val="00BB77ED"/>
    <w:rsid w:val="00BC0C9E"/>
    <w:rsid w:val="00BC32DC"/>
    <w:rsid w:val="00BD1B51"/>
    <w:rsid w:val="00BD47F6"/>
    <w:rsid w:val="00BD7568"/>
    <w:rsid w:val="00BE2CD3"/>
    <w:rsid w:val="00BE312D"/>
    <w:rsid w:val="00BE39D7"/>
    <w:rsid w:val="00BE3FCA"/>
    <w:rsid w:val="00C05719"/>
    <w:rsid w:val="00C10578"/>
    <w:rsid w:val="00C17D62"/>
    <w:rsid w:val="00C21FDC"/>
    <w:rsid w:val="00C24EE7"/>
    <w:rsid w:val="00C2596A"/>
    <w:rsid w:val="00C271BE"/>
    <w:rsid w:val="00C27425"/>
    <w:rsid w:val="00C328FE"/>
    <w:rsid w:val="00C33A05"/>
    <w:rsid w:val="00C33EC5"/>
    <w:rsid w:val="00C42500"/>
    <w:rsid w:val="00C4409D"/>
    <w:rsid w:val="00C455BE"/>
    <w:rsid w:val="00C469DA"/>
    <w:rsid w:val="00C51E5F"/>
    <w:rsid w:val="00C56D85"/>
    <w:rsid w:val="00C60DFB"/>
    <w:rsid w:val="00C61E4B"/>
    <w:rsid w:val="00C62E3A"/>
    <w:rsid w:val="00C64503"/>
    <w:rsid w:val="00C64A1F"/>
    <w:rsid w:val="00C64BFF"/>
    <w:rsid w:val="00C763C9"/>
    <w:rsid w:val="00C80057"/>
    <w:rsid w:val="00C81E13"/>
    <w:rsid w:val="00C82C79"/>
    <w:rsid w:val="00C833AE"/>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3CC"/>
    <w:rsid w:val="00D15727"/>
    <w:rsid w:val="00D16332"/>
    <w:rsid w:val="00D245CC"/>
    <w:rsid w:val="00D24972"/>
    <w:rsid w:val="00D2515E"/>
    <w:rsid w:val="00D308ED"/>
    <w:rsid w:val="00D355F7"/>
    <w:rsid w:val="00D56178"/>
    <w:rsid w:val="00D56CF0"/>
    <w:rsid w:val="00D56F5C"/>
    <w:rsid w:val="00D66CAA"/>
    <w:rsid w:val="00D704B1"/>
    <w:rsid w:val="00D70B63"/>
    <w:rsid w:val="00D72B92"/>
    <w:rsid w:val="00D72ED4"/>
    <w:rsid w:val="00D73F61"/>
    <w:rsid w:val="00D754C0"/>
    <w:rsid w:val="00D7570D"/>
    <w:rsid w:val="00D776A2"/>
    <w:rsid w:val="00D801C4"/>
    <w:rsid w:val="00D90836"/>
    <w:rsid w:val="00D95896"/>
    <w:rsid w:val="00D95CC6"/>
    <w:rsid w:val="00DA2DA3"/>
    <w:rsid w:val="00DA6615"/>
    <w:rsid w:val="00DA76AE"/>
    <w:rsid w:val="00DB181E"/>
    <w:rsid w:val="00DB1C7A"/>
    <w:rsid w:val="00DB2983"/>
    <w:rsid w:val="00DB343D"/>
    <w:rsid w:val="00DB3946"/>
    <w:rsid w:val="00DB5579"/>
    <w:rsid w:val="00DB5CFE"/>
    <w:rsid w:val="00DC72A6"/>
    <w:rsid w:val="00DD2113"/>
    <w:rsid w:val="00DD265E"/>
    <w:rsid w:val="00DE4C53"/>
    <w:rsid w:val="00DF1930"/>
    <w:rsid w:val="00DF514A"/>
    <w:rsid w:val="00E0358D"/>
    <w:rsid w:val="00E06327"/>
    <w:rsid w:val="00E2064B"/>
    <w:rsid w:val="00E25239"/>
    <w:rsid w:val="00E265B1"/>
    <w:rsid w:val="00E275B0"/>
    <w:rsid w:val="00E30A66"/>
    <w:rsid w:val="00E412D0"/>
    <w:rsid w:val="00E437B4"/>
    <w:rsid w:val="00E47CDB"/>
    <w:rsid w:val="00E566BC"/>
    <w:rsid w:val="00E60982"/>
    <w:rsid w:val="00E60C8D"/>
    <w:rsid w:val="00E6162F"/>
    <w:rsid w:val="00E619F2"/>
    <w:rsid w:val="00E6311B"/>
    <w:rsid w:val="00E65D97"/>
    <w:rsid w:val="00E67EFD"/>
    <w:rsid w:val="00E702DC"/>
    <w:rsid w:val="00E70D67"/>
    <w:rsid w:val="00E71FFB"/>
    <w:rsid w:val="00E76D1D"/>
    <w:rsid w:val="00E806F8"/>
    <w:rsid w:val="00E825AC"/>
    <w:rsid w:val="00E87752"/>
    <w:rsid w:val="00E8793B"/>
    <w:rsid w:val="00E90F81"/>
    <w:rsid w:val="00E91A6D"/>
    <w:rsid w:val="00E9242D"/>
    <w:rsid w:val="00EA045B"/>
    <w:rsid w:val="00EB041C"/>
    <w:rsid w:val="00EB1323"/>
    <w:rsid w:val="00EC5874"/>
    <w:rsid w:val="00ED192D"/>
    <w:rsid w:val="00ED30B4"/>
    <w:rsid w:val="00ED31F5"/>
    <w:rsid w:val="00EE1CD7"/>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54E88"/>
    <w:rsid w:val="00F61097"/>
    <w:rsid w:val="00F74345"/>
    <w:rsid w:val="00F74441"/>
    <w:rsid w:val="00F77F30"/>
    <w:rsid w:val="00F82589"/>
    <w:rsid w:val="00F82B19"/>
    <w:rsid w:val="00F90AA7"/>
    <w:rsid w:val="00F9212D"/>
    <w:rsid w:val="00FA301A"/>
    <w:rsid w:val="00FA406A"/>
    <w:rsid w:val="00FA5375"/>
    <w:rsid w:val="00FA5CB6"/>
    <w:rsid w:val="00FB5E19"/>
    <w:rsid w:val="00FC478A"/>
    <w:rsid w:val="00FC4A71"/>
    <w:rsid w:val="00FC66AC"/>
    <w:rsid w:val="00FD18F4"/>
    <w:rsid w:val="00FD74B4"/>
    <w:rsid w:val="00FF406F"/>
    <w:rsid w:val="00FF6FCE"/>
    <w:rsid w:val="00FF7518"/>
    <w:rsid w:val="00FF7FD8"/>
    <w:rsid w:val="024E2C86"/>
    <w:rsid w:val="026B2BAD"/>
    <w:rsid w:val="027D7DB2"/>
    <w:rsid w:val="0296019F"/>
    <w:rsid w:val="02FE3DFB"/>
    <w:rsid w:val="037751EA"/>
    <w:rsid w:val="03AC5D9C"/>
    <w:rsid w:val="03D37045"/>
    <w:rsid w:val="04952D4C"/>
    <w:rsid w:val="04B35139"/>
    <w:rsid w:val="04DB5CF1"/>
    <w:rsid w:val="05742AC8"/>
    <w:rsid w:val="05897D2E"/>
    <w:rsid w:val="059C710E"/>
    <w:rsid w:val="06352F05"/>
    <w:rsid w:val="063E7D85"/>
    <w:rsid w:val="066A186F"/>
    <w:rsid w:val="06CA5EE3"/>
    <w:rsid w:val="06FF5EF8"/>
    <w:rsid w:val="070875E0"/>
    <w:rsid w:val="07293586"/>
    <w:rsid w:val="07295285"/>
    <w:rsid w:val="07382332"/>
    <w:rsid w:val="074923ED"/>
    <w:rsid w:val="07770C56"/>
    <w:rsid w:val="07A12047"/>
    <w:rsid w:val="07B37C1F"/>
    <w:rsid w:val="08045EB6"/>
    <w:rsid w:val="08B1511E"/>
    <w:rsid w:val="092217DD"/>
    <w:rsid w:val="093A7294"/>
    <w:rsid w:val="094C0A97"/>
    <w:rsid w:val="0AA74DF8"/>
    <w:rsid w:val="0AC34CBD"/>
    <w:rsid w:val="0AF0384C"/>
    <w:rsid w:val="0B2B77D7"/>
    <w:rsid w:val="0BD27BF6"/>
    <w:rsid w:val="0C4544F1"/>
    <w:rsid w:val="0C825B1D"/>
    <w:rsid w:val="0C9B7F52"/>
    <w:rsid w:val="0CDC1A4D"/>
    <w:rsid w:val="0D7C42F7"/>
    <w:rsid w:val="0E110D06"/>
    <w:rsid w:val="0E45696E"/>
    <w:rsid w:val="0F13775A"/>
    <w:rsid w:val="0F534F9D"/>
    <w:rsid w:val="0F9A112B"/>
    <w:rsid w:val="101C5562"/>
    <w:rsid w:val="10680237"/>
    <w:rsid w:val="106D2F64"/>
    <w:rsid w:val="10A315F1"/>
    <w:rsid w:val="10B63710"/>
    <w:rsid w:val="10DC2BD1"/>
    <w:rsid w:val="111C2F7A"/>
    <w:rsid w:val="113013DE"/>
    <w:rsid w:val="117E31DE"/>
    <w:rsid w:val="11A66326"/>
    <w:rsid w:val="11DF1608"/>
    <w:rsid w:val="122B06C2"/>
    <w:rsid w:val="13743783"/>
    <w:rsid w:val="13951726"/>
    <w:rsid w:val="13DA1DBA"/>
    <w:rsid w:val="14394520"/>
    <w:rsid w:val="14396509"/>
    <w:rsid w:val="1447165C"/>
    <w:rsid w:val="145B52A1"/>
    <w:rsid w:val="14863154"/>
    <w:rsid w:val="149E2578"/>
    <w:rsid w:val="16813E3E"/>
    <w:rsid w:val="16A91EF8"/>
    <w:rsid w:val="170E13D2"/>
    <w:rsid w:val="17735226"/>
    <w:rsid w:val="17801541"/>
    <w:rsid w:val="17A12EA7"/>
    <w:rsid w:val="182652CD"/>
    <w:rsid w:val="19B3076E"/>
    <w:rsid w:val="19D674A8"/>
    <w:rsid w:val="1A1C66C0"/>
    <w:rsid w:val="1A237537"/>
    <w:rsid w:val="1A42393B"/>
    <w:rsid w:val="1B046F80"/>
    <w:rsid w:val="1B323C3C"/>
    <w:rsid w:val="1B3267B5"/>
    <w:rsid w:val="1BC25DC8"/>
    <w:rsid w:val="1BD35591"/>
    <w:rsid w:val="1C463A48"/>
    <w:rsid w:val="1C5E7925"/>
    <w:rsid w:val="1C887FC8"/>
    <w:rsid w:val="1C986278"/>
    <w:rsid w:val="1D0E51AB"/>
    <w:rsid w:val="1D25708E"/>
    <w:rsid w:val="1D5F3944"/>
    <w:rsid w:val="1D5F6196"/>
    <w:rsid w:val="1D6132A5"/>
    <w:rsid w:val="1D7C366A"/>
    <w:rsid w:val="1D870E39"/>
    <w:rsid w:val="1D8E56D5"/>
    <w:rsid w:val="1E7A43DA"/>
    <w:rsid w:val="1E8F648C"/>
    <w:rsid w:val="1EA416D1"/>
    <w:rsid w:val="1EB277FE"/>
    <w:rsid w:val="1FE7539E"/>
    <w:rsid w:val="20963CB8"/>
    <w:rsid w:val="20A2191F"/>
    <w:rsid w:val="20B07FB6"/>
    <w:rsid w:val="20C611CB"/>
    <w:rsid w:val="20D321F9"/>
    <w:rsid w:val="213222B4"/>
    <w:rsid w:val="213432DC"/>
    <w:rsid w:val="213B74B1"/>
    <w:rsid w:val="215A2310"/>
    <w:rsid w:val="21DE1611"/>
    <w:rsid w:val="21DE318A"/>
    <w:rsid w:val="21EF5B80"/>
    <w:rsid w:val="22387DB1"/>
    <w:rsid w:val="22576990"/>
    <w:rsid w:val="226A3733"/>
    <w:rsid w:val="229C4EAB"/>
    <w:rsid w:val="239A254A"/>
    <w:rsid w:val="23A51CF9"/>
    <w:rsid w:val="23E47BDC"/>
    <w:rsid w:val="244B0A92"/>
    <w:rsid w:val="24EC3FC3"/>
    <w:rsid w:val="252D53FE"/>
    <w:rsid w:val="25EC2D81"/>
    <w:rsid w:val="263B4B5E"/>
    <w:rsid w:val="264528BD"/>
    <w:rsid w:val="27BE04B9"/>
    <w:rsid w:val="27C031C8"/>
    <w:rsid w:val="27D15DD1"/>
    <w:rsid w:val="27DB66E7"/>
    <w:rsid w:val="281863D2"/>
    <w:rsid w:val="28373807"/>
    <w:rsid w:val="283D1E3E"/>
    <w:rsid w:val="284407BC"/>
    <w:rsid w:val="2845126A"/>
    <w:rsid w:val="28A76295"/>
    <w:rsid w:val="28CF7245"/>
    <w:rsid w:val="29206EB8"/>
    <w:rsid w:val="29702DE9"/>
    <w:rsid w:val="29907FA9"/>
    <w:rsid w:val="29E325E0"/>
    <w:rsid w:val="2A1C2527"/>
    <w:rsid w:val="2A452503"/>
    <w:rsid w:val="2BA03472"/>
    <w:rsid w:val="2BA936A8"/>
    <w:rsid w:val="2BE35CF4"/>
    <w:rsid w:val="2C245E51"/>
    <w:rsid w:val="2C315A5A"/>
    <w:rsid w:val="2D9E56F5"/>
    <w:rsid w:val="2E2855AA"/>
    <w:rsid w:val="2E2F0F43"/>
    <w:rsid w:val="2E5B173E"/>
    <w:rsid w:val="2E667F96"/>
    <w:rsid w:val="2E8226AB"/>
    <w:rsid w:val="2EE31ED9"/>
    <w:rsid w:val="2EE338FA"/>
    <w:rsid w:val="2EEB534C"/>
    <w:rsid w:val="2F541D9E"/>
    <w:rsid w:val="2F832C79"/>
    <w:rsid w:val="2FAD1AC2"/>
    <w:rsid w:val="2FBA593F"/>
    <w:rsid w:val="2FEF2D58"/>
    <w:rsid w:val="300C2463"/>
    <w:rsid w:val="30580BC9"/>
    <w:rsid w:val="311E2ED7"/>
    <w:rsid w:val="314D6C31"/>
    <w:rsid w:val="315C449C"/>
    <w:rsid w:val="31B82709"/>
    <w:rsid w:val="32052A7B"/>
    <w:rsid w:val="32187363"/>
    <w:rsid w:val="32400B34"/>
    <w:rsid w:val="329E6876"/>
    <w:rsid w:val="329F3E58"/>
    <w:rsid w:val="32B14384"/>
    <w:rsid w:val="32DB26AC"/>
    <w:rsid w:val="333F0768"/>
    <w:rsid w:val="33D934D4"/>
    <w:rsid w:val="33FE2F6A"/>
    <w:rsid w:val="34353EFE"/>
    <w:rsid w:val="34384E81"/>
    <w:rsid w:val="34515C51"/>
    <w:rsid w:val="345E372B"/>
    <w:rsid w:val="34685C39"/>
    <w:rsid w:val="34804F72"/>
    <w:rsid w:val="34DB69B7"/>
    <w:rsid w:val="35394CBD"/>
    <w:rsid w:val="35DD70C4"/>
    <w:rsid w:val="36074A7F"/>
    <w:rsid w:val="36923549"/>
    <w:rsid w:val="36B34746"/>
    <w:rsid w:val="36B75FBF"/>
    <w:rsid w:val="36FB4891"/>
    <w:rsid w:val="3704465C"/>
    <w:rsid w:val="37916446"/>
    <w:rsid w:val="37C73706"/>
    <w:rsid w:val="381C21CB"/>
    <w:rsid w:val="386F0FA9"/>
    <w:rsid w:val="388F3B46"/>
    <w:rsid w:val="38B46705"/>
    <w:rsid w:val="38F12CD3"/>
    <w:rsid w:val="38F94775"/>
    <w:rsid w:val="392971ED"/>
    <w:rsid w:val="39591854"/>
    <w:rsid w:val="39D049CD"/>
    <w:rsid w:val="3A6D58CE"/>
    <w:rsid w:val="3AD13648"/>
    <w:rsid w:val="3B3763D1"/>
    <w:rsid w:val="3B5B33FC"/>
    <w:rsid w:val="3C080811"/>
    <w:rsid w:val="3CDA245A"/>
    <w:rsid w:val="3CEE0A37"/>
    <w:rsid w:val="3DBC57B5"/>
    <w:rsid w:val="3E6E451C"/>
    <w:rsid w:val="3E8F216C"/>
    <w:rsid w:val="3F3052DD"/>
    <w:rsid w:val="3F660E74"/>
    <w:rsid w:val="407A6407"/>
    <w:rsid w:val="40EB6629"/>
    <w:rsid w:val="423A3BCC"/>
    <w:rsid w:val="42CE66BF"/>
    <w:rsid w:val="431E7646"/>
    <w:rsid w:val="43272E85"/>
    <w:rsid w:val="433A6FE6"/>
    <w:rsid w:val="4350713C"/>
    <w:rsid w:val="435D03B6"/>
    <w:rsid w:val="436653E0"/>
    <w:rsid w:val="44CD14E0"/>
    <w:rsid w:val="44E65581"/>
    <w:rsid w:val="451370C0"/>
    <w:rsid w:val="45630747"/>
    <w:rsid w:val="458946E9"/>
    <w:rsid w:val="45A34DF4"/>
    <w:rsid w:val="462F22C0"/>
    <w:rsid w:val="46D955A7"/>
    <w:rsid w:val="47133957"/>
    <w:rsid w:val="4779329E"/>
    <w:rsid w:val="47A07E0C"/>
    <w:rsid w:val="47C920E7"/>
    <w:rsid w:val="48036D9F"/>
    <w:rsid w:val="4870272E"/>
    <w:rsid w:val="489139DE"/>
    <w:rsid w:val="48B22D24"/>
    <w:rsid w:val="48D14640"/>
    <w:rsid w:val="494C1975"/>
    <w:rsid w:val="497E5B05"/>
    <w:rsid w:val="49973CAE"/>
    <w:rsid w:val="49DC7715"/>
    <w:rsid w:val="4A023139"/>
    <w:rsid w:val="4A266DBF"/>
    <w:rsid w:val="4A7B576F"/>
    <w:rsid w:val="4A9241E5"/>
    <w:rsid w:val="4AA32568"/>
    <w:rsid w:val="4AAA17BF"/>
    <w:rsid w:val="4B344B67"/>
    <w:rsid w:val="4C047063"/>
    <w:rsid w:val="4C4A0649"/>
    <w:rsid w:val="4C543218"/>
    <w:rsid w:val="4CE470D3"/>
    <w:rsid w:val="4D100717"/>
    <w:rsid w:val="4DD07780"/>
    <w:rsid w:val="4DEC4FB0"/>
    <w:rsid w:val="4E075D8A"/>
    <w:rsid w:val="4EA52317"/>
    <w:rsid w:val="4EE63001"/>
    <w:rsid w:val="4FA9757A"/>
    <w:rsid w:val="4FC62A8C"/>
    <w:rsid w:val="4FE20F0D"/>
    <w:rsid w:val="50504C4B"/>
    <w:rsid w:val="509C6E7C"/>
    <w:rsid w:val="50AE6244"/>
    <w:rsid w:val="50C3182D"/>
    <w:rsid w:val="5162104E"/>
    <w:rsid w:val="51BB6A4D"/>
    <w:rsid w:val="51CF7B6D"/>
    <w:rsid w:val="526D16BB"/>
    <w:rsid w:val="53634CE1"/>
    <w:rsid w:val="53995FBB"/>
    <w:rsid w:val="53A039CC"/>
    <w:rsid w:val="53A1505A"/>
    <w:rsid w:val="53BC2700"/>
    <w:rsid w:val="53D12DAA"/>
    <w:rsid w:val="54063E08"/>
    <w:rsid w:val="543437E8"/>
    <w:rsid w:val="549F619D"/>
    <w:rsid w:val="559B174B"/>
    <w:rsid w:val="55C0121A"/>
    <w:rsid w:val="55CE0CF4"/>
    <w:rsid w:val="56663352"/>
    <w:rsid w:val="56A264D0"/>
    <w:rsid w:val="56B22A9C"/>
    <w:rsid w:val="56E95DA1"/>
    <w:rsid w:val="56FE3F39"/>
    <w:rsid w:val="578D3BD0"/>
    <w:rsid w:val="57B72A76"/>
    <w:rsid w:val="5800487B"/>
    <w:rsid w:val="58D66C97"/>
    <w:rsid w:val="59502440"/>
    <w:rsid w:val="5A3C747D"/>
    <w:rsid w:val="5ABE2233"/>
    <w:rsid w:val="5AC93DDC"/>
    <w:rsid w:val="5AF26CB1"/>
    <w:rsid w:val="5B276D18"/>
    <w:rsid w:val="5B440229"/>
    <w:rsid w:val="5B9D5450"/>
    <w:rsid w:val="5BDF5D95"/>
    <w:rsid w:val="5D2A121D"/>
    <w:rsid w:val="5D684331"/>
    <w:rsid w:val="5DF87A0F"/>
    <w:rsid w:val="5F032F2B"/>
    <w:rsid w:val="5F053010"/>
    <w:rsid w:val="5F1A2B43"/>
    <w:rsid w:val="5F966893"/>
    <w:rsid w:val="5FB837BB"/>
    <w:rsid w:val="5FD16066"/>
    <w:rsid w:val="60243198"/>
    <w:rsid w:val="608E59B3"/>
    <w:rsid w:val="610E5A6C"/>
    <w:rsid w:val="61690955"/>
    <w:rsid w:val="62364782"/>
    <w:rsid w:val="63203A75"/>
    <w:rsid w:val="63D40BE9"/>
    <w:rsid w:val="63E0211F"/>
    <w:rsid w:val="64963088"/>
    <w:rsid w:val="65373578"/>
    <w:rsid w:val="656B27C3"/>
    <w:rsid w:val="65FE3857"/>
    <w:rsid w:val="673F2C7A"/>
    <w:rsid w:val="67B850C4"/>
    <w:rsid w:val="681F6961"/>
    <w:rsid w:val="68610A2F"/>
    <w:rsid w:val="686B3E48"/>
    <w:rsid w:val="68805514"/>
    <w:rsid w:val="68DC2355"/>
    <w:rsid w:val="692D0426"/>
    <w:rsid w:val="694942A5"/>
    <w:rsid w:val="694E2071"/>
    <w:rsid w:val="696633CF"/>
    <w:rsid w:val="697A3B33"/>
    <w:rsid w:val="69961435"/>
    <w:rsid w:val="699E2456"/>
    <w:rsid w:val="69C62223"/>
    <w:rsid w:val="6AB93C00"/>
    <w:rsid w:val="6B1C22D4"/>
    <w:rsid w:val="6B322639"/>
    <w:rsid w:val="6B403A58"/>
    <w:rsid w:val="6B5B3763"/>
    <w:rsid w:val="6BBA0FC7"/>
    <w:rsid w:val="6C250955"/>
    <w:rsid w:val="6C636C38"/>
    <w:rsid w:val="6C6E6699"/>
    <w:rsid w:val="6DB34098"/>
    <w:rsid w:val="6DB545B6"/>
    <w:rsid w:val="6E4375A0"/>
    <w:rsid w:val="6E514CED"/>
    <w:rsid w:val="6E79491A"/>
    <w:rsid w:val="6EB563D5"/>
    <w:rsid w:val="6EE90FA0"/>
    <w:rsid w:val="6F225983"/>
    <w:rsid w:val="6F502086"/>
    <w:rsid w:val="6FA83C70"/>
    <w:rsid w:val="6FFC5590"/>
    <w:rsid w:val="701331C2"/>
    <w:rsid w:val="70227F50"/>
    <w:rsid w:val="70301DA3"/>
    <w:rsid w:val="706D1DD0"/>
    <w:rsid w:val="708148D3"/>
    <w:rsid w:val="70856B87"/>
    <w:rsid w:val="70D527EE"/>
    <w:rsid w:val="71197C0D"/>
    <w:rsid w:val="715B5300"/>
    <w:rsid w:val="715F4BD7"/>
    <w:rsid w:val="7183059D"/>
    <w:rsid w:val="71D27F8A"/>
    <w:rsid w:val="71F744C6"/>
    <w:rsid w:val="71F960CF"/>
    <w:rsid w:val="71FA54AC"/>
    <w:rsid w:val="723D6147"/>
    <w:rsid w:val="72B56205"/>
    <w:rsid w:val="731F5D5E"/>
    <w:rsid w:val="738803E5"/>
    <w:rsid w:val="741E793C"/>
    <w:rsid w:val="7523497E"/>
    <w:rsid w:val="757B026A"/>
    <w:rsid w:val="758D75E2"/>
    <w:rsid w:val="76844E6F"/>
    <w:rsid w:val="76D87530"/>
    <w:rsid w:val="77762421"/>
    <w:rsid w:val="77954B77"/>
    <w:rsid w:val="77A4645E"/>
    <w:rsid w:val="77BA6108"/>
    <w:rsid w:val="780F09F4"/>
    <w:rsid w:val="788568A0"/>
    <w:rsid w:val="789C4F47"/>
    <w:rsid w:val="78A53CFB"/>
    <w:rsid w:val="78A90480"/>
    <w:rsid w:val="792B6635"/>
    <w:rsid w:val="79811327"/>
    <w:rsid w:val="7A046D25"/>
    <w:rsid w:val="7A364017"/>
    <w:rsid w:val="7A4171C9"/>
    <w:rsid w:val="7A5415C6"/>
    <w:rsid w:val="7A5F7DDE"/>
    <w:rsid w:val="7A8265E1"/>
    <w:rsid w:val="7AC64AA5"/>
    <w:rsid w:val="7B151EB3"/>
    <w:rsid w:val="7B686D42"/>
    <w:rsid w:val="7B841746"/>
    <w:rsid w:val="7BF07C5C"/>
    <w:rsid w:val="7C1A2FC6"/>
    <w:rsid w:val="7C9F624A"/>
    <w:rsid w:val="7CE66D10"/>
    <w:rsid w:val="7D0239FF"/>
    <w:rsid w:val="7D5E40CD"/>
    <w:rsid w:val="7D693BED"/>
    <w:rsid w:val="7DFF406D"/>
    <w:rsid w:val="7E7C41A3"/>
    <w:rsid w:val="7F366856"/>
    <w:rsid w:val="7F3F706C"/>
    <w:rsid w:val="7FE41C9B"/>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nhideWhenUsed="0"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autoRedefine/>
    <w:qFormat/>
    <w:locked/>
    <w:uiPriority w:val="9"/>
    <w:pPr>
      <w:keepNext/>
      <w:numPr>
        <w:ilvl w:val="2"/>
        <w:numId w:val="1"/>
      </w:numPr>
      <w:jc w:val="left"/>
      <w:outlineLvl w:val="2"/>
    </w:pPr>
    <w:rPr>
      <w:b/>
      <w:sz w:val="28"/>
      <w:szCs w:val="28"/>
    </w:rPr>
  </w:style>
  <w:style w:type="paragraph" w:styleId="4">
    <w:name w:val="heading 4"/>
    <w:basedOn w:val="1"/>
    <w:next w:val="1"/>
    <w:autoRedefine/>
    <w:qFormat/>
    <w:locked/>
    <w:uiPriority w:val="0"/>
    <w:pPr>
      <w:keepNext/>
      <w:keepLines/>
      <w:outlineLvl w:val="3"/>
    </w:pPr>
    <w:rPr>
      <w:rFonts w:ascii="Cambria" w:hAnsi="Cambria"/>
      <w:b/>
      <w:bCs/>
      <w:sz w:val="28"/>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unhideWhenUsed/>
    <w:qFormat/>
    <w:uiPriority w:val="99"/>
    <w:pPr>
      <w:snapToGrid w:val="0"/>
      <w:spacing w:line="360" w:lineRule="auto"/>
      <w:ind w:firstLine="420" w:firstLineChars="200"/>
    </w:pPr>
    <w:rPr>
      <w:rFonts w:hAnsi="宋体"/>
      <w:kern w:val="0"/>
      <w:sz w:val="20"/>
      <w:szCs w:val="20"/>
    </w:rPr>
  </w:style>
  <w:style w:type="paragraph" w:customStyle="1" w:styleId="6">
    <w:name w:val="样式 正文文本 + 首行缩进:  2 字符"/>
    <w:basedOn w:val="7"/>
    <w:next w:val="1"/>
    <w:qFormat/>
    <w:uiPriority w:val="99"/>
    <w:pPr>
      <w:spacing w:after="200" w:line="480" w:lineRule="exact"/>
      <w:ind w:firstLine="480" w:firstLineChars="200"/>
    </w:pPr>
    <w:rPr>
      <w:rFonts w:eastAsia="微软雅黑"/>
      <w:szCs w:val="22"/>
    </w:rPr>
  </w:style>
  <w:style w:type="paragraph" w:styleId="7">
    <w:name w:val="Body Text"/>
    <w:basedOn w:val="1"/>
    <w:next w:val="8"/>
    <w:link w:val="34"/>
    <w:autoRedefine/>
    <w:qFormat/>
    <w:uiPriority w:val="0"/>
    <w:pPr>
      <w:widowControl/>
      <w:snapToGrid w:val="0"/>
      <w:spacing w:before="60" w:after="160" w:line="259" w:lineRule="auto"/>
      <w:ind w:right="113"/>
    </w:pPr>
    <w:rPr>
      <w:kern w:val="0"/>
      <w:sz w:val="18"/>
      <w:szCs w:val="18"/>
    </w:rPr>
  </w:style>
  <w:style w:type="paragraph" w:customStyle="1" w:styleId="8">
    <w:name w:val="style4"/>
    <w:basedOn w:val="1"/>
    <w:next w:val="9"/>
    <w:autoRedefine/>
    <w:qFormat/>
    <w:uiPriority w:val="0"/>
    <w:pPr>
      <w:widowControl/>
      <w:spacing w:before="280" w:after="280"/>
    </w:pPr>
    <w:rPr>
      <w:rFonts w:ascii="宋体"/>
      <w:sz w:val="18"/>
    </w:rPr>
  </w:style>
  <w:style w:type="paragraph" w:customStyle="1" w:styleId="9">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10">
    <w:name w:val="annotation text"/>
    <w:basedOn w:val="1"/>
    <w:link w:val="33"/>
    <w:autoRedefine/>
    <w:semiHidden/>
    <w:qFormat/>
    <w:uiPriority w:val="0"/>
    <w:pPr>
      <w:jc w:val="left"/>
    </w:pPr>
    <w:rPr>
      <w:kern w:val="0"/>
      <w:sz w:val="20"/>
    </w:rPr>
  </w:style>
  <w:style w:type="paragraph" w:styleId="11">
    <w:name w:val="Body Text Indent"/>
    <w:basedOn w:val="1"/>
    <w:link w:val="35"/>
    <w:autoRedefine/>
    <w:semiHidden/>
    <w:qFormat/>
    <w:uiPriority w:val="0"/>
    <w:pPr>
      <w:spacing w:after="120"/>
      <w:ind w:left="420" w:leftChars="200"/>
    </w:pPr>
  </w:style>
  <w:style w:type="paragraph" w:styleId="12">
    <w:name w:val="Plain Text"/>
    <w:basedOn w:val="1"/>
    <w:link w:val="36"/>
    <w:autoRedefine/>
    <w:qFormat/>
    <w:uiPriority w:val="0"/>
    <w:rPr>
      <w:rFonts w:ascii="宋体" w:hAnsi="Courier New"/>
      <w:sz w:val="28"/>
    </w:rPr>
  </w:style>
  <w:style w:type="paragraph" w:styleId="13">
    <w:name w:val="Date"/>
    <w:basedOn w:val="1"/>
    <w:next w:val="1"/>
    <w:link w:val="37"/>
    <w:autoRedefine/>
    <w:qFormat/>
    <w:uiPriority w:val="0"/>
    <w:pPr>
      <w:ind w:left="100" w:leftChars="2500"/>
    </w:pPr>
    <w:rPr>
      <w:kern w:val="0"/>
      <w:sz w:val="20"/>
    </w:rPr>
  </w:style>
  <w:style w:type="paragraph" w:styleId="14">
    <w:name w:val="Balloon Text"/>
    <w:basedOn w:val="1"/>
    <w:link w:val="38"/>
    <w:autoRedefine/>
    <w:semiHidden/>
    <w:qFormat/>
    <w:uiPriority w:val="0"/>
    <w:rPr>
      <w:sz w:val="18"/>
      <w:szCs w:val="18"/>
    </w:rPr>
  </w:style>
  <w:style w:type="paragraph" w:styleId="15">
    <w:name w:val="footer"/>
    <w:basedOn w:val="1"/>
    <w:link w:val="39"/>
    <w:autoRedefine/>
    <w:qFormat/>
    <w:uiPriority w:val="0"/>
    <w:pPr>
      <w:tabs>
        <w:tab w:val="center" w:pos="4153"/>
        <w:tab w:val="right" w:pos="8306"/>
      </w:tabs>
      <w:snapToGrid w:val="0"/>
      <w:jc w:val="left"/>
    </w:pPr>
    <w:rPr>
      <w:sz w:val="18"/>
      <w:szCs w:val="18"/>
    </w:rPr>
  </w:style>
  <w:style w:type="paragraph" w:styleId="16">
    <w:name w:val="header"/>
    <w:basedOn w:val="1"/>
    <w:link w:val="40"/>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List"/>
    <w:basedOn w:val="1"/>
    <w:autoRedefine/>
    <w:qFormat/>
    <w:uiPriority w:val="0"/>
    <w:pPr>
      <w:ind w:left="200" w:hanging="200" w:hangingChars="200"/>
      <w:contextualSpacing/>
    </w:pPr>
    <w:rPr>
      <w:kern w:val="0"/>
    </w:rPr>
  </w:style>
  <w:style w:type="paragraph" w:styleId="18">
    <w:name w:val="toc 2"/>
    <w:basedOn w:val="1"/>
    <w:next w:val="1"/>
    <w:autoRedefine/>
    <w:qFormat/>
    <w:locked/>
    <w:uiPriority w:val="0"/>
    <w:pPr>
      <w:ind w:left="420" w:leftChars="200"/>
    </w:pPr>
  </w:style>
  <w:style w:type="paragraph" w:styleId="19">
    <w:name w:val="Body Text 2"/>
    <w:basedOn w:val="1"/>
    <w:autoRedefine/>
    <w:qFormat/>
    <w:uiPriority w:val="0"/>
    <w:pPr>
      <w:spacing w:after="120" w:line="480" w:lineRule="auto"/>
    </w:pPr>
  </w:style>
  <w:style w:type="paragraph" w:styleId="20">
    <w:name w:val="Normal (Web)"/>
    <w:basedOn w:val="1"/>
    <w:link w:val="41"/>
    <w:autoRedefine/>
    <w:qFormat/>
    <w:uiPriority w:val="0"/>
    <w:pPr>
      <w:widowControl/>
      <w:spacing w:before="100" w:beforeAutospacing="1" w:after="100" w:afterAutospacing="1"/>
      <w:jc w:val="left"/>
    </w:pPr>
    <w:rPr>
      <w:rFonts w:ascii="宋体" w:hAnsi="宋体"/>
      <w:kern w:val="0"/>
      <w:sz w:val="24"/>
    </w:rPr>
  </w:style>
  <w:style w:type="paragraph" w:styleId="21">
    <w:name w:val="annotation subject"/>
    <w:basedOn w:val="10"/>
    <w:next w:val="10"/>
    <w:link w:val="42"/>
    <w:autoRedefine/>
    <w:semiHidden/>
    <w:qFormat/>
    <w:uiPriority w:val="0"/>
    <w:rPr>
      <w:b/>
      <w:bCs/>
    </w:rPr>
  </w:style>
  <w:style w:type="paragraph" w:styleId="22">
    <w:name w:val="Body Text First Indent 2"/>
    <w:basedOn w:val="11"/>
    <w:next w:val="1"/>
    <w:autoRedefine/>
    <w:qFormat/>
    <w:uiPriority w:val="0"/>
    <w:pPr>
      <w:ind w:left="0" w:leftChars="0" w:firstLine="420"/>
    </w:pPr>
  </w:style>
  <w:style w:type="table" w:styleId="24">
    <w:name w:val="Table Grid"/>
    <w:basedOn w:val="23"/>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autoRedefine/>
    <w:qFormat/>
    <w:uiPriority w:val="0"/>
  </w:style>
  <w:style w:type="character" w:styleId="27">
    <w:name w:val="Emphasis"/>
    <w:autoRedefine/>
    <w:qFormat/>
    <w:locked/>
    <w:uiPriority w:val="0"/>
    <w:rPr>
      <w:rFonts w:cs="Times New Roman"/>
      <w:b/>
      <w:sz w:val="21"/>
    </w:rPr>
  </w:style>
  <w:style w:type="character" w:styleId="28">
    <w:name w:val="Hyperlink"/>
    <w:autoRedefine/>
    <w:qFormat/>
    <w:uiPriority w:val="0"/>
    <w:rPr>
      <w:color w:val="0000FF"/>
      <w:u w:val="single"/>
    </w:rPr>
  </w:style>
  <w:style w:type="character" w:styleId="29">
    <w:name w:val="annotation reference"/>
    <w:basedOn w:val="25"/>
    <w:autoRedefine/>
    <w:semiHidden/>
    <w:qFormat/>
    <w:uiPriority w:val="0"/>
    <w:rPr>
      <w:sz w:val="21"/>
    </w:rPr>
  </w:style>
  <w:style w:type="paragraph" w:customStyle="1" w:styleId="30">
    <w:name w:val="样式 样式 样式 四号 左侧:  1.53 厘米 + 首行缩进:  2 字符 + 居中 左侧:  2 字符 首行缩进:  2..."/>
    <w:basedOn w:val="31"/>
    <w:autoRedefine/>
    <w:qFormat/>
    <w:uiPriority w:val="99"/>
    <w:pPr>
      <w:jc w:val="center"/>
    </w:pPr>
  </w:style>
  <w:style w:type="paragraph" w:customStyle="1" w:styleId="31">
    <w:name w:val="样式 样式 四号 左侧:  1.53 厘米 + 首行缩进:  2 字符"/>
    <w:basedOn w:val="32"/>
    <w:autoRedefine/>
    <w:qFormat/>
    <w:uiPriority w:val="99"/>
    <w:pPr>
      <w:ind w:left="200" w:leftChars="200"/>
    </w:pPr>
    <w:rPr>
      <w:szCs w:val="20"/>
    </w:rPr>
  </w:style>
  <w:style w:type="paragraph" w:customStyle="1" w:styleId="32">
    <w:name w:val="样式 四号 左侧:  1.53 厘米"/>
    <w:basedOn w:val="1"/>
    <w:autoRedefine/>
    <w:qFormat/>
    <w:uiPriority w:val="99"/>
    <w:pPr>
      <w:adjustRightInd w:val="0"/>
    </w:pPr>
    <w:rPr>
      <w:w w:val="90"/>
      <w:sz w:val="28"/>
      <w:szCs w:val="28"/>
    </w:rPr>
  </w:style>
  <w:style w:type="character" w:customStyle="1" w:styleId="33">
    <w:name w:val="批注文字 字符"/>
    <w:link w:val="10"/>
    <w:autoRedefine/>
    <w:qFormat/>
    <w:locked/>
    <w:uiPriority w:val="0"/>
    <w:rPr>
      <w:rFonts w:ascii="Times New Roman" w:hAnsi="Times New Roman" w:eastAsia="宋体"/>
      <w:sz w:val="24"/>
    </w:rPr>
  </w:style>
  <w:style w:type="character" w:customStyle="1" w:styleId="34">
    <w:name w:val="正文文本 字符"/>
    <w:link w:val="7"/>
    <w:autoRedefine/>
    <w:qFormat/>
    <w:locked/>
    <w:uiPriority w:val="0"/>
    <w:rPr>
      <w:sz w:val="18"/>
    </w:rPr>
  </w:style>
  <w:style w:type="character" w:customStyle="1" w:styleId="35">
    <w:name w:val="正文文本缩进 字符"/>
    <w:link w:val="11"/>
    <w:autoRedefine/>
    <w:semiHidden/>
    <w:qFormat/>
    <w:locked/>
    <w:uiPriority w:val="0"/>
    <w:rPr>
      <w:rFonts w:ascii="Times New Roman" w:hAnsi="Times New Roman" w:eastAsia="宋体" w:cs="Times New Roman"/>
      <w:sz w:val="24"/>
      <w:szCs w:val="24"/>
    </w:rPr>
  </w:style>
  <w:style w:type="character" w:customStyle="1" w:styleId="36">
    <w:name w:val="纯文本 字符"/>
    <w:link w:val="12"/>
    <w:autoRedefine/>
    <w:qFormat/>
    <w:uiPriority w:val="0"/>
    <w:rPr>
      <w:rFonts w:ascii="宋体" w:hAnsi="Courier New"/>
      <w:kern w:val="2"/>
      <w:sz w:val="28"/>
      <w:szCs w:val="24"/>
    </w:rPr>
  </w:style>
  <w:style w:type="character" w:customStyle="1" w:styleId="37">
    <w:name w:val="日期 字符1"/>
    <w:link w:val="13"/>
    <w:autoRedefine/>
    <w:qFormat/>
    <w:locked/>
    <w:uiPriority w:val="0"/>
    <w:rPr>
      <w:rFonts w:ascii="Times New Roman" w:hAnsi="Times New Roman" w:eastAsia="宋体"/>
      <w:sz w:val="24"/>
    </w:rPr>
  </w:style>
  <w:style w:type="character" w:customStyle="1" w:styleId="38">
    <w:name w:val="批注框文本 字符"/>
    <w:link w:val="14"/>
    <w:autoRedefine/>
    <w:semiHidden/>
    <w:qFormat/>
    <w:locked/>
    <w:uiPriority w:val="0"/>
    <w:rPr>
      <w:rFonts w:ascii="Times New Roman" w:hAnsi="Times New Roman" w:eastAsia="宋体" w:cs="Times New Roman"/>
      <w:sz w:val="18"/>
      <w:szCs w:val="18"/>
    </w:rPr>
  </w:style>
  <w:style w:type="character" w:customStyle="1" w:styleId="39">
    <w:name w:val="页脚 字符"/>
    <w:link w:val="15"/>
    <w:autoRedefine/>
    <w:qFormat/>
    <w:locked/>
    <w:uiPriority w:val="0"/>
    <w:rPr>
      <w:rFonts w:cs="Times New Roman"/>
      <w:sz w:val="18"/>
      <w:szCs w:val="18"/>
    </w:rPr>
  </w:style>
  <w:style w:type="character" w:customStyle="1" w:styleId="40">
    <w:name w:val="页眉 字符"/>
    <w:link w:val="16"/>
    <w:autoRedefine/>
    <w:qFormat/>
    <w:locked/>
    <w:uiPriority w:val="0"/>
    <w:rPr>
      <w:rFonts w:cs="Times New Roman"/>
      <w:sz w:val="18"/>
      <w:szCs w:val="18"/>
    </w:rPr>
  </w:style>
  <w:style w:type="character" w:customStyle="1" w:styleId="41">
    <w:name w:val="普通(网站) 字符"/>
    <w:link w:val="20"/>
    <w:autoRedefine/>
    <w:qFormat/>
    <w:locked/>
    <w:uiPriority w:val="0"/>
    <w:rPr>
      <w:rFonts w:ascii="宋体" w:hAnsi="宋体" w:eastAsia="宋体"/>
      <w:sz w:val="24"/>
    </w:rPr>
  </w:style>
  <w:style w:type="character" w:customStyle="1" w:styleId="42">
    <w:name w:val="批注主题 字符"/>
    <w:link w:val="21"/>
    <w:autoRedefine/>
    <w:semiHidden/>
    <w:qFormat/>
    <w:locked/>
    <w:uiPriority w:val="0"/>
    <w:rPr>
      <w:rFonts w:ascii="Times New Roman" w:hAnsi="Times New Roman" w:eastAsia="宋体" w:cs="Times New Roman"/>
      <w:b/>
      <w:bCs/>
      <w:kern w:val="2"/>
      <w:sz w:val="24"/>
      <w:szCs w:val="24"/>
    </w:rPr>
  </w:style>
  <w:style w:type="paragraph" w:customStyle="1" w:styleId="43">
    <w:name w:val="Default"/>
    <w:basedOn w:val="44"/>
    <w:next w:val="1"/>
    <w:autoRedefine/>
    <w:qFormat/>
    <w:uiPriority w:val="0"/>
    <w:pPr>
      <w:adjustRightInd w:val="0"/>
    </w:pPr>
    <w:rPr>
      <w:rFonts w:ascii="宋体" w:cs="宋体"/>
      <w:color w:val="000000"/>
      <w:sz w:val="24"/>
      <w:lang w:val="en-US"/>
    </w:rPr>
  </w:style>
  <w:style w:type="paragraph" w:customStyle="1" w:styleId="44">
    <w:name w:val="文本"/>
    <w:basedOn w:val="1"/>
    <w:next w:val="1"/>
    <w:autoRedefine/>
    <w:qFormat/>
    <w:uiPriority w:val="0"/>
    <w:pPr>
      <w:autoSpaceDE w:val="0"/>
      <w:autoSpaceDN w:val="0"/>
      <w:ind w:firstLine="480"/>
    </w:pPr>
    <w:rPr>
      <w:lang w:val="zh-CN"/>
    </w:rPr>
  </w:style>
  <w:style w:type="paragraph" w:customStyle="1" w:styleId="45">
    <w:name w:val="样式1"/>
    <w:next w:val="1"/>
    <w:autoRedefine/>
    <w:qFormat/>
    <w:uiPriority w:val="0"/>
    <w:pPr>
      <w:widowControl w:val="0"/>
      <w:snapToGrid w:val="0"/>
      <w:jc w:val="center"/>
    </w:pPr>
    <w:rPr>
      <w:rFonts w:ascii="宋体" w:hAnsi="Arial" w:eastAsia="宋体" w:cs="Times New Roman"/>
      <w:b/>
      <w:bCs/>
      <w:kern w:val="2"/>
      <w:sz w:val="21"/>
      <w:lang w:val="en-US" w:eastAsia="zh-CN" w:bidi="ar-SA"/>
    </w:rPr>
  </w:style>
  <w:style w:type="character" w:customStyle="1" w:styleId="46">
    <w:name w:val="日期 字符"/>
    <w:autoRedefine/>
    <w:semiHidden/>
    <w:qFormat/>
    <w:uiPriority w:val="0"/>
    <w:rPr>
      <w:rFonts w:ascii="Times New Roman" w:hAnsi="Times New Roman" w:eastAsia="宋体" w:cs="Times New Roman"/>
      <w:sz w:val="24"/>
      <w:szCs w:val="24"/>
    </w:rPr>
  </w:style>
  <w:style w:type="character" w:customStyle="1" w:styleId="47">
    <w:name w:val="正文文本 字符1"/>
    <w:autoRedefine/>
    <w:semiHidden/>
    <w:qFormat/>
    <w:uiPriority w:val="0"/>
    <w:rPr>
      <w:rFonts w:ascii="Times New Roman" w:hAnsi="Times New Roman" w:eastAsia="宋体" w:cs="Times New Roman"/>
      <w:sz w:val="24"/>
      <w:szCs w:val="24"/>
    </w:rPr>
  </w:style>
  <w:style w:type="paragraph" w:customStyle="1" w:styleId="48">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49">
    <w:name w:val="表格 Char"/>
    <w:link w:val="50"/>
    <w:autoRedefine/>
    <w:qFormat/>
    <w:locked/>
    <w:uiPriority w:val="0"/>
    <w:rPr>
      <w:rFonts w:ascii="宋体"/>
      <w:sz w:val="21"/>
    </w:rPr>
  </w:style>
  <w:style w:type="paragraph" w:customStyle="1" w:styleId="50">
    <w:name w:val="表格"/>
    <w:basedOn w:val="1"/>
    <w:next w:val="1"/>
    <w:link w:val="49"/>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51">
    <w:name w:val="批注文字 字符1"/>
    <w:autoRedefine/>
    <w:semiHidden/>
    <w:qFormat/>
    <w:uiPriority w:val="0"/>
    <w:rPr>
      <w:rFonts w:ascii="Times New Roman" w:hAnsi="Times New Roman" w:eastAsia="宋体" w:cs="Times New Roman"/>
      <w:sz w:val="24"/>
      <w:szCs w:val="24"/>
    </w:rPr>
  </w:style>
  <w:style w:type="character" w:customStyle="1" w:styleId="52">
    <w:name w:val="普通(网站) Char"/>
    <w:autoRedefine/>
    <w:qFormat/>
    <w:locked/>
    <w:uiPriority w:val="0"/>
    <w:rPr>
      <w:rFonts w:ascii="宋体" w:hAnsi="宋体" w:eastAsia="宋体"/>
      <w:sz w:val="24"/>
    </w:rPr>
  </w:style>
  <w:style w:type="paragraph" w:customStyle="1" w:styleId="53">
    <w:name w:val="+正文"/>
    <w:basedOn w:val="1"/>
    <w:autoRedefine/>
    <w:qFormat/>
    <w:uiPriority w:val="0"/>
    <w:pPr>
      <w:spacing w:line="360" w:lineRule="auto"/>
    </w:pPr>
    <w:rPr>
      <w:rFonts w:ascii="Calibri" w:hAnsi="Calibri"/>
      <w:sz w:val="28"/>
      <w:szCs w:val="28"/>
    </w:rPr>
  </w:style>
  <w:style w:type="paragraph" w:customStyle="1" w:styleId="54">
    <w:name w:val="常用"/>
    <w:basedOn w:val="1"/>
    <w:autoRedefine/>
    <w:qFormat/>
    <w:uiPriority w:val="0"/>
    <w:pPr>
      <w:spacing w:line="360" w:lineRule="auto"/>
      <w:ind w:firstLine="420"/>
      <w:jc w:val="left"/>
    </w:pPr>
    <w:rPr>
      <w:rFonts w:ascii="Calibri" w:hAnsi="Calibri"/>
      <w:szCs w:val="21"/>
    </w:rPr>
  </w:style>
  <w:style w:type="paragraph" w:customStyle="1" w:styleId="55">
    <w:name w:val="列出段落1"/>
    <w:basedOn w:val="1"/>
    <w:autoRedefine/>
    <w:qFormat/>
    <w:uiPriority w:val="99"/>
    <w:pPr>
      <w:snapToGrid w:val="0"/>
      <w:spacing w:line="360" w:lineRule="auto"/>
      <w:ind w:firstLine="420" w:firstLineChars="200"/>
    </w:pPr>
    <w:rPr>
      <w:kern w:val="0"/>
      <w:sz w:val="24"/>
      <w:szCs w:val="20"/>
    </w:rPr>
  </w:style>
  <w:style w:type="character" w:customStyle="1" w:styleId="56">
    <w:name w:val="书表格内 Char"/>
    <w:link w:val="57"/>
    <w:autoRedefine/>
    <w:qFormat/>
    <w:locked/>
    <w:uiPriority w:val="0"/>
    <w:rPr>
      <w:rFonts w:ascii="宋体"/>
      <w:kern w:val="2"/>
      <w:sz w:val="21"/>
    </w:rPr>
  </w:style>
  <w:style w:type="paragraph" w:customStyle="1" w:styleId="57">
    <w:name w:val="书表格内"/>
    <w:basedOn w:val="1"/>
    <w:link w:val="56"/>
    <w:autoRedefine/>
    <w:qFormat/>
    <w:uiPriority w:val="0"/>
    <w:pPr>
      <w:framePr w:hSpace="180" w:wrap="around" w:vAnchor="text" w:hAnchor="text" w:xAlign="center" w:y="1"/>
      <w:snapToGrid w:val="0"/>
      <w:spacing w:line="240" w:lineRule="exact"/>
      <w:jc w:val="center"/>
    </w:pPr>
    <w:rPr>
      <w:rFonts w:ascii="宋体"/>
      <w:szCs w:val="20"/>
    </w:rPr>
  </w:style>
  <w:style w:type="character" w:customStyle="1" w:styleId="58">
    <w:name w:val="font41"/>
    <w:autoRedefine/>
    <w:qFormat/>
    <w:uiPriority w:val="0"/>
    <w:rPr>
      <w:rFonts w:hint="default" w:ascii="Times New Roman" w:hAnsi="Times New Roman" w:cs="Times New Roman"/>
      <w:b/>
      <w:color w:val="000000"/>
      <w:sz w:val="21"/>
      <w:szCs w:val="21"/>
      <w:u w:val="none"/>
      <w:vertAlign w:val="subscript"/>
    </w:rPr>
  </w:style>
  <w:style w:type="paragraph" w:customStyle="1" w:styleId="59">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60">
    <w:name w:val="dr正文"/>
    <w:basedOn w:val="1"/>
    <w:autoRedefine/>
    <w:qFormat/>
    <w:uiPriority w:val="0"/>
    <w:pPr>
      <w:widowControl/>
      <w:spacing w:line="400" w:lineRule="exact"/>
      <w:ind w:firstLine="480" w:firstLineChars="200"/>
    </w:pPr>
    <w:rPr>
      <w:sz w:val="24"/>
    </w:rPr>
  </w:style>
  <w:style w:type="paragraph" w:customStyle="1" w:styleId="61">
    <w:name w:val="样式5"/>
    <w:basedOn w:val="62"/>
    <w:autoRedefine/>
    <w:qFormat/>
    <w:uiPriority w:val="0"/>
    <w:pPr>
      <w:keepNext/>
      <w:jc w:val="left"/>
      <w:outlineLvl w:val="0"/>
    </w:pPr>
    <w:rPr>
      <w:rFonts w:ascii="黑体" w:hAnsi="黑体"/>
      <w:spacing w:val="5"/>
      <w:sz w:val="25"/>
      <w:szCs w:val="25"/>
    </w:rPr>
  </w:style>
  <w:style w:type="paragraph" w:customStyle="1" w:styleId="62">
    <w:name w:val="正文1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63">
    <w:name w:val="g正文"/>
    <w:basedOn w:val="1"/>
    <w:autoRedefine/>
    <w:qFormat/>
    <w:uiPriority w:val="0"/>
    <w:pPr>
      <w:spacing w:line="360" w:lineRule="auto"/>
      <w:ind w:firstLine="420" w:firstLineChars="200"/>
    </w:pPr>
    <w:rPr>
      <w:sz w:val="24"/>
    </w:rPr>
  </w:style>
  <w:style w:type="paragraph" w:customStyle="1" w:styleId="64">
    <w:name w:val="韩奇"/>
    <w:basedOn w:val="1"/>
    <w:autoRedefine/>
    <w:qFormat/>
    <w:uiPriority w:val="0"/>
    <w:pPr>
      <w:spacing w:line="500" w:lineRule="exact"/>
      <w:ind w:firstLine="200" w:firstLineChars="200"/>
    </w:pPr>
    <w:rPr>
      <w:rFonts w:eastAsia="楷体_GB2312"/>
      <w:sz w:val="28"/>
    </w:rPr>
  </w:style>
  <w:style w:type="paragraph" w:customStyle="1" w:styleId="65">
    <w:name w:val="表格内容"/>
    <w:basedOn w:val="66"/>
    <w:next w:val="1"/>
    <w:autoRedefine/>
    <w:qFormat/>
    <w:uiPriority w:val="0"/>
    <w:pPr>
      <w:jc w:val="center"/>
    </w:pPr>
    <w:rPr>
      <w:kern w:val="44"/>
    </w:rPr>
  </w:style>
  <w:style w:type="paragraph" w:customStyle="1" w:styleId="66">
    <w:name w:val="段落"/>
    <w:basedOn w:val="1"/>
    <w:autoRedefine/>
    <w:qFormat/>
    <w:uiPriority w:val="0"/>
    <w:pPr>
      <w:snapToGrid w:val="0"/>
      <w:spacing w:line="280" w:lineRule="exact"/>
    </w:pPr>
    <w:rPr>
      <w:sz w:val="18"/>
    </w:rPr>
  </w:style>
  <w:style w:type="paragraph" w:customStyle="1" w:styleId="67">
    <w:name w:val="段落1 Char"/>
    <w:basedOn w:val="1"/>
    <w:autoRedefine/>
    <w:qFormat/>
    <w:uiPriority w:val="0"/>
    <w:pPr>
      <w:spacing w:line="440" w:lineRule="exact"/>
      <w:ind w:firstLine="480" w:firstLineChars="200"/>
    </w:pPr>
    <w:rPr>
      <w:rFonts w:eastAsia="楷体_GB2312"/>
      <w:spacing w:val="8"/>
      <w:sz w:val="24"/>
    </w:rPr>
  </w:style>
  <w:style w:type="paragraph" w:customStyle="1" w:styleId="68">
    <w:name w:val="g表格标题"/>
    <w:autoRedefine/>
    <w:qFormat/>
    <w:uiPriority w:val="0"/>
    <w:pPr>
      <w:spacing w:line="360" w:lineRule="auto"/>
      <w:jc w:val="center"/>
    </w:pPr>
    <w:rPr>
      <w:rFonts w:ascii="Times New Roman" w:hAnsi="Times New Roman" w:eastAsia="宋体" w:cs="Times New Roman"/>
      <w:b/>
      <w:kern w:val="2"/>
      <w:sz w:val="24"/>
      <w:szCs w:val="24"/>
      <w:lang w:val="en-US" w:eastAsia="zh-CN" w:bidi="ar-SA"/>
    </w:rPr>
  </w:style>
  <w:style w:type="table" w:customStyle="1" w:styleId="69">
    <w:name w:val="Table Normal"/>
    <w:autoRedefine/>
    <w:unhideWhenUsed/>
    <w:qFormat/>
    <w:uiPriority w:val="0"/>
    <w:tblPr>
      <w:tblCellMar>
        <w:top w:w="0" w:type="dxa"/>
        <w:left w:w="0" w:type="dxa"/>
        <w:bottom w:w="0" w:type="dxa"/>
        <w:right w:w="0" w:type="dxa"/>
      </w:tblCellMar>
    </w:tblPr>
  </w:style>
  <w:style w:type="paragraph" w:customStyle="1" w:styleId="70">
    <w:name w:val="Char Char Char Char"/>
    <w:basedOn w:val="1"/>
    <w:autoRedefine/>
    <w:qFormat/>
    <w:uiPriority w:val="0"/>
  </w:style>
  <w:style w:type="paragraph" w:customStyle="1" w:styleId="71">
    <w:name w:val="内容"/>
    <w:basedOn w:val="7"/>
    <w:next w:val="1"/>
    <w:autoRedefine/>
    <w:qFormat/>
    <w:uiPriority w:val="0"/>
    <w:pPr>
      <w:spacing w:after="0" w:line="408" w:lineRule="auto"/>
      <w:ind w:firstLine="200"/>
    </w:pPr>
    <w:rPr>
      <w:rFonts w:ascii="宋体" w:cs="MS Gothic"/>
      <w:szCs w:val="21"/>
    </w:rPr>
  </w:style>
  <w:style w:type="paragraph" w:customStyle="1" w:styleId="72">
    <w:name w:val="表"/>
    <w:basedOn w:val="73"/>
    <w:next w:val="1"/>
    <w:autoRedefine/>
    <w:qFormat/>
    <w:uiPriority w:val="0"/>
    <w:pPr>
      <w:spacing w:line="288" w:lineRule="auto"/>
    </w:pPr>
    <w:rPr>
      <w:szCs w:val="21"/>
    </w:rPr>
  </w:style>
  <w:style w:type="paragraph" w:customStyle="1" w:styleId="73">
    <w:name w:val="图"/>
    <w:basedOn w:val="1"/>
    <w:autoRedefine/>
    <w:qFormat/>
    <w:uiPriority w:val="0"/>
    <w:pPr>
      <w:jc w:val="center"/>
    </w:pPr>
  </w:style>
  <w:style w:type="paragraph" w:customStyle="1" w:styleId="74">
    <w:name w:val="样式 宋体 小四 左 行距: 1.5 倍行距"/>
    <w:basedOn w:val="1"/>
    <w:autoRedefine/>
    <w:qFormat/>
    <w:uiPriority w:val="0"/>
    <w:pPr>
      <w:autoSpaceDE w:val="0"/>
      <w:autoSpaceDN w:val="0"/>
      <w:adjustRightInd w:val="0"/>
      <w:spacing w:line="408" w:lineRule="auto"/>
      <w:ind w:firstLine="480" w:firstLineChars="200"/>
    </w:pPr>
    <w:rPr>
      <w:rFonts w:ascii="宋体" w:hAnsi="宋体"/>
    </w:rPr>
  </w:style>
  <w:style w:type="paragraph" w:customStyle="1" w:styleId="75">
    <w:name w:val="正"/>
    <w:basedOn w:val="1"/>
    <w:autoRedefine/>
    <w:qFormat/>
    <w:uiPriority w:val="0"/>
    <w:pPr>
      <w:spacing w:line="440" w:lineRule="exact"/>
      <w:ind w:left="210" w:leftChars="100" w:right="210" w:rightChars="100" w:firstLine="480" w:firstLineChars="200"/>
    </w:pPr>
  </w:style>
  <w:style w:type="paragraph" w:customStyle="1" w:styleId="76">
    <w:name w:val="潮河正文"/>
    <w:basedOn w:val="1"/>
    <w:autoRedefine/>
    <w:qFormat/>
    <w:uiPriority w:val="99"/>
    <w:pPr>
      <w:ind w:firstLine="454"/>
    </w:pPr>
    <w:rPr>
      <w:rFonts w:ascii="宋体" w:hAnsi="宋体"/>
      <w:kern w:val="0"/>
      <w:sz w:val="28"/>
      <w:szCs w:val="20"/>
    </w:rPr>
  </w:style>
  <w:style w:type="table" w:customStyle="1" w:styleId="77">
    <w:name w:val="网格型14"/>
    <w:autoRedefine/>
    <w:qFormat/>
    <w:uiPriority w:val="5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8">
    <w:name w:val="_Style 74"/>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79">
    <w:name w:val="WPSOffice手动目录 1"/>
    <w:autoRedefine/>
    <w:qFormat/>
    <w:uiPriority w:val="0"/>
    <w:rPr>
      <w:rFonts w:ascii="Times New Roman" w:hAnsi="Times New Roman" w:eastAsia="宋体" w:cs="Times New Roman"/>
      <w:lang w:val="en-US" w:eastAsia="zh-CN" w:bidi="ar-SA"/>
    </w:rPr>
  </w:style>
  <w:style w:type="paragraph" w:customStyle="1" w:styleId="80">
    <w:name w:val="封面"/>
    <w:link w:val="81"/>
    <w:autoRedefine/>
    <w:qFormat/>
    <w:uiPriority w:val="0"/>
    <w:pPr>
      <w:spacing w:line="360" w:lineRule="auto"/>
      <w:jc w:val="center"/>
    </w:pPr>
    <w:rPr>
      <w:rFonts w:hint="eastAsia" w:ascii="Times New Roman" w:hAnsi="Times New Roman" w:eastAsia="黑体" w:cs="Times New Roman"/>
      <w:b/>
      <w:sz w:val="48"/>
      <w:szCs w:val="44"/>
    </w:rPr>
  </w:style>
  <w:style w:type="character" w:customStyle="1" w:styleId="81">
    <w:name w:val="封面 Char"/>
    <w:link w:val="80"/>
    <w:autoRedefine/>
    <w:qFormat/>
    <w:uiPriority w:val="0"/>
    <w:rPr>
      <w:rFonts w:hint="eastAsia" w:ascii="Times New Roman" w:hAnsi="Times New Roman" w:eastAsia="黑体" w:cs="Times New Roman"/>
      <w:b/>
      <w:sz w:val="48"/>
      <w:szCs w:val="44"/>
    </w:rPr>
  </w:style>
  <w:style w:type="paragraph" w:customStyle="1" w:styleId="82">
    <w:name w:val="Table Text"/>
    <w:basedOn w:val="1"/>
    <w:semiHidden/>
    <w:qFormat/>
    <w:uiPriority w:val="0"/>
    <w:rPr>
      <w:rFonts w:ascii="宋体" w:hAnsi="宋体" w:eastAsia="宋体" w:cs="宋体"/>
      <w:sz w:val="20"/>
      <w:szCs w:val="20"/>
      <w:lang w:val="en-US" w:eastAsia="en-US" w:bidi="ar-SA"/>
    </w:rPr>
  </w:style>
  <w:style w:type="paragraph" w:customStyle="1" w:styleId="83">
    <w:name w:val="Table Paragraph"/>
    <w:basedOn w:val="1"/>
    <w:autoRedefine/>
    <w:qFormat/>
    <w:uiPriority w:val="0"/>
  </w:style>
  <w:style w:type="character" w:customStyle="1" w:styleId="84">
    <w:name w:val="font21"/>
    <w:basedOn w:val="25"/>
    <w:qFormat/>
    <w:uiPriority w:val="0"/>
    <w:rPr>
      <w:rFonts w:ascii="宋体" w:hAnsi="宋体" w:eastAsia="宋体" w:cs="宋体"/>
      <w:color w:val="000000"/>
      <w:sz w:val="10"/>
      <w:szCs w:val="1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QzOTkzMzU1NDAxIiwKCSJHcm91cElkIiA6ICIxMDM0NTc0NDQ5IiwKCSJJbWFnZSIgOiAiaVZCT1J3MEtHZ29BQUFBTlNVaEVVZ0FBQWowQUFBRGlDQVlBQUFDbFpuYlNBQUFBQ1hCSVdYTUFBQXNUQUFBTEV3RUFtcHdZQUFBZ0FFbEVRVlI0bk8zZGVWeFU1ZjRIOE04TXd6QXpEUHUrSXlLQ29NQjRyV3cxdGE2WmVjdktNbS9YTXJOVnkzdnJ0cWlsbFpyZHluYXp4YnkyM2R6S2EyV2x0NnpNU245Q0JnaWlpSWlDYkROc3N6QU1jMzUvd0psbVlBWlFrV0g1dkY4dlhqRm5tK2ZRNHpuZjh5emZBeE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96</Pages>
  <Words>216</Words>
  <Characters>264</Characters>
  <Lines>406</Lines>
  <Paragraphs>114</Paragraphs>
  <TotalTime>1</TotalTime>
  <ScaleCrop>false</ScaleCrop>
  <LinksUpToDate>false</LinksUpToDate>
  <CharactersWithSpaces>295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刘露</cp:lastModifiedBy>
  <cp:lastPrinted>2025-05-15T00:52:00Z</cp:lastPrinted>
  <dcterms:modified xsi:type="dcterms:W3CDTF">2025-05-27T03:15:41Z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5F4D8F4BBAAA4C7988F5AB32CB2B8568_13</vt:lpwstr>
  </property>
  <property fmtid="{D5CDD505-2E9C-101B-9397-08002B2CF9AE}" pid="4" name="KSOTemplateDocerSaveRecord">
    <vt:lpwstr>eyJoZGlkIjoiMzMwZDM1ZjU5MzZlYjc0ODQ3NDUzY2M0MDhjM2VlNmQiLCJ1c2VySWQiOiIxMzQyNDIxMDgwIn0=</vt:lpwstr>
  </property>
</Properties>
</file>