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宋体" w:cs="Times New Roman"/>
          <w:sz w:val="44"/>
          <w:szCs w:val="44"/>
        </w:rPr>
      </w:pPr>
      <w:r>
        <w:rPr>
          <w:rFonts w:ascii="宋体" w:hAnsi="宋体" w:cs="Times New Roman" w:hint="eastAsia"/>
          <w:sz w:val="44"/>
          <w:szCs w:val="44"/>
        </w:rPr>
        <w:t>承德市生态环境局</w:t>
      </w:r>
    </w:p>
    <w:p>
      <w:pPr>
        <w:jc w:val="center"/>
        <w:rPr>
          <w:rFonts w:ascii="宋体" w:cs="Times New Roman"/>
          <w:sz w:val="44"/>
          <w:szCs w:val="44"/>
        </w:rPr>
      </w:pPr>
      <w:r>
        <w:rPr>
          <w:rFonts w:ascii="宋体" w:hAnsi="宋体" w:cs="Times New Roman"/>
          <w:sz w:val="44"/>
          <w:szCs w:val="44"/>
        </w:rPr>
        <w:t>2020</w:t>
      </w:r>
      <w:r>
        <w:rPr>
          <w:rFonts w:ascii="宋体" w:hAnsi="宋体" w:cs="Times New Roman" w:hint="eastAsia"/>
          <w:sz w:val="44"/>
          <w:szCs w:val="44"/>
        </w:rPr>
        <w:t>年部门预算信息公开</w:t>
      </w:r>
    </w:p>
    <w:p>
      <w:pPr>
        <w:ind w:firstLine="640" w:firstLineChars="200"/>
        <w:rPr>
          <w:rFonts w:ascii="仿宋_GB2312" w:eastAsia="仿宋_GB2312" w:hAnsi="Times New Roman" w:cs="Times New Roman"/>
          <w:sz w:val="32"/>
          <w:szCs w:val="32"/>
        </w:rPr>
      </w:pPr>
    </w:p>
    <w:p>
      <w:pPr>
        <w:ind w:firstLine="640" w:firstLineChars="20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按照《中华人民共和国预算法》、《地方预决算公开操作规程》和《河北省省级预算公开办法》规定，我局于202</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年2月</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日收到承德市财政局下发的《承德市财政局关于批复202</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年市本级部门收支预算的通知》（承财预〔202</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号），现按文件通知要求，在批复后20个工作日内对我局202</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年度部门预算信息情况公开如下</w:t>
      </w:r>
      <w:r>
        <w:rPr>
          <w:rFonts w:ascii="仿宋_GB2312" w:eastAsia="仿宋_GB2312" w:hAnsi="Times New Roman" w:cs="Times New Roman"/>
          <w:sz w:val="32"/>
          <w:szCs w:val="32"/>
        </w:rPr>
        <w:t xml:space="preserve">： </w:t>
      </w:r>
    </w:p>
    <w:p>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pPr>
        <w:widowControl/>
        <w:adjustRightInd w:val="0"/>
        <w:snapToGrid w:val="0"/>
        <w:spacing w:line="600" w:lineRule="atLeast"/>
        <w:ind w:firstLine="640" w:firstLineChars="200"/>
        <w:jc w:val="left"/>
        <w:rPr>
          <w:rFonts w:ascii="仿宋_GB2312" w:eastAsia="仿宋_GB2312" w:hAnsi="宋体"/>
          <w:sz w:val="32"/>
          <w:szCs w:val="32"/>
        </w:rPr>
      </w:pPr>
      <w:r>
        <w:rPr>
          <w:rFonts w:ascii="Times New Roman" w:eastAsia="方正仿宋_GBK" w:hAnsi="Times New Roman" w:cs="Times New Roman"/>
          <w:b/>
          <w:sz w:val="32"/>
          <w:szCs w:val="32"/>
        </w:rPr>
        <w:t xml:space="preserve">   </w:t>
      </w:r>
      <w:r>
        <w:rPr>
          <w:rFonts w:ascii="仿宋_GB2312" w:eastAsia="仿宋_GB2312" w:hAnsi="Times New Roman" w:cs="Times New Roman"/>
          <w:b/>
          <w:sz w:val="32"/>
          <w:szCs w:val="32"/>
        </w:rPr>
        <w:t xml:space="preserve"> </w:t>
      </w:r>
      <w:r>
        <w:rPr>
          <w:rFonts w:ascii="仿宋_GB2312" w:eastAsia="仿宋_GB2312" w:hAnsi="Times New Roman" w:cs="Times New Roman" w:hint="eastAsia"/>
          <w:b/>
          <w:sz w:val="32"/>
          <w:szCs w:val="32"/>
        </w:rPr>
        <w:t>部门职责</w:t>
      </w:r>
      <w:r>
        <w:rPr>
          <w:rFonts w:ascii="Times New Roman" w:eastAsia="方正仿宋_GBK" w:hAnsi="Times New Roman" w:cs="Times New Roman" w:hint="eastAsia"/>
          <w:b/>
          <w:sz w:val="32"/>
          <w:szCs w:val="32"/>
        </w:rPr>
        <w:t>：</w:t>
      </w:r>
      <w:r>
        <w:rPr>
          <w:rFonts w:ascii="仿宋_GB2312" w:eastAsia="仿宋_GB2312" w:hAnsi="宋体" w:hint="eastAsia"/>
          <w:sz w:val="32"/>
          <w:szCs w:val="32"/>
        </w:rPr>
        <w:t>承德市生态环境局主要职责</w:t>
      </w:r>
    </w:p>
    <w:p>
      <w:pPr>
        <w:spacing w:line="500" w:lineRule="exact"/>
        <w:ind w:firstLine="560" w:firstLineChars="200"/>
        <w:jc w:val="left"/>
        <w:rPr>
          <w:rFonts w:ascii="仿宋_GB2312" w:eastAsia="仿宋_GB2312" w:hAnsi="Times New Roman" w:cs="Times New Roman"/>
          <w:sz w:val="32"/>
          <w:szCs w:val="32"/>
        </w:rPr>
      </w:pPr>
      <w:r>
        <w:rPr>
          <w:rFonts w:ascii="Times New Roman" w:eastAsia="方正仿宋_GBK"/>
          <w:sz w:val="28"/>
        </w:rPr>
        <w:t xml:space="preserve"> </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一）负责建立健全市生态环境基本制度。会同有关部门贯</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彻执行国家、省生态环境方针、政策、法律、法规。会同有关部</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门拟订并组织实施全市生态环境政策、规划，起草地方性法规和</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规章草案。会同有关部门编制并监督实施重点区域、流域、饮用</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水水源地生态环境规划和水功能区划，组织拟订生态环境地方性</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标准，制定生态环境基准和技术规范。</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二）负责全市重大生态环境问题的统筹协调和监督管理。</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牵头协调全市重特大环境污染事故和生态破坏事件的调查处理，</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指导协调县（市、区）政府对重特大突发生态环境事件的应急、</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预警工作。牵头指导实施生态环境损害赔偿制度。协调解决有关</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跨区域环境污染纠纷。统筹协调全市重点区域、流域生态环境保</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护工作。</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三）负责监督管理全市减排目标的落实。组织制定全市各</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类污染物排放总量控制、排污许可证制度并监督实施。确定全市</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大气、水等纳污能力，提出全市实施总量控制的污染物名称和控</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制指标，监督检查各县（市、区）污染物减排任务完成情况，实</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施生态环境保护目标责任制。</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四）负责提出生态环境领域固定资产投资规模、方向和市</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级财政性资金安排的意见，按市政府规定权限审批、核准市规划</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内和年度计划规模内固定资产投资项目，配合有关部门做好组织实施和监督工作。参与指导推动全市循环经济和生态环保产业发</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展。</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五）负责全市环境污染防治的监督管理。制定全市大气、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水、土壤、噪声、光、恶臭、固体废物、化学品、机动车等的污</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染防治管理制度并监督实施。会同有关部门监督管理全市饮用水</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水源地生态环境保护工作。组织指导城乡生态环境综合整治工作</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监督指导农业面源污染治理工作。监督指导全市区域大气环境保护工作，组织实施区域大气污染联防联控协作机制。</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六）指导协调和监督全市生态保护修复工作。组织编制全</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市生态保护规划，监督对生态环境有影响的自然资源开发利用活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动、重要生态环境建设和生态破坏恢复工作。组织制定全市各类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自然保护地生态环境监管制度并监督执法。监督野生动植物保护、</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湿地生态环境保护、荒漠化防治等工作。指导协调和监督农村生态环境保护，监督生物技术环境安全，牵头生物物种（含遗传资源）工作，组织协调生物多样性保护工作，参与生态保护补偿工</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作。</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八）负责全市生态环境准入的监督管理。受市政府委托对</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重大经济和技术政策、发展规划以及重大经济开发计划进行环境</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影响评价。按国家、省和市规定审查重大开发建设区域、规划环境影响评价文件。拟订并组织实施生态环境准入清单。</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九）负责全市生态环境监测工作。监督实施国家、省生态</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环境监测制度和规范。会同有关部门统一规划生态环境质量监测</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站点设置，组织实施生态环境质量监测、污染源监督性监测、温室气体减排监测、应急监测。组织对生态环境质量状况进行调查</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评价、预警预测，组织建设和管理市生态环境监测体系和生态环</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境信息网。建立和实行生态环境质量公告制度，统一发布全市生</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态环境质量状况公报和重大生态环境信息。</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十）拟订全市应对气候变化及温室气体减排规划和政策。</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与有关部门共同牵头组织开展应对气候变化工作。</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十一）组织参与省、市生态环境保护督察。建立健全生态</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环境保护督察制度，落实市委、市政府生态环境保护督察工作，</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根据授权对各有关部门和各市、县（市、区）贯彻落实中央和省</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委、省政府及市委、市政府生态环境保护决策部署情况进行督察。</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十二）统一负责全市生态环境监督执法。组织开展全市生</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态环境保护执法检查活动。负责县（市、区）间跨区域、重大生</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态环境违法行为的现场调查、行政处罚和行政强制工作。指导全市生态环境保护综合执法队伍建设和业务工作。</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十三）组织指导和协调全市生态环境宣传教育工作，制定</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并组织实施市生态环境保护宣传教育纲要，推动社会组织和公众</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参与生态环境保护。开展全市生态环境科技工作，组织生态环境</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重大科学研究和技术工程示范，推动生态环境技术管理体系建设。</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十四）开展生态环境对外合作交流，研究提出国际、省际、</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市际间生态环境合作中有关问题的建议，参与处理涉外生态环境</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事务。承担京津冀协同发展生态环境保护工作。</w:t>
      </w:r>
    </w:p>
    <w:p>
      <w:pPr>
        <w:spacing w:line="500" w:lineRule="exact"/>
        <w:ind w:firstLine="640" w:firstLineChars="200"/>
        <w:jc w:val="left"/>
        <w:rPr>
          <w:rFonts w:ascii="仿宋_GB2312" w:eastAsia="仿宋_GB2312" w:hAnsi="Times New Roman" w:cs="Times New Roman"/>
          <w:sz w:val="32"/>
          <w:szCs w:val="32"/>
        </w:rPr>
      </w:pP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十五）完成市委、市政府交办的其他任务。</w:t>
      </w:r>
    </w:p>
    <w:p>
      <w:pPr>
        <w:ind w:firstLine="640" w:firstLineChars="200"/>
        <w:rPr>
          <w:rFonts w:ascii="仿宋_GB2312" w:eastAsia="仿宋_GB2312" w:hAnsi="宋体"/>
          <w:b/>
          <w:sz w:val="32"/>
          <w:szCs w:val="32"/>
        </w:rPr>
      </w:pPr>
      <w:r>
        <w:rPr>
          <w:rFonts w:ascii="仿宋_GB2312" w:eastAsia="仿宋_GB2312" w:hAnsi="宋体" w:cs="宋体" w:hint="eastAsia"/>
          <w:b/>
          <w:kern w:val="0"/>
          <w:sz w:val="32"/>
          <w:szCs w:val="32"/>
        </w:rPr>
        <w:t>内设机构</w:t>
      </w:r>
    </w:p>
    <w:p>
      <w:pPr>
        <w:ind w:firstLine="640" w:firstLineChars="200"/>
        <w:rPr>
          <w:rFonts w:ascii="仿宋_GB2312" w:eastAsia="仿宋_GB2312" w:hAnsi="宋体"/>
          <w:sz w:val="32"/>
          <w:szCs w:val="32"/>
        </w:rPr>
      </w:pPr>
      <w:r>
        <w:rPr>
          <w:rFonts w:ascii="仿宋_GB2312" w:eastAsia="仿宋_GB2312" w:hAnsi="宋体" w:hint="eastAsia"/>
          <w:sz w:val="32"/>
          <w:szCs w:val="32"/>
        </w:rPr>
        <w:t>根据中共承德市委办公室、承德市人民政府办公室《关于印发</w:t>
      </w:r>
      <w:r>
        <w:rPr>
          <w:rFonts w:ascii="仿宋_GB2312" w:eastAsia="仿宋_GB2312" w:hAnsi="宋体"/>
          <w:sz w:val="32"/>
          <w:szCs w:val="32"/>
        </w:rPr>
        <w:t>&lt;</w:t>
      </w:r>
      <w:r>
        <w:rPr>
          <w:rFonts w:ascii="仿宋_GB2312" w:eastAsia="仿宋_GB2312" w:hAnsi="宋体" w:hint="eastAsia"/>
          <w:sz w:val="32"/>
          <w:szCs w:val="32"/>
        </w:rPr>
        <w:t>承德市生态环境局职能配置、内设机构和人员编制规定</w:t>
      </w:r>
      <w:r>
        <w:rPr>
          <w:rFonts w:ascii="仿宋_GB2312" w:eastAsia="仿宋_GB2312" w:hAnsi="宋体"/>
          <w:sz w:val="32"/>
          <w:szCs w:val="32"/>
        </w:rPr>
        <w:t>&gt;</w:t>
      </w:r>
      <w:r>
        <w:rPr>
          <w:rFonts w:ascii="仿宋_GB2312" w:eastAsia="仿宋_GB2312" w:hAnsi="宋体" w:hint="eastAsia"/>
          <w:sz w:val="32"/>
          <w:szCs w:val="32"/>
        </w:rPr>
        <w:t>的通知》承办字〔</w:t>
      </w:r>
      <w:r>
        <w:rPr>
          <w:rFonts w:ascii="仿宋_GB2312" w:eastAsia="仿宋_GB2312" w:hAnsi="宋体"/>
          <w:sz w:val="32"/>
          <w:szCs w:val="32"/>
        </w:rPr>
        <w:t>2019</w:t>
      </w:r>
      <w:r>
        <w:rPr>
          <w:rFonts w:ascii="仿宋_GB2312" w:eastAsia="仿宋_GB2312" w:hAnsi="宋体" w:hint="eastAsia"/>
          <w:sz w:val="32"/>
          <w:szCs w:val="32"/>
        </w:rPr>
        <w:t>〕</w:t>
      </w:r>
      <w:r>
        <w:rPr>
          <w:rFonts w:ascii="仿宋_GB2312" w:eastAsia="仿宋_GB2312" w:hAnsi="宋体"/>
          <w:sz w:val="32"/>
          <w:szCs w:val="32"/>
        </w:rPr>
        <w:t>48</w:t>
      </w:r>
      <w:r>
        <w:rPr>
          <w:rFonts w:ascii="仿宋_GB2312" w:eastAsia="仿宋_GB2312" w:hAnsi="宋体" w:hint="eastAsia"/>
          <w:sz w:val="32"/>
          <w:szCs w:val="32"/>
        </w:rPr>
        <w:t>号，截止</w:t>
      </w:r>
      <w:r>
        <w:rPr>
          <w:rFonts w:ascii="仿宋_GB2312" w:eastAsia="仿宋_GB2312" w:hAnsi="宋体"/>
          <w:sz w:val="32"/>
          <w:szCs w:val="32"/>
        </w:rPr>
        <w:t>2019</w:t>
      </w:r>
      <w:r>
        <w:rPr>
          <w:rFonts w:ascii="仿宋_GB2312" w:eastAsia="仿宋_GB2312" w:hAnsi="宋体" w:hint="eastAsia"/>
          <w:sz w:val="32"/>
          <w:szCs w:val="32"/>
        </w:rPr>
        <w:t>年底，我局内设办公室、督查考核科、政策法规科、人事科、规划财务科、自然生态保护科、水生态环境科、大气环境科、土壤生态环境科、固体废物与化学品科、辐射安全管理科、环境影响评价与排放管理科、生态环境监测科、科技与宣传教育科、机动车污染防治科、机关党委、离退休干部科等</w:t>
      </w:r>
      <w:r>
        <w:rPr>
          <w:rFonts w:ascii="仿宋_GB2312" w:eastAsia="仿宋_GB2312" w:hAnsi="宋体"/>
          <w:sz w:val="32"/>
          <w:szCs w:val="32"/>
        </w:rPr>
        <w:t>17</w:t>
      </w:r>
      <w:r>
        <w:rPr>
          <w:rFonts w:ascii="仿宋_GB2312" w:eastAsia="仿宋_GB2312" w:hAnsi="宋体" w:hint="eastAsia"/>
          <w:sz w:val="32"/>
          <w:szCs w:val="32"/>
        </w:rPr>
        <w:t>个职能科室，下设环境执法大队、环境监控中心、环境信息中心、生态文明建设办公室、环境科学研究院、环境工程评估中心、室内环境污染监督检验站、辐射环境监测站、环保科技发展中心、环境应急与重污染天气预警中心、固体废物管理中心、环境宣传教育中心、双桥区分局、双滦区分局、鹰手营子矿区分局、高新区分局、承德县分局、宽城县分局、平泉市分局、滦平县分局、丰宁县分局、围场县分局、兴隆县分局及隆化县分局等</w:t>
      </w:r>
      <w:r>
        <w:rPr>
          <w:rFonts w:ascii="仿宋_GB2312" w:eastAsia="仿宋_GB2312" w:hAnsi="宋体"/>
          <w:sz w:val="32"/>
          <w:szCs w:val="32"/>
        </w:rPr>
        <w:t>24</w:t>
      </w:r>
      <w:r>
        <w:rPr>
          <w:rFonts w:ascii="仿宋_GB2312" w:eastAsia="仿宋_GB2312" w:hAnsi="宋体" w:hint="eastAsia"/>
          <w:sz w:val="32"/>
          <w:szCs w:val="32"/>
        </w:rPr>
        <w:t>个下属事业单位。</w:t>
      </w:r>
    </w:p>
    <w:p>
      <w:pPr>
        <w:ind w:firstLine="320" w:firstLineChars="100"/>
        <w:rPr>
          <w:rFonts w:ascii="仿宋_GB2312" w:eastAsia="仿宋_GB2312" w:hAnsi="宋体"/>
          <w:sz w:val="32"/>
          <w:szCs w:val="32"/>
        </w:rPr>
      </w:pPr>
      <w:r>
        <w:rPr>
          <w:rFonts w:ascii="仿宋_GB2312" w:eastAsia="仿宋_GB2312" w:hAnsi="宋体" w:hint="eastAsia"/>
          <w:sz w:val="32"/>
          <w:szCs w:val="32"/>
        </w:rPr>
        <w:t>预算单位构成：承德市生态环境局局本级、承德市生态环境局双桥区分局、承德市生态环境局双滦区分局、承德市生态环境局鹰手营子区分局、承德市生态环境局高新区分局、承德市生态环境局平泉市分局、承德市生态环境局承德县分局、承德市生态环境局滦平县分局、承德市生态环境局隆化县分局、承德市生态环境局兴隆县分局、承德市生态环境局丰宁满族自治县分局、承德市生态环境局宽城满族自治县分局、承德市生态环境局围场满族蒙古族自治县分局。</w:t>
      </w:r>
    </w:p>
    <w:p>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Style w:val="TableNormal"/>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417"/>
        <w:gridCol w:w="1134"/>
        <w:gridCol w:w="1276"/>
        <w:gridCol w:w="2902"/>
      </w:tblGrid>
      <w:tr>
        <w:tblPrEx>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00"/>
          <w:tblHeader/>
          <w:jc w:val="center"/>
        </w:trPr>
        <w:tc>
          <w:tcPr>
            <w:tcW w:w="4417" w:type="dxa"/>
            <w:vMerge w:val="restart"/>
            <w:vAlign w:val="center"/>
          </w:tcPr>
          <w:p>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单位名称</w:t>
            </w:r>
          </w:p>
        </w:tc>
        <w:tc>
          <w:tcPr>
            <w:tcW w:w="1134" w:type="dxa"/>
            <w:vMerge w:val="restart"/>
            <w:vAlign w:val="center"/>
          </w:tcPr>
          <w:p>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单位性质</w:t>
            </w:r>
          </w:p>
        </w:tc>
        <w:tc>
          <w:tcPr>
            <w:tcW w:w="1276" w:type="dxa"/>
            <w:vMerge w:val="restart"/>
            <w:vAlign w:val="center"/>
          </w:tcPr>
          <w:p>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单位规格</w:t>
            </w:r>
          </w:p>
        </w:tc>
        <w:tc>
          <w:tcPr>
            <w:tcW w:w="2902" w:type="dxa"/>
            <w:vMerge w:val="restart"/>
            <w:vAlign w:val="center"/>
          </w:tcPr>
          <w:p>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hint="eastAsia"/>
                <w:b/>
                <w:szCs w:val="24"/>
              </w:rPr>
              <w:t>经费保障形式</w:t>
            </w:r>
          </w:p>
        </w:tc>
      </w:tr>
      <w:tr>
        <w:tblPrEx>
          <w:tblW w:w="9729" w:type="dxa"/>
          <w:jc w:val="center"/>
          <w:tblLayout w:type="fixed"/>
          <w:tblCellMar>
            <w:top w:w="0" w:type="dxa"/>
            <w:left w:w="108" w:type="dxa"/>
            <w:bottom w:w="0" w:type="dxa"/>
            <w:right w:w="108" w:type="dxa"/>
          </w:tblCellMar>
        </w:tblPrEx>
        <w:trPr>
          <w:trHeight w:val="300"/>
          <w:tblHeader/>
          <w:jc w:val="center"/>
        </w:trPr>
        <w:tc>
          <w:tcPr>
            <w:tcW w:w="4417" w:type="dxa"/>
            <w:vMerge/>
            <w:vAlign w:val="center"/>
          </w:tcPr>
          <w:p>
            <w:pPr>
              <w:spacing w:line="300" w:lineRule="exact"/>
              <w:jc w:val="left"/>
              <w:outlineLvl w:val="0"/>
              <w:rPr>
                <w:rFonts w:ascii="Times New Roman" w:hAnsi="Times New Roman" w:cs="Times New Roman"/>
                <w:szCs w:val="24"/>
              </w:rPr>
            </w:pPr>
          </w:p>
        </w:tc>
        <w:tc>
          <w:tcPr>
            <w:tcW w:w="1134" w:type="dxa"/>
            <w:vMerge/>
            <w:vAlign w:val="center"/>
          </w:tcPr>
          <w:p>
            <w:pPr>
              <w:spacing w:line="300" w:lineRule="exact"/>
              <w:jc w:val="left"/>
              <w:outlineLvl w:val="0"/>
              <w:rPr>
                <w:rFonts w:ascii="Times New Roman" w:hAnsi="Times New Roman" w:cs="Times New Roman"/>
                <w:szCs w:val="24"/>
              </w:rPr>
            </w:pPr>
          </w:p>
        </w:tc>
        <w:tc>
          <w:tcPr>
            <w:tcW w:w="1276" w:type="dxa"/>
            <w:vMerge/>
            <w:vAlign w:val="center"/>
          </w:tcPr>
          <w:p>
            <w:pPr>
              <w:spacing w:line="300" w:lineRule="exact"/>
              <w:jc w:val="left"/>
              <w:outlineLvl w:val="0"/>
              <w:rPr>
                <w:rFonts w:ascii="Times New Roman" w:hAnsi="Times New Roman" w:cs="Times New Roman"/>
                <w:szCs w:val="24"/>
              </w:rPr>
            </w:pPr>
          </w:p>
        </w:tc>
        <w:tc>
          <w:tcPr>
            <w:tcW w:w="2902" w:type="dxa"/>
            <w:vMerge/>
            <w:vAlign w:val="center"/>
          </w:tcPr>
          <w:p>
            <w:pPr>
              <w:spacing w:line="300" w:lineRule="exact"/>
              <w:jc w:val="left"/>
              <w:outlineLvl w:val="0"/>
              <w:rPr>
                <w:rFonts w:ascii="Times New Roman" w:hAnsi="Times New Roman" w:cs="Times New Roman"/>
                <w:szCs w:val="24"/>
              </w:rPr>
            </w:pP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宋体"/>
                <w:szCs w:val="21"/>
              </w:rPr>
            </w:pPr>
            <w:r>
              <w:rPr>
                <w:rFonts w:ascii="方正书宋_GBK" w:eastAsia="方正书宋_GBK" w:hAnsi="宋体" w:hint="eastAsia"/>
                <w:szCs w:val="21"/>
              </w:rPr>
              <w:t>承德市生态环境局双桥区分局</w:t>
            </w:r>
          </w:p>
        </w:tc>
        <w:tc>
          <w:tcPr>
            <w:tcW w:w="1134" w:type="dxa"/>
            <w:vAlign w:val="center"/>
          </w:tcPr>
          <w:p>
            <w:pPr>
              <w:spacing w:line="300" w:lineRule="exact"/>
              <w:rPr>
                <w:rFonts w:ascii="方正书宋_GBK" w:eastAsia="方正书宋_GBK"/>
              </w:rPr>
            </w:pPr>
            <w:r>
              <w:rPr>
                <w:rFonts w:ascii="方正书宋_GBK" w:eastAsia="方正书宋_GBK" w:hint="eastAsia"/>
              </w:rPr>
              <w:t>参照公务员管理事业单位</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宋体"/>
                <w:szCs w:val="21"/>
              </w:rPr>
            </w:pPr>
            <w:r>
              <w:rPr>
                <w:rFonts w:ascii="方正书宋_GBK" w:eastAsia="方正书宋_GBK" w:hAnsi="宋体" w:hint="eastAsia"/>
                <w:szCs w:val="21"/>
              </w:rPr>
              <w:t>承德市生态环境局双滦区分局</w:t>
            </w:r>
          </w:p>
        </w:tc>
        <w:tc>
          <w:tcPr>
            <w:tcW w:w="1134" w:type="dxa"/>
            <w:vAlign w:val="center"/>
          </w:tcPr>
          <w:p>
            <w:pPr>
              <w:spacing w:line="300" w:lineRule="exact"/>
              <w:rPr>
                <w:rFonts w:ascii="方正书宋_GBK" w:eastAsia="方正书宋_GBK"/>
              </w:rPr>
            </w:pPr>
            <w:r>
              <w:rPr>
                <w:rFonts w:ascii="方正书宋_GBK" w:eastAsia="方正书宋_GBK" w:hint="eastAsia"/>
              </w:rPr>
              <w:t>参照公务员管理事业单位</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宋体"/>
                <w:szCs w:val="21"/>
              </w:rPr>
            </w:pPr>
            <w:r>
              <w:rPr>
                <w:rFonts w:ascii="方正书宋_GBK" w:eastAsia="方正书宋_GBK" w:hAnsi="宋体" w:hint="eastAsia"/>
                <w:szCs w:val="21"/>
              </w:rPr>
              <w:t>承德市生态环境局鹰手营子区区分局</w:t>
            </w:r>
          </w:p>
        </w:tc>
        <w:tc>
          <w:tcPr>
            <w:tcW w:w="1134" w:type="dxa"/>
            <w:vAlign w:val="center"/>
          </w:tcPr>
          <w:p>
            <w:pPr>
              <w:spacing w:line="300" w:lineRule="exact"/>
              <w:rPr>
                <w:rFonts w:ascii="方正书宋_GBK" w:eastAsia="方正书宋_GBK"/>
              </w:rPr>
            </w:pPr>
            <w:r>
              <w:rPr>
                <w:rFonts w:ascii="方正书宋_GBK" w:eastAsia="方正书宋_GBK" w:hint="eastAsia"/>
              </w:rPr>
              <w:t>参照公务员管理事业单位</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宋体"/>
                <w:szCs w:val="21"/>
              </w:rPr>
            </w:pPr>
            <w:r>
              <w:rPr>
                <w:rFonts w:ascii="方正书宋_GBK" w:eastAsia="方正书宋_GBK" w:hAnsi="宋体" w:hint="eastAsia"/>
                <w:szCs w:val="21"/>
              </w:rPr>
              <w:t>承德市生态环境局高新区区分局</w:t>
            </w:r>
          </w:p>
        </w:tc>
        <w:tc>
          <w:tcPr>
            <w:tcW w:w="1134" w:type="dxa"/>
            <w:vAlign w:val="center"/>
          </w:tcPr>
          <w:p>
            <w:pPr>
              <w:spacing w:line="300" w:lineRule="exact"/>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承德市生态环境局平泉市分局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财政拨款</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承德市生态环境局承德县分局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财政性资金基本保证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承德市生态环境局滦平县分局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承德市生态环境局隆化县分局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承德市生态环境局兴隆县分局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财政拨款</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承德市生态环境局丰宁满族自治县分局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财政性资金基本保证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承德市生态环境局宽城满族自治县分局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rPr>
            </w:pPr>
            <w:r>
              <w:rPr>
                <w:rFonts w:ascii="方正书宋_GBK" w:eastAsia="方正书宋_GBK" w:hint="eastAsia"/>
              </w:rPr>
              <w:t>承德市生态环境局围场满族蒙古族自治县分局</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财政性资金基本保证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环境执法大队</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参照公务员管理事业单位</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环境监控中心</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环境信息中心</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生态文明建设办公室</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宋体"/>
                <w:szCs w:val="21"/>
              </w:rPr>
            </w:pPr>
            <w:r>
              <w:rPr>
                <w:rFonts w:ascii="方正书宋_GBK" w:eastAsia="方正书宋_GBK" w:hAnsi="宋体" w:hint="eastAsia"/>
                <w:szCs w:val="21"/>
              </w:rPr>
              <w:t>环境应急与重污染天气预警中心</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宋体"/>
                <w:szCs w:val="21"/>
              </w:rPr>
            </w:pPr>
            <w:r>
              <w:rPr>
                <w:rFonts w:ascii="方正书宋_GBK" w:eastAsia="方正书宋_GBK" w:hAnsi="宋体" w:hint="eastAsia"/>
                <w:szCs w:val="21"/>
              </w:rPr>
              <w:t>固体废物管理中心</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财政性资金全额保证</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宋体"/>
                <w:szCs w:val="21"/>
              </w:rPr>
            </w:pPr>
            <w:r>
              <w:rPr>
                <w:rFonts w:ascii="方正书宋_GBK" w:eastAsia="方正书宋_GBK" w:hAnsi="宋体" w:hint="eastAsia"/>
                <w:szCs w:val="21"/>
              </w:rPr>
              <w:t>环境宣传教育中心</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环境科学研究院</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环境工程评估中心</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室内环境污染监督检验站</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szCs w:val="21"/>
              </w:rPr>
            </w:pPr>
            <w:r>
              <w:rPr>
                <w:rFonts w:ascii="方正书宋_GBK" w:eastAsia="方正书宋_GBK" w:hAnsi="宋体" w:hint="eastAsia"/>
                <w:szCs w:val="21"/>
              </w:rPr>
              <w:t>辐射环境监测站</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r>
        <w:tblPrEx>
          <w:tblW w:w="9729" w:type="dxa"/>
          <w:jc w:val="center"/>
          <w:tblLayout w:type="fixed"/>
          <w:tblCellMar>
            <w:top w:w="0" w:type="dxa"/>
            <w:left w:w="108" w:type="dxa"/>
            <w:bottom w:w="0" w:type="dxa"/>
            <w:right w:w="108" w:type="dxa"/>
          </w:tblCellMar>
        </w:tblPrEx>
        <w:trPr>
          <w:trHeight w:val="227"/>
          <w:jc w:val="center"/>
        </w:trPr>
        <w:tc>
          <w:tcPr>
            <w:tcW w:w="4417" w:type="dxa"/>
            <w:vAlign w:val="center"/>
          </w:tcPr>
          <w:p>
            <w:pPr>
              <w:spacing w:line="300" w:lineRule="exact"/>
              <w:jc w:val="left"/>
              <w:rPr>
                <w:rFonts w:ascii="方正书宋_GBK" w:eastAsia="方正书宋_GBK" w:hAnsi="Times New Roman" w:cs="Times New Roman"/>
                <w:szCs w:val="21"/>
              </w:rPr>
            </w:pPr>
            <w:r>
              <w:rPr>
                <w:rFonts w:ascii="方正书宋_GBK" w:eastAsia="方正书宋_GBK" w:hAnsi="宋体" w:hint="eastAsia"/>
                <w:szCs w:val="21"/>
              </w:rPr>
              <w:t>环保科技发展中心</w:t>
            </w:r>
          </w:p>
        </w:tc>
        <w:tc>
          <w:tcPr>
            <w:tcW w:w="1134" w:type="dxa"/>
            <w:vAlign w:val="center"/>
          </w:tcPr>
          <w:p>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pPr>
              <w:spacing w:line="300" w:lineRule="exact"/>
              <w:jc w:val="center"/>
              <w:rPr>
                <w:rFonts w:ascii="方正书宋_GBK" w:eastAsia="方正书宋_GBK"/>
              </w:rPr>
            </w:pPr>
            <w:r>
              <w:rPr>
                <w:rFonts w:ascii="方正书宋_GBK" w:eastAsia="方正书宋_GBK" w:hint="eastAsia"/>
              </w:rPr>
              <w:t>财政性资金零补助</w:t>
            </w:r>
          </w:p>
        </w:tc>
      </w:tr>
    </w:tbl>
    <w:p/>
    <w:p>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pPr>
        <w:ind w:firstLine="640" w:firstLineChars="200"/>
        <w:rPr>
          <w:rFonts w:ascii="仿宋_GB2312" w:eastAsia="仿宋_GB2312" w:hAnsi="宋体"/>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按照预算管理有关规定，目前我市部门预算的编制实行综合预算制度，即全部收入和支出都反映的预算中。本次预算公开</w:t>
      </w:r>
      <w:r>
        <w:rPr>
          <w:rFonts w:ascii="仿宋_GB2312" w:eastAsia="仿宋_GB2312" w:hAnsi="宋体" w:hint="eastAsia"/>
          <w:sz w:val="32"/>
          <w:szCs w:val="32"/>
        </w:rPr>
        <w:t>包括本级</w:t>
      </w:r>
      <w:r>
        <w:rPr>
          <w:rFonts w:ascii="仿宋_GB2312" w:eastAsia="仿宋_GB2312" w:hAnsi="宋体" w:cs="宋体" w:hint="eastAsia"/>
          <w:kern w:val="0"/>
          <w:sz w:val="32"/>
          <w:szCs w:val="32"/>
        </w:rPr>
        <w:t>预算和所属单位预算在内的汇总预算情况说明。</w:t>
      </w:r>
    </w:p>
    <w:p>
      <w:pPr>
        <w:ind w:firstLine="64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r>
        <w:rPr>
          <w:rFonts w:ascii="Times New Roman" w:eastAsia="方正仿宋_GBK" w:hAnsi="Times New Roman" w:cs="Times New Roman"/>
          <w:sz w:val="32"/>
          <w:szCs w:val="32"/>
        </w:rPr>
        <w:t xml:space="preserve"> </w:t>
      </w:r>
    </w:p>
    <w:p>
      <w:pPr>
        <w:ind w:firstLine="640" w:firstLineChars="200"/>
        <w:rPr>
          <w:rFonts w:ascii="Times New Roman" w:eastAsia="方正仿宋_GBK" w:hAnsi="Times New Roman" w:cs="Times New Roman"/>
          <w:sz w:val="32"/>
          <w:szCs w:val="32"/>
        </w:rPr>
      </w:pPr>
      <w:r>
        <w:rPr>
          <w:rFonts w:ascii="仿宋_GB2312" w:eastAsia="仿宋_GB2312" w:hAnsi="仿宋_GB2312" w:cs="仿宋_GB2312" w:hint="eastAsia"/>
          <w:sz w:val="32"/>
          <w:szCs w:val="32"/>
        </w:rPr>
        <w:t>反应本部门当年全部收入，</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年预算收入</w:t>
      </w:r>
      <w:r>
        <w:rPr>
          <w:rFonts w:ascii="仿宋_GB2312" w:eastAsia="仿宋_GB2312" w:hAnsi="仿宋_GB2312" w:cs="仿宋_GB2312"/>
          <w:sz w:val="32"/>
          <w:szCs w:val="32"/>
        </w:rPr>
        <w:t>9170.29</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9170.29</w:t>
      </w:r>
      <w:r>
        <w:rPr>
          <w:rFonts w:ascii="仿宋_GB2312" w:eastAsia="仿宋_GB2312" w:hAnsi="仿宋_GB2312" w:cs="仿宋_GB2312" w:hint="eastAsia"/>
          <w:sz w:val="32"/>
          <w:szCs w:val="32"/>
        </w:rPr>
        <w:t>万元。</w:t>
      </w:r>
    </w:p>
    <w:p>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收支预算总表支出栏、基本支出表、项目支出表按经济分类和支出功能分类科目编制，反映承德市生态环境局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年度部门预算中支出预算的总体情况。</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年部门支出预算为</w:t>
      </w:r>
      <w:r>
        <w:rPr>
          <w:rFonts w:ascii="仿宋_GB2312" w:eastAsia="仿宋_GB2312" w:hAnsi="仿宋_GB2312" w:cs="仿宋_GB2312"/>
          <w:sz w:val="32"/>
          <w:szCs w:val="32"/>
        </w:rPr>
        <w:t>9170.29</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6939.22</w:t>
      </w:r>
      <w:r>
        <w:rPr>
          <w:rFonts w:ascii="仿宋_GB2312" w:eastAsia="仿宋_GB2312" w:hAnsi="仿宋_GB2312" w:cs="仿宋_GB2312" w:hint="eastAsia"/>
          <w:sz w:val="32"/>
          <w:szCs w:val="32"/>
        </w:rPr>
        <w:t>万元，包括人员经费支出</w:t>
      </w:r>
      <w:r>
        <w:rPr>
          <w:rFonts w:ascii="仿宋_GB2312" w:eastAsia="仿宋_GB2312" w:hAnsi="仿宋_GB2312" w:cs="仿宋_GB2312"/>
          <w:sz w:val="32"/>
          <w:szCs w:val="32"/>
        </w:rPr>
        <w:t>6186.63</w:t>
      </w:r>
      <w:r>
        <w:rPr>
          <w:rFonts w:ascii="仿宋_GB2312" w:eastAsia="仿宋_GB2312" w:hAnsi="仿宋_GB2312" w:cs="仿宋_GB2312" w:hint="eastAsia"/>
          <w:sz w:val="32"/>
          <w:szCs w:val="32"/>
        </w:rPr>
        <w:t>万元、日常公用经费支出</w:t>
      </w:r>
      <w:r>
        <w:rPr>
          <w:rFonts w:ascii="仿宋_GB2312" w:eastAsia="仿宋_GB2312" w:hAnsi="仿宋_GB2312" w:cs="仿宋_GB2312"/>
          <w:sz w:val="32"/>
          <w:szCs w:val="32"/>
        </w:rPr>
        <w:t>752.59</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2231.07</w:t>
      </w:r>
      <w:r>
        <w:rPr>
          <w:rFonts w:ascii="仿宋_GB2312" w:eastAsia="仿宋_GB2312" w:hAnsi="仿宋_GB2312" w:cs="仿宋_GB2312" w:hint="eastAsia"/>
          <w:sz w:val="32"/>
          <w:szCs w:val="32"/>
        </w:rPr>
        <w:t>万元，全部为本级支出。</w:t>
      </w:r>
    </w:p>
    <w:p>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sz w:val="32"/>
          <w:szCs w:val="32"/>
        </w:rPr>
        <w:t xml:space="preserve"> 2020</w:t>
      </w:r>
      <w:r>
        <w:rPr>
          <w:rFonts w:ascii="仿宋_GB2312" w:eastAsia="仿宋_GB2312" w:hAnsi="仿宋_GB2312" w:cs="仿宋_GB2312" w:hint="eastAsia"/>
          <w:sz w:val="32"/>
          <w:szCs w:val="32"/>
        </w:rPr>
        <w:t>年部门预算较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年增加</w:t>
      </w:r>
      <w:r>
        <w:rPr>
          <w:rFonts w:ascii="仿宋_GB2312" w:eastAsia="仿宋_GB2312" w:hAnsi="仿宋_GB2312" w:cs="仿宋_GB2312"/>
          <w:sz w:val="32"/>
          <w:szCs w:val="32"/>
        </w:rPr>
        <w:t>3763.42</w:t>
      </w:r>
      <w:r>
        <w:rPr>
          <w:rFonts w:ascii="仿宋_GB2312" w:eastAsia="仿宋_GB2312" w:hAnsi="仿宋_GB2312" w:cs="仿宋_GB2312" w:hint="eastAsia"/>
          <w:sz w:val="32"/>
          <w:szCs w:val="32"/>
        </w:rPr>
        <w:t>元，其中：基本支出增加</w:t>
      </w:r>
      <w:r>
        <w:rPr>
          <w:rFonts w:ascii="仿宋_GB2312" w:eastAsia="仿宋_GB2312" w:hAnsi="仿宋_GB2312" w:cs="仿宋_GB2312"/>
          <w:sz w:val="32"/>
          <w:szCs w:val="32"/>
        </w:rPr>
        <w:t>3990.49</w:t>
      </w:r>
      <w:r>
        <w:rPr>
          <w:rFonts w:ascii="仿宋_GB2312" w:eastAsia="仿宋_GB2312" w:hAnsi="仿宋_GB2312" w:cs="仿宋_GB2312" w:hint="eastAsia"/>
          <w:sz w:val="32"/>
          <w:szCs w:val="32"/>
        </w:rPr>
        <w:t>万元，主要是本年新增了</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个县（市）生态环境分局人员及公用经费预算；项目支出减少</w:t>
      </w:r>
      <w:r>
        <w:rPr>
          <w:rFonts w:ascii="仿宋_GB2312" w:eastAsia="仿宋_GB2312" w:hAnsi="仿宋_GB2312" w:cs="仿宋_GB2312"/>
          <w:sz w:val="32"/>
          <w:szCs w:val="32"/>
        </w:rPr>
        <w:t>227.07</w:t>
      </w:r>
      <w:r>
        <w:rPr>
          <w:rFonts w:ascii="仿宋_GB2312" w:eastAsia="仿宋_GB2312" w:hAnsi="仿宋_GB2312" w:cs="仿宋_GB2312" w:hint="eastAsia"/>
          <w:sz w:val="32"/>
          <w:szCs w:val="32"/>
        </w:rPr>
        <w:t>万元，主要是按照本年实际项目填报预算专项经费有所减少。</w:t>
      </w:r>
    </w:p>
    <w:p>
      <w:pPr>
        <w:autoSpaceDE w:val="0"/>
        <w:autoSpaceDN w:val="0"/>
        <w:adjustRightInd w:val="0"/>
        <w:ind w:firstLine="640" w:firstLineChars="20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pPr>
        <w:autoSpaceDE w:val="0"/>
        <w:autoSpaceDN w:val="0"/>
        <w:adjustRightInd w:val="0"/>
        <w:ind w:left="198"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Pr>
          <w:rFonts w:ascii="仿宋_GB2312" w:eastAsia="仿宋_GB2312" w:hAnsi="仿宋_GB2312" w:cs="仿宋_GB2312"/>
          <w:sz w:val="32"/>
          <w:szCs w:val="32"/>
        </w:rPr>
        <w:t>752.59</w:t>
      </w:r>
      <w:r>
        <w:rPr>
          <w:rFonts w:ascii="仿宋_GB2312" w:eastAsia="仿宋_GB2312" w:hAnsi="仿宋_GB2312" w:cs="仿宋_GB2312" w:hint="eastAsia"/>
          <w:sz w:val="32"/>
          <w:szCs w:val="32"/>
        </w:rPr>
        <w:t>万元，主要用于保证机关正常运转的办公及印刷费、邮电费、差旅费、会议费、福利费、及一般设备购置费、办公用房水电费、办公用房取暖费、日常维修费、办公楼物业管理费、公务车运行维护费等支出。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年，财政拨款“三公”经费预算安排</w:t>
      </w:r>
      <w:r>
        <w:rPr>
          <w:rFonts w:ascii="仿宋_GB2312" w:eastAsia="仿宋_GB2312" w:hAnsi="仿宋_GB2312" w:cs="仿宋_GB2312"/>
          <w:sz w:val="32"/>
          <w:szCs w:val="32"/>
        </w:rPr>
        <w:t>76.26</w:t>
      </w:r>
      <w:r>
        <w:rPr>
          <w:rFonts w:ascii="仿宋_GB2312" w:eastAsia="仿宋_GB2312" w:hAnsi="仿宋_GB2312" w:cs="仿宋_GB2312" w:hint="eastAsia"/>
          <w:sz w:val="32"/>
          <w:szCs w:val="32"/>
        </w:rPr>
        <w:t>万元，“三公”经费较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年减少</w:t>
      </w:r>
      <w:r>
        <w:rPr>
          <w:rFonts w:ascii="仿宋_GB2312" w:eastAsia="仿宋_GB2312" w:hAnsi="仿宋_GB2312" w:cs="仿宋_GB2312"/>
          <w:sz w:val="32"/>
          <w:szCs w:val="32"/>
        </w:rPr>
        <w:t>50.07</w:t>
      </w:r>
      <w:r>
        <w:rPr>
          <w:rFonts w:ascii="仿宋_GB2312" w:eastAsia="仿宋_GB2312" w:hAnsi="仿宋_GB2312" w:cs="仿宋_GB2312" w:hint="eastAsia"/>
          <w:sz w:val="32"/>
          <w:szCs w:val="32"/>
        </w:rPr>
        <w:t>万元，主要原因是本着厉行节约原则，控制三公经费支出。其中：公务用车购置及运维费</w:t>
      </w:r>
      <w:r>
        <w:rPr>
          <w:rFonts w:ascii="仿宋_GB2312" w:eastAsia="仿宋_GB2312" w:hAnsi="仿宋_GB2312" w:cs="仿宋_GB2312"/>
          <w:sz w:val="32"/>
          <w:szCs w:val="32"/>
        </w:rPr>
        <w:t>53.3</w:t>
      </w:r>
      <w:r>
        <w:rPr>
          <w:rFonts w:ascii="仿宋_GB2312" w:eastAsia="仿宋_GB2312" w:hAnsi="仿宋_GB2312" w:cs="仿宋_GB2312" w:hint="eastAsia"/>
          <w:sz w:val="32"/>
          <w:szCs w:val="32"/>
        </w:rPr>
        <w:t>万元（其中：公务用车购置费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万元、公务用车运行费</w:t>
      </w:r>
      <w:r>
        <w:rPr>
          <w:rFonts w:ascii="仿宋_GB2312" w:eastAsia="仿宋_GB2312" w:hAnsi="仿宋_GB2312" w:cs="仿宋_GB2312"/>
          <w:sz w:val="32"/>
          <w:szCs w:val="32"/>
        </w:rPr>
        <w:t>53.3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较上年减少</w:t>
      </w:r>
      <w:r>
        <w:rPr>
          <w:rFonts w:ascii="仿宋_GB2312" w:eastAsia="仿宋_GB2312" w:hAnsi="仿宋_GB2312" w:cs="仿宋_GB2312" w:hint="eastAsia"/>
          <w:sz w:val="32"/>
          <w:szCs w:val="32"/>
        </w:rPr>
        <w:t>40万元</w:t>
      </w:r>
      <w:r>
        <w:rPr>
          <w:rFonts w:ascii="仿宋_GB2312" w:eastAsia="仿宋_GB2312" w:hAnsi="仿宋_GB2312" w:cs="仿宋_GB2312"/>
          <w:sz w:val="32"/>
          <w:szCs w:val="32"/>
        </w:rPr>
        <w:t>，主要原因为我局</w:t>
      </w:r>
      <w:r>
        <w:rPr>
          <w:rFonts w:ascii="仿宋_GB2312" w:eastAsia="仿宋_GB2312" w:hAnsi="仿宋_GB2312" w:cs="仿宋_GB2312" w:hint="eastAsia"/>
          <w:sz w:val="32"/>
          <w:szCs w:val="32"/>
        </w:rPr>
        <w:t>严格控制</w:t>
      </w:r>
      <w:r>
        <w:rPr>
          <w:rFonts w:ascii="仿宋_GB2312" w:eastAsia="仿宋_GB2312" w:hAnsi="仿宋_GB2312" w:cs="仿宋_GB2312"/>
          <w:sz w:val="32"/>
          <w:szCs w:val="32"/>
        </w:rPr>
        <w:t>公务用车运行维护费</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22.96</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较上年减少</w:t>
      </w:r>
      <w:r>
        <w:rPr>
          <w:rFonts w:ascii="仿宋_GB2312" w:eastAsia="仿宋_GB2312" w:hAnsi="仿宋_GB2312" w:cs="仿宋_GB2312" w:hint="eastAsia"/>
          <w:sz w:val="32"/>
          <w:szCs w:val="32"/>
        </w:rPr>
        <w:t>0.07万元</w:t>
      </w:r>
      <w:r>
        <w:rPr>
          <w:rFonts w:ascii="仿宋_GB2312" w:eastAsia="仿宋_GB2312" w:hAnsi="仿宋_GB2312" w:cs="仿宋_GB2312"/>
          <w:sz w:val="32"/>
          <w:szCs w:val="32"/>
        </w:rPr>
        <w:t>，主要原因为我局严格控制公务接待费</w:t>
      </w:r>
      <w:r>
        <w:rPr>
          <w:rFonts w:ascii="仿宋_GB2312" w:eastAsia="仿宋_GB2312" w:hAnsi="仿宋_GB2312" w:cs="仿宋_GB2312" w:hint="eastAsia"/>
          <w:sz w:val="32"/>
          <w:szCs w:val="32"/>
        </w:rPr>
        <w:t>；因公出国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费0万元，</w:t>
      </w:r>
      <w:r>
        <w:rPr>
          <w:rFonts w:ascii="仿宋_GB2312" w:eastAsia="仿宋_GB2312" w:hAnsi="仿宋_GB2312" w:cs="仿宋_GB2312"/>
          <w:sz w:val="32"/>
          <w:szCs w:val="32"/>
        </w:rPr>
        <w:t>本年未发生因公出国</w:t>
      </w:r>
      <w:r>
        <w:rPr>
          <w:rFonts w:ascii="仿宋_GB2312" w:eastAsia="仿宋_GB2312" w:hAnsi="仿宋_GB2312" w:cs="仿宋_GB2312" w:hint="eastAsia"/>
          <w:sz w:val="32"/>
          <w:szCs w:val="32"/>
        </w:rPr>
        <w:t>。</w:t>
      </w:r>
    </w:p>
    <w:p>
      <w:pPr>
        <w:autoSpaceDE w:val="0"/>
        <w:autoSpaceDN w:val="0"/>
        <w:adjustRightInd w:val="0"/>
        <w:ind w:left="198" w:firstLine="640" w:firstLineChars="200"/>
        <w:jc w:val="left"/>
        <w:rPr>
          <w:rFonts w:ascii="仿宋_GB2312" w:eastAsia="仿宋_GB2312" w:hAnsi="仿宋_GB2312" w:cs="仿宋_GB2312"/>
          <w:sz w:val="32"/>
          <w:szCs w:val="32"/>
        </w:rPr>
      </w:pPr>
      <w:r>
        <w:rPr>
          <w:rFonts w:ascii="黑体" w:eastAsia="黑体" w:hAnsi="黑体" w:cs="Times New Roman" w:hint="eastAsia"/>
          <w:sz w:val="32"/>
          <w:szCs w:val="32"/>
        </w:rPr>
        <w:t>五、绩效预算信息</w:t>
      </w:r>
    </w:p>
    <w:p>
      <w:pPr>
        <w:ind w:firstLine="640" w:firstLineChars="200"/>
        <w:jc w:val="left"/>
        <w:outlineLvl w:val="1"/>
        <w:rPr>
          <w:rFonts w:ascii="仿宋_GB2312" w:eastAsia="仿宋_GB2312" w:hAnsi="宋体"/>
          <w:sz w:val="32"/>
          <w:szCs w:val="32"/>
        </w:rPr>
      </w:pPr>
      <w:r>
        <w:rPr>
          <w:rFonts w:ascii="仿宋_GB2312" w:eastAsia="仿宋_GB2312" w:hAnsi="宋体" w:hint="eastAsia"/>
          <w:sz w:val="32"/>
          <w:szCs w:val="32"/>
        </w:rPr>
        <w:t>（一）、总体绩效目标</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2020</w:t>
      </w:r>
      <w:r>
        <w:rPr>
          <w:rFonts w:ascii="仿宋_GB2312" w:eastAsia="仿宋_GB2312" w:hAnsi="宋体" w:hint="eastAsia"/>
          <w:sz w:val="32"/>
          <w:szCs w:val="32"/>
        </w:rPr>
        <w:t>年是全面建成小康社会、实现第一个百年奋斗目标的决胜之年，是实现“十三五”目标、完成污染防治三年作战计划的收官之年。全市生态系统坚持以习近平生态文明思想为指导，认真学习贯彻中央、省、市重要会议精神，立足“两区”建设定位，围绕“提升生态环境治理能力”这一主线，按照“精准治污、科学治污、依法治污、源头防控、精细化管控”的原则，强力推进大气、水、土壤、环境安全“四大保卫战”，完善科学监管、综合执法、监测监控、技术支撑、社会共治“五大保障体系”，抓好思想、政治、作风、能力“四大建设”，加快强基础、补短板，突出生态环境高水平保护，服务经济社会高质量发展，坚决打赢污染防治攻坚战。主要目标是：</w:t>
      </w:r>
      <w:r>
        <w:rPr>
          <w:rFonts w:ascii="仿宋_GB2312" w:eastAsia="仿宋_GB2312" w:hAnsi="宋体"/>
          <w:sz w:val="32"/>
          <w:szCs w:val="32"/>
        </w:rPr>
        <w:t>2020</w:t>
      </w:r>
      <w:r>
        <w:rPr>
          <w:rFonts w:ascii="仿宋_GB2312" w:eastAsia="仿宋_GB2312" w:hAnsi="宋体" w:hint="eastAsia"/>
          <w:sz w:val="32"/>
          <w:szCs w:val="32"/>
        </w:rPr>
        <w:t>年市区</w:t>
      </w:r>
      <w:r>
        <w:rPr>
          <w:rFonts w:ascii="仿宋_GB2312" w:eastAsia="仿宋_GB2312" w:hAnsi="宋体"/>
          <w:sz w:val="32"/>
          <w:szCs w:val="32"/>
        </w:rPr>
        <w:t>PM2.5</w:t>
      </w:r>
      <w:r>
        <w:rPr>
          <w:rFonts w:ascii="仿宋_GB2312" w:eastAsia="仿宋_GB2312" w:hAnsi="宋体" w:hint="eastAsia"/>
          <w:sz w:val="32"/>
          <w:szCs w:val="32"/>
        </w:rPr>
        <w:t>年均浓度力争较</w:t>
      </w:r>
      <w:r>
        <w:rPr>
          <w:rFonts w:ascii="仿宋_GB2312" w:eastAsia="仿宋_GB2312" w:hAnsi="宋体"/>
          <w:sz w:val="32"/>
          <w:szCs w:val="32"/>
        </w:rPr>
        <w:t>2019</w:t>
      </w:r>
      <w:r>
        <w:rPr>
          <w:rFonts w:ascii="仿宋_GB2312" w:eastAsia="仿宋_GB2312" w:hAnsi="宋体" w:hint="eastAsia"/>
          <w:sz w:val="32"/>
          <w:szCs w:val="32"/>
        </w:rPr>
        <w:t>年实现持续改善；全市</w:t>
      </w:r>
      <w:r>
        <w:rPr>
          <w:rFonts w:ascii="仿宋_GB2312" w:eastAsia="仿宋_GB2312" w:hAnsi="宋体"/>
          <w:sz w:val="32"/>
          <w:szCs w:val="32"/>
        </w:rPr>
        <w:t>19</w:t>
      </w:r>
      <w:r>
        <w:rPr>
          <w:rFonts w:ascii="仿宋_GB2312" w:eastAsia="仿宋_GB2312" w:hAnsi="宋体" w:hint="eastAsia"/>
          <w:sz w:val="32"/>
          <w:szCs w:val="32"/>
        </w:rPr>
        <w:t>个国、省考地表水断面达到或好于Ⅲ类水质比例</w:t>
      </w:r>
      <w:r>
        <w:rPr>
          <w:rFonts w:ascii="仿宋_GB2312" w:eastAsia="仿宋_GB2312" w:hAnsi="宋体"/>
          <w:sz w:val="32"/>
          <w:szCs w:val="32"/>
        </w:rPr>
        <w:t>100%</w:t>
      </w:r>
      <w:r>
        <w:rPr>
          <w:rFonts w:ascii="仿宋_GB2312" w:eastAsia="仿宋_GB2312" w:hAnsi="宋体" w:hint="eastAsia"/>
          <w:sz w:val="32"/>
          <w:szCs w:val="32"/>
        </w:rPr>
        <w:t>；二氧化硫、氮氧化物、化学需氧量、氨氮四项主要污染物总量减排比例完成省下达指标任务，圆满完成污染防治攻坚三年行动计划目标任务。</w:t>
      </w:r>
    </w:p>
    <w:p>
      <w:pPr>
        <w:spacing w:line="500" w:lineRule="exact"/>
        <w:ind w:firstLine="640" w:firstLineChars="200"/>
        <w:jc w:val="left"/>
        <w:outlineLvl w:val="1"/>
        <w:rPr>
          <w:rFonts w:ascii="仿宋_GB2312" w:eastAsia="仿宋_GB2312" w:hAnsi="宋体"/>
          <w:sz w:val="32"/>
          <w:szCs w:val="32"/>
        </w:rPr>
      </w:pPr>
      <w:r>
        <w:rPr>
          <w:rFonts w:ascii="仿宋_GB2312" w:eastAsia="仿宋_GB2312" w:hAnsi="宋体" w:hint="eastAsia"/>
          <w:sz w:val="32"/>
          <w:szCs w:val="32"/>
        </w:rPr>
        <w:t>（二）、分项绩效目标</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 xml:space="preserve">    1</w:t>
      </w:r>
      <w:r>
        <w:rPr>
          <w:rFonts w:ascii="仿宋_GB2312" w:eastAsia="仿宋_GB2312" w:hAnsi="宋体" w:hint="eastAsia"/>
          <w:sz w:val="32"/>
          <w:szCs w:val="32"/>
        </w:rPr>
        <w:t>、水环境质量持续改善</w:t>
      </w:r>
    </w:p>
    <w:p>
      <w:pPr>
        <w:spacing w:line="500" w:lineRule="exact"/>
        <w:ind w:firstLine="640" w:firstLineChars="200"/>
        <w:jc w:val="left"/>
        <w:rPr>
          <w:rFonts w:ascii="仿宋_GB2312" w:eastAsia="仿宋_GB2312" w:hAnsi="宋体"/>
          <w:sz w:val="32"/>
          <w:szCs w:val="32"/>
        </w:rPr>
      </w:pPr>
      <w:r>
        <w:rPr>
          <w:rFonts w:ascii="仿宋_GB2312" w:eastAsia="仿宋_GB2312" w:hAnsi="宋体" w:hint="eastAsia"/>
          <w:sz w:val="32"/>
          <w:szCs w:val="32"/>
        </w:rPr>
        <w:t>绩效目标：按照系统治理、精细化管控的原则，以全域水质稳定达标为目标，以重点工程项目为抓手，强化协同发力、城乡共治、全时段管控，统筹做好水污染防治各项工作。</w:t>
      </w:r>
    </w:p>
    <w:p>
      <w:pPr>
        <w:spacing w:line="500" w:lineRule="exact"/>
        <w:ind w:firstLine="640" w:firstLineChars="200"/>
        <w:jc w:val="left"/>
        <w:rPr>
          <w:rFonts w:ascii="仿宋_GB2312" w:eastAsia="仿宋_GB2312" w:hAnsi="宋体"/>
          <w:sz w:val="32"/>
          <w:szCs w:val="32"/>
        </w:rPr>
      </w:pPr>
      <w:r>
        <w:rPr>
          <w:rFonts w:ascii="仿宋_GB2312" w:eastAsia="仿宋_GB2312" w:hAnsi="宋体" w:hint="eastAsia"/>
          <w:sz w:val="32"/>
          <w:szCs w:val="32"/>
        </w:rPr>
        <w:t>绩效指标：编制完成《滦河流域生态环境保护规划》；持续推进与北京市密云区、怀柔区流域联建联防联治工作，落实《潮河流域生态环境联建联防联治</w:t>
      </w:r>
      <w:r>
        <w:rPr>
          <w:rFonts w:ascii="仿宋_GB2312" w:eastAsia="仿宋_GB2312" w:hAnsi="宋体"/>
          <w:sz w:val="32"/>
          <w:szCs w:val="32"/>
        </w:rPr>
        <w:t>2020</w:t>
      </w:r>
      <w:r>
        <w:rPr>
          <w:rFonts w:ascii="仿宋_GB2312" w:eastAsia="仿宋_GB2312" w:hAnsi="宋体" w:hint="eastAsia"/>
          <w:sz w:val="32"/>
          <w:szCs w:val="32"/>
        </w:rPr>
        <w:t>年实施方案》；加快推进巴克什营镇污水处理厂及尾水处理工程等</w:t>
      </w:r>
      <w:r>
        <w:rPr>
          <w:rFonts w:ascii="仿宋_GB2312" w:eastAsia="仿宋_GB2312" w:hAnsi="宋体"/>
          <w:sz w:val="32"/>
          <w:szCs w:val="32"/>
        </w:rPr>
        <w:t>10</w:t>
      </w:r>
      <w:r>
        <w:rPr>
          <w:rFonts w:ascii="仿宋_GB2312" w:eastAsia="仿宋_GB2312" w:hAnsi="宋体" w:hint="eastAsia"/>
          <w:sz w:val="32"/>
          <w:szCs w:val="32"/>
        </w:rPr>
        <w:t>个重点项目；按全省统一要求完成全市县级以上集中式饮用水水源保护区勘界定标等。</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 xml:space="preserve">    2</w:t>
      </w:r>
      <w:r>
        <w:rPr>
          <w:rFonts w:ascii="仿宋_GB2312" w:eastAsia="仿宋_GB2312" w:hAnsi="宋体" w:hint="eastAsia"/>
          <w:sz w:val="32"/>
          <w:szCs w:val="32"/>
        </w:rPr>
        <w:t>、空气质量持续改善</w:t>
      </w:r>
    </w:p>
    <w:p>
      <w:pPr>
        <w:spacing w:line="500" w:lineRule="exact"/>
        <w:ind w:firstLine="640" w:firstLineChars="200"/>
        <w:jc w:val="left"/>
        <w:rPr>
          <w:rFonts w:ascii="仿宋_GB2312" w:eastAsia="仿宋_GB2312" w:hAnsi="宋体"/>
          <w:sz w:val="32"/>
          <w:szCs w:val="32"/>
        </w:rPr>
      </w:pPr>
      <w:r>
        <w:rPr>
          <w:rFonts w:ascii="仿宋_GB2312" w:eastAsia="仿宋_GB2312" w:hAnsi="宋体" w:hint="eastAsia"/>
          <w:sz w:val="32"/>
          <w:szCs w:val="32"/>
        </w:rPr>
        <w:t>绩效目标：以打造京津冀地区最优的环境空气质量为目标，坚持问题导向，统筹“煤、企、车、尘”等重点领域，突出治本攻坚、科学治污和精细化治理，采取综合措施持续改善空气质量。</w:t>
      </w:r>
    </w:p>
    <w:p>
      <w:pPr>
        <w:spacing w:line="500" w:lineRule="exact"/>
        <w:ind w:firstLine="640" w:firstLineChars="200"/>
        <w:jc w:val="left"/>
        <w:rPr>
          <w:rFonts w:ascii="仿宋_GB2312" w:eastAsia="仿宋_GB2312" w:hAnsi="宋体"/>
          <w:sz w:val="32"/>
          <w:szCs w:val="32"/>
        </w:rPr>
      </w:pPr>
      <w:r>
        <w:rPr>
          <w:rFonts w:ascii="仿宋_GB2312" w:eastAsia="仿宋_GB2312" w:hAnsi="宋体" w:hint="eastAsia"/>
          <w:sz w:val="32"/>
          <w:szCs w:val="32"/>
        </w:rPr>
        <w:t>绩效指标：进一步削减煤炭消费总量，积极推进清洁取暖，加快推进清洁能源替代，对偏远山区的实施洁净型煤、兰炭、无烟煤托底政策，全市散煤网点煤质抽检覆盖率达到</w:t>
      </w:r>
      <w:r>
        <w:rPr>
          <w:rFonts w:ascii="仿宋_GB2312" w:eastAsia="仿宋_GB2312" w:hAnsi="宋体"/>
          <w:sz w:val="32"/>
          <w:szCs w:val="32"/>
        </w:rPr>
        <w:t>100%</w:t>
      </w:r>
      <w:r>
        <w:rPr>
          <w:rFonts w:ascii="仿宋_GB2312" w:eastAsia="仿宋_GB2312" w:hAnsi="宋体" w:hint="eastAsia"/>
          <w:sz w:val="32"/>
          <w:szCs w:val="32"/>
        </w:rPr>
        <w:t>；大力推进重点企业超低排放和深度整治；加大扬尘综合整治，推进建筑施工工地实施六个百分百和两个全覆盖，大力整治城市裸露土地，加大机械化清扫力度，城市主城区和县（市、区）建城区均达到</w:t>
      </w:r>
      <w:r>
        <w:rPr>
          <w:rFonts w:ascii="仿宋_GB2312" w:eastAsia="仿宋_GB2312" w:hAnsi="宋体"/>
          <w:sz w:val="32"/>
          <w:szCs w:val="32"/>
        </w:rPr>
        <w:t>85%</w:t>
      </w:r>
      <w:r>
        <w:rPr>
          <w:rFonts w:ascii="仿宋_GB2312" w:eastAsia="仿宋_GB2312" w:hAnsi="宋体" w:hint="eastAsia"/>
          <w:sz w:val="32"/>
          <w:szCs w:val="32"/>
        </w:rPr>
        <w:t>，可机扫区域机械化清扫</w:t>
      </w:r>
      <w:r>
        <w:rPr>
          <w:rFonts w:ascii="仿宋_GB2312" w:eastAsia="仿宋_GB2312" w:hAnsi="宋体"/>
          <w:sz w:val="32"/>
          <w:szCs w:val="32"/>
        </w:rPr>
        <w:t>100%</w:t>
      </w:r>
      <w:r>
        <w:rPr>
          <w:rFonts w:ascii="仿宋_GB2312" w:eastAsia="仿宋_GB2312" w:hAnsi="宋体" w:hint="eastAsia"/>
          <w:sz w:val="32"/>
          <w:szCs w:val="32"/>
        </w:rPr>
        <w:t>全覆盖。</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、土壤环境持续改善</w:t>
      </w:r>
    </w:p>
    <w:p>
      <w:pPr>
        <w:spacing w:line="500" w:lineRule="exact"/>
        <w:ind w:firstLine="640" w:firstLineChars="200"/>
        <w:jc w:val="left"/>
        <w:rPr>
          <w:rFonts w:ascii="仿宋_GB2312" w:eastAsia="仿宋_GB2312" w:hAnsi="宋体"/>
          <w:sz w:val="32"/>
          <w:szCs w:val="32"/>
        </w:rPr>
      </w:pPr>
      <w:r>
        <w:rPr>
          <w:rFonts w:ascii="仿宋_GB2312" w:eastAsia="仿宋_GB2312" w:hAnsi="宋体" w:hint="eastAsia"/>
          <w:sz w:val="32"/>
          <w:szCs w:val="32"/>
        </w:rPr>
        <w:t>绩效目标：以改善环境质量为核心，按照“科学有序、分类治理”的原则，深入推进土壤污染防治</w:t>
      </w:r>
      <w:r>
        <w:rPr>
          <w:rFonts w:ascii="仿宋_GB2312" w:eastAsia="仿宋_GB2312" w:hAnsi="宋体"/>
          <w:sz w:val="32"/>
          <w:szCs w:val="32"/>
        </w:rPr>
        <w:t>.</w:t>
      </w:r>
    </w:p>
    <w:p>
      <w:pPr>
        <w:spacing w:line="500" w:lineRule="exact"/>
        <w:ind w:firstLine="640" w:firstLineChars="200"/>
        <w:jc w:val="left"/>
        <w:rPr>
          <w:rFonts w:ascii="仿宋_GB2312" w:eastAsia="仿宋_GB2312" w:hAnsi="宋体"/>
          <w:sz w:val="32"/>
          <w:szCs w:val="32"/>
        </w:rPr>
      </w:pPr>
      <w:r>
        <w:rPr>
          <w:rFonts w:ascii="仿宋_GB2312" w:eastAsia="仿宋_GB2312" w:hAnsi="宋体" w:hint="eastAsia"/>
          <w:sz w:val="32"/>
          <w:szCs w:val="32"/>
        </w:rPr>
        <w:t>绩效指标：完成</w:t>
      </w:r>
      <w:r>
        <w:rPr>
          <w:rFonts w:ascii="仿宋_GB2312" w:eastAsia="仿宋_GB2312" w:hAnsi="宋体"/>
          <w:sz w:val="32"/>
          <w:szCs w:val="32"/>
        </w:rPr>
        <w:t>2019</w:t>
      </w:r>
      <w:r>
        <w:rPr>
          <w:rFonts w:ascii="仿宋_GB2312" w:eastAsia="仿宋_GB2312" w:hAnsi="宋体" w:hint="eastAsia"/>
          <w:sz w:val="32"/>
          <w:szCs w:val="32"/>
        </w:rPr>
        <w:t>年露天矿山达标验收公示工作；</w:t>
      </w:r>
      <w:r>
        <w:rPr>
          <w:rFonts w:ascii="仿宋_GB2312" w:eastAsia="仿宋_GB2312" w:hAnsi="宋体"/>
          <w:sz w:val="32"/>
          <w:szCs w:val="32"/>
        </w:rPr>
        <w:t>2020</w:t>
      </w:r>
      <w:r>
        <w:rPr>
          <w:rFonts w:ascii="仿宋_GB2312" w:eastAsia="仿宋_GB2312" w:hAnsi="宋体" w:hint="eastAsia"/>
          <w:sz w:val="32"/>
          <w:szCs w:val="32"/>
        </w:rPr>
        <w:t>年底前完成</w:t>
      </w:r>
      <w:r>
        <w:rPr>
          <w:rFonts w:ascii="仿宋_GB2312" w:eastAsia="仿宋_GB2312" w:hAnsi="宋体"/>
          <w:sz w:val="32"/>
          <w:szCs w:val="32"/>
        </w:rPr>
        <w:t>60</w:t>
      </w:r>
      <w:r>
        <w:rPr>
          <w:rFonts w:ascii="仿宋_GB2312" w:eastAsia="仿宋_GB2312" w:hAnsi="宋体" w:hint="eastAsia"/>
          <w:sz w:val="32"/>
          <w:szCs w:val="32"/>
        </w:rPr>
        <w:t>个村庄的农村生活污水治理任务。</w:t>
      </w:r>
    </w:p>
    <w:p>
      <w:pPr>
        <w:spacing w:line="500" w:lineRule="exact"/>
        <w:ind w:firstLine="640" w:firstLineChars="200"/>
        <w:jc w:val="left"/>
        <w:outlineLvl w:val="1"/>
        <w:rPr>
          <w:rFonts w:ascii="仿宋_GB2312" w:eastAsia="仿宋_GB2312" w:hAnsi="宋体"/>
          <w:sz w:val="32"/>
          <w:szCs w:val="32"/>
        </w:rPr>
      </w:pPr>
      <w:r>
        <w:rPr>
          <w:rFonts w:ascii="仿宋_GB2312" w:eastAsia="仿宋_GB2312" w:hAnsi="宋体" w:hint="eastAsia"/>
          <w:sz w:val="32"/>
          <w:szCs w:val="32"/>
        </w:rPr>
        <w:t>（三）工作保障措施</w:t>
      </w:r>
      <w:r>
        <w:rPr>
          <w:rFonts w:ascii="仿宋_GB2312" w:eastAsia="仿宋_GB2312" w:hAnsi="宋体"/>
          <w:sz w:val="32"/>
          <w:szCs w:val="32"/>
        </w:rPr>
        <w:fldChar w:fldCharType="begin"/>
      </w:r>
      <w:r>
        <w:rPr>
          <w:rFonts w:ascii="仿宋_GB2312" w:eastAsia="仿宋_GB2312" w:hAnsi="宋体"/>
          <w:sz w:val="32"/>
          <w:szCs w:val="32"/>
        </w:rPr>
        <w:instrText>tc "</w:instrText>
      </w:r>
      <w:bookmarkStart w:id="0" w:name="_Toc32221130"/>
      <w:r>
        <w:rPr>
          <w:rFonts w:ascii="仿宋_GB2312" w:eastAsia="仿宋_GB2312" w:hAnsi="宋体" w:hint="eastAsia"/>
          <w:sz w:val="32"/>
          <w:szCs w:val="32"/>
        </w:rPr>
        <w:instrText>工作保障措施</w:instrText>
      </w:r>
      <w:bookmarkEnd w:id="0"/>
      <w:r>
        <w:rPr>
          <w:rFonts w:ascii="仿宋_GB2312" w:eastAsia="仿宋_GB2312" w:hAnsi="宋体"/>
          <w:sz w:val="32"/>
          <w:szCs w:val="32"/>
        </w:rPr>
        <w:instrText>" \f A \l 0001</w:instrText>
      </w:r>
      <w:r>
        <w:rPr>
          <w:rFonts w:ascii="仿宋_GB2312" w:eastAsia="仿宋_GB2312" w:hAnsi="宋体"/>
          <w:sz w:val="32"/>
          <w:szCs w:val="32"/>
        </w:rPr>
        <w:fldChar w:fldCharType="end"/>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聚焦“四大建设”，全面提升队伍战斗能力。围绕打造生态环保铁军，突出抓好思想、政治、作风、能力“四大建设”。把坚定理想信念作为党的思想建设的首要任务，持续推动学习贯彻习近平新时代中国特色社会主义思想往深里走、往心里走、往实里走；紧紧围绕“服务中心、建设队伍”两大任务，强化党建责任三级清单管理，建立健全机关党委推进落实、党支部具体落实和有关负责人履行“一岗双责”的机关党建工作责任体系；严格落实全面从严治党主体责任，认真落实“一岗双责”，强化对县（市、区）分局分党组党风廉政建设工作的监督检查力度；切实发挥好干部考核和绩效评价作用，着力培养选拔忠诚干净担当的高素质干部，注重年轻干部培养，为打赢污染防治攻坚战提供坚实保障。</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强化生态环境技术支撑体系建设。积极与生态环境部环境规划院、国家生态环境科学研究院合作。依托工作站全面拓展科研技术领域服务，开展中长期环境战略规划与年度计划、污染防治和生态保护、流域区域和城市环境保护等规划编制研究，突出抓好“两区”建设生态环境管理机制、水环境污染治理、大气环境污染治理（臭氧污染物来源与控制研究）、土壤环境污染调查与修复、生态环境空间管控等专项研究。充分发挥第三方技术服务机构作用，深入开展点穴调研、问题剖析、数据分析等技术服务工作，为科学决策提供有力保障。</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强化社会共治体系建设。重新修订《承德市生态环境保护责任规定》，强化“党政同责、一岗双责、分工负责、协调联动”。健全环境保护督察体系，完善督查、交办、巡查、约谈、专项督察机制。对污染防治不力或生态环境质量恶化的县（市、区）组织开展体检式、解剖式督察，解决“最后一公里”问题。建立环境保护“守信激励、失信惩戒”机制，扎实推进企业环境信用评价工作。搭建生态环境保护公众参与平台，完善环境信息公开制度，健全生态环境新闻发布机制，向社会开放符合条件的环保设施和城市污水垃圾处理设施。建立</w:t>
      </w:r>
      <w:r>
        <w:rPr>
          <w:rFonts w:ascii="仿宋_GB2312" w:eastAsia="仿宋_GB2312" w:hAnsi="宋体"/>
          <w:sz w:val="32"/>
          <w:szCs w:val="32"/>
        </w:rPr>
        <w:t>2</w:t>
      </w:r>
      <w:r>
        <w:rPr>
          <w:rFonts w:ascii="仿宋_GB2312" w:eastAsia="仿宋_GB2312" w:hAnsi="宋体" w:hint="eastAsia"/>
          <w:sz w:val="32"/>
          <w:szCs w:val="32"/>
        </w:rPr>
        <w:t>处环境教育基地，增加趣味性和参与性。完善公众监督、举报反馈机制，推动环保社会组织和志愿者队伍规范健康发展，引导环保社会组织依法开展生态环境保护公益诉讼等活动。充分调动各级、各部门和社会各界力量，共同做好生态环境治理。</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逐步完善财务预算管理制度建设。建立健全预算编制、政府采购、绩效评价等制度体系。进一步完善预算执行、政府采购、支出管控等方面的规章制度，严格预算执行，加强审批程序，规范支出管理，确保达到支出进度要求。</w:t>
      </w:r>
    </w:p>
    <w:p>
      <w:pPr>
        <w:spacing w:line="500" w:lineRule="exact"/>
        <w:ind w:firstLine="640" w:firstLineChars="200"/>
        <w:jc w:val="left"/>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四</w:t>
      </w:r>
      <w:r>
        <w:rPr>
          <w:rFonts w:ascii="仿宋_GB2312" w:eastAsia="仿宋_GB2312" w:hAnsi="宋体"/>
          <w:sz w:val="32"/>
          <w:szCs w:val="32"/>
        </w:rPr>
        <w:t>)</w:t>
      </w:r>
      <w:r>
        <w:rPr>
          <w:rFonts w:ascii="仿宋_GB2312" w:eastAsia="仿宋_GB2312" w:hAnsi="宋体" w:hint="eastAsia"/>
          <w:sz w:val="32"/>
          <w:szCs w:val="32"/>
        </w:rPr>
        <w:t>专项资金绩效目标</w:t>
      </w:r>
    </w:p>
    <w:p>
      <w:pPr>
        <w:ind w:firstLine="560" w:firstLineChars="200"/>
        <w:jc w:val="left"/>
        <w:outlineLvl w:val="1"/>
        <w:rPr>
          <w:rFonts w:hAnsi="宋体"/>
          <w:b/>
          <w:sz w:val="28"/>
        </w:rPr>
      </w:pPr>
      <w:r>
        <w:rPr>
          <w:rFonts w:ascii="方正仿宋_GBK" w:eastAsia="方正仿宋_GBK"/>
          <w:b/>
          <w:sz w:val="28"/>
        </w:rPr>
        <w:t>1</w:t>
      </w:r>
      <w:r>
        <w:rPr>
          <w:rFonts w:ascii="方正仿宋_GBK" w:eastAsia="方正仿宋_GBK" w:hint="eastAsia"/>
          <w:b/>
          <w:sz w:val="28"/>
        </w:rPr>
        <w:t>、承德市重点企业清洁生产评估验收经费绩效目标表</w:t>
      </w:r>
      <w:r>
        <w:rPr>
          <w:rFonts w:ascii="方正仿宋_GBK" w:eastAsia="方正仿宋_GBK"/>
          <w:b/>
          <w:sz w:val="28"/>
        </w:rPr>
        <w:fldChar w:fldCharType="begin"/>
      </w:r>
      <w:r>
        <w:rPr>
          <w:rFonts w:ascii="方正仿宋_GBK" w:eastAsia="方正仿宋_GBK"/>
          <w:b/>
          <w:sz w:val="28"/>
        </w:rPr>
        <w:instrText>tc "</w:instrText>
      </w:r>
      <w:bookmarkStart w:id="1" w:name="_Toc32221131"/>
      <w:r>
        <w:rPr>
          <w:rFonts w:ascii="方正仿宋_GBK" w:eastAsia="方正仿宋_GBK"/>
          <w:b/>
          <w:sz w:val="28"/>
        </w:rPr>
        <w:instrText>1</w:instrText>
      </w:r>
      <w:r>
        <w:rPr>
          <w:rFonts w:ascii="方正仿宋_GBK" w:eastAsia="方正仿宋_GBK" w:hint="eastAsia"/>
          <w:b/>
          <w:sz w:val="28"/>
        </w:rPr>
        <w:instrText>、承德市重点企业清洁生产评估验收经费绩效目标表</w:instrText>
      </w:r>
      <w:bookmarkEnd w:id="1"/>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000-9999-JSN-0LXF</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承德市重点企业清洁生产评估验收经费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用于承德市域范围内，年度清洁生产企业的评估验收。</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、依照年度完成清洁生产推进计划。</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、促进清洁生产工作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清洁生产推进计划完成率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清洁生产推进计划完成率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重点行业企业清洁生产审核验收率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重点行业企业清洁生产审核验收率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重点企业清洁生产验收工作所需成本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重点企业清洁生产验收经费不超出全年预算</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重点企业清洁生产评估验收数量</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重点企业清洁生产评估验收数量</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个</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重点企业清洁生产技术推广率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重点企业清洁生产技术推广率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ascii="方正仿宋_GBK" w:eastAsia="方正仿宋_GBK" w:hint="eastAsia"/>
          <w:b/>
          <w:sz w:val="28"/>
        </w:rPr>
        <w:t>、国家地表水水质自动监测站运维经费绩效目标表</w:t>
      </w:r>
      <w:r>
        <w:rPr>
          <w:rFonts w:ascii="方正仿宋_GBK" w:eastAsia="方正仿宋_GBK"/>
          <w:b/>
          <w:sz w:val="28"/>
        </w:rPr>
        <w:fldChar w:fldCharType="begin"/>
      </w:r>
      <w:r>
        <w:rPr>
          <w:rFonts w:ascii="方正仿宋_GBK" w:eastAsia="方正仿宋_GBK"/>
          <w:b/>
          <w:sz w:val="28"/>
        </w:rPr>
        <w:instrText>tc "</w:instrText>
      </w:r>
      <w:bookmarkStart w:id="2" w:name="_Toc32221132"/>
      <w:r>
        <w:rPr>
          <w:rFonts w:ascii="方正仿宋_GBK" w:eastAsia="方正仿宋_GBK"/>
          <w:b/>
          <w:sz w:val="28"/>
        </w:rPr>
        <w:instrText>2</w:instrText>
      </w:r>
      <w:r>
        <w:rPr>
          <w:rFonts w:ascii="方正仿宋_GBK" w:eastAsia="方正仿宋_GBK" w:hint="eastAsia"/>
          <w:b/>
          <w:sz w:val="28"/>
        </w:rPr>
        <w:instrText>、国家地表水水质自动监测站运维经费绩效目标表</w:instrText>
      </w:r>
      <w:bookmarkEnd w:id="2"/>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000-9999-JSN-V6B0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国家地表水水质自动监测站运维经费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完成国家地表水水质自动监测站运维工作</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、保障国家地表水水质自动监测站正常运行</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、国家地表水水质自动监测站提供有效数据</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水质自动监测站的正常运行数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水质自动监测站的正常运行数</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个</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环境数据发布及时性</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环境数据发布及时率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保障全年水质自动监测站正常运行</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国家地表水水质自动监测站运维成本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国家地表水水质自动监测站运维经费不超过年度预算</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长期使用性</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水质自动监测站长期运行率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ascii="方正仿宋_GBK" w:eastAsia="方正仿宋_GBK" w:hint="eastAsia"/>
          <w:b/>
          <w:sz w:val="28"/>
        </w:rPr>
        <w:t>、环境监测经费绩效目标表</w:t>
      </w:r>
      <w:r>
        <w:rPr>
          <w:rFonts w:ascii="方正仿宋_GBK" w:eastAsia="方正仿宋_GBK"/>
          <w:b/>
          <w:sz w:val="28"/>
        </w:rPr>
        <w:fldChar w:fldCharType="begin"/>
      </w:r>
      <w:r>
        <w:rPr>
          <w:rFonts w:ascii="方正仿宋_GBK" w:eastAsia="方正仿宋_GBK"/>
          <w:b/>
          <w:sz w:val="28"/>
        </w:rPr>
        <w:instrText>tc "</w:instrText>
      </w:r>
      <w:bookmarkStart w:id="3" w:name="_Toc32221133"/>
      <w:r>
        <w:rPr>
          <w:rFonts w:ascii="方正仿宋_GBK" w:eastAsia="方正仿宋_GBK"/>
          <w:b/>
          <w:sz w:val="28"/>
        </w:rPr>
        <w:instrText>3</w:instrText>
      </w:r>
      <w:r>
        <w:rPr>
          <w:rFonts w:ascii="方正仿宋_GBK" w:eastAsia="方正仿宋_GBK" w:hint="eastAsia"/>
          <w:b/>
          <w:sz w:val="28"/>
        </w:rPr>
        <w:instrText>、环境监测经费绩效目标表</w:instrText>
      </w:r>
      <w:bookmarkEnd w:id="3"/>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000-9999-JSN-80PX</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环境监测经费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250.00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250.00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需开展以下监测工作：环境质量考核监测、重点企业污染源监测、环境污染事故应急监测及机动车尾气检测等。</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、确保环境监测质量，为污染减排、大气污染防治、环保目标考核等管理工作提供数据支撑</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监测点正常运转率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监测点正常运转率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排污企业污染物排放监测次数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全年度排污企业污染物排放监测次数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次</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监测服务所需成本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不超过全年预算</w:t>
            </w:r>
            <w:r>
              <w:rPr>
                <w:rFonts w:ascii="方正书宋_GBK" w:eastAsia="方正书宋_GBK"/>
              </w:rPr>
              <w:t>250</w:t>
            </w:r>
            <w:r>
              <w:rPr>
                <w:rFonts w:ascii="方正书宋_GBK" w:eastAsia="方正书宋_GBK" w:hint="eastAsia"/>
              </w:rPr>
              <w:t>万元</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生态预警信息预报及时率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预报及时率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水质自动监测站的正常运行数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水质自动监测站的正常运行数</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个</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长期使用性</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监测点运行可持续性</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受益群众满意度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受益群众满意度</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ascii="方正仿宋_GBK" w:eastAsia="方正仿宋_GBK" w:hint="eastAsia"/>
          <w:b/>
          <w:sz w:val="28"/>
        </w:rPr>
        <w:t>、建设软通动力颗粒物网络监测系统项目经费绩效目标表</w:t>
      </w:r>
      <w:r>
        <w:rPr>
          <w:rFonts w:ascii="方正仿宋_GBK" w:eastAsia="方正仿宋_GBK"/>
          <w:b/>
          <w:sz w:val="28"/>
        </w:rPr>
        <w:fldChar w:fldCharType="begin"/>
      </w:r>
      <w:r>
        <w:rPr>
          <w:rFonts w:ascii="方正仿宋_GBK" w:eastAsia="方正仿宋_GBK"/>
          <w:b/>
          <w:sz w:val="28"/>
        </w:rPr>
        <w:instrText>tc "</w:instrText>
      </w:r>
      <w:bookmarkStart w:id="4" w:name="_Toc32221134"/>
      <w:r>
        <w:rPr>
          <w:rFonts w:ascii="方正仿宋_GBK" w:eastAsia="方正仿宋_GBK"/>
          <w:b/>
          <w:sz w:val="28"/>
        </w:rPr>
        <w:instrText>4</w:instrText>
      </w:r>
      <w:r>
        <w:rPr>
          <w:rFonts w:ascii="方正仿宋_GBK" w:eastAsia="方正仿宋_GBK" w:hint="eastAsia"/>
          <w:b/>
          <w:sz w:val="28"/>
        </w:rPr>
        <w:instrText>、建设软通动力颗粒物网络监测系统项目经费绩效目标表</w:instrText>
      </w:r>
      <w:bookmarkEnd w:id="4"/>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000-9999-JSN-8L40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建设软通动力颗粒物网络监测系统项目经费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49.60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49.60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颗粒物网格化云监测服务项目，以重点企业、重点污染源为重点，开展</w:t>
            </w:r>
            <w:r>
              <w:rPr>
                <w:rFonts w:ascii="方正书宋_GBK" w:eastAsia="方正书宋_GBK"/>
              </w:rPr>
              <w:t>“</w:t>
            </w:r>
            <w:r>
              <w:rPr>
                <w:rFonts w:ascii="方正书宋_GBK" w:eastAsia="方正书宋_GBK" w:hint="eastAsia"/>
              </w:rPr>
              <w:t>颗粒物网格化云监测运营服务</w:t>
            </w:r>
            <w:r>
              <w:rPr>
                <w:rFonts w:ascii="方正书宋_GBK" w:eastAsia="方正书宋_GBK"/>
              </w:rPr>
              <w:t>”</w:t>
            </w:r>
            <w:r>
              <w:rPr>
                <w:rFonts w:ascii="方正书宋_GBK" w:eastAsia="方正书宋_GBK" w:hint="eastAsia"/>
              </w:rPr>
              <w:t>。</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、以重点企业、重点污染源为重点，开展</w:t>
            </w:r>
            <w:r>
              <w:rPr>
                <w:rFonts w:ascii="方正书宋_GBK" w:eastAsia="方正书宋_GBK"/>
              </w:rPr>
              <w:t>“</w:t>
            </w:r>
            <w:r>
              <w:rPr>
                <w:rFonts w:ascii="方正书宋_GBK" w:eastAsia="方正书宋_GBK" w:hint="eastAsia"/>
              </w:rPr>
              <w:t>颗粒物网格化云监测运营服务</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、颗粒物监测数据起到明显效果</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颗粒物监测数据有效率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颗粒物监测数据有效率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总结报告及评估报告完成率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运行成本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颗粒物网格化云监测服务年度运行经费</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49.6</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采购合同</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完成时间</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五年内完成颗粒物网格化云监测服务</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年</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采购合同</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细颗粒物浓度下降率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细颗粒物浓度同比下降的比率达到标准</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ascii="方正仿宋_GBK" w:eastAsia="方正仿宋_GBK" w:hint="eastAsia"/>
          <w:b/>
          <w:sz w:val="28"/>
        </w:rPr>
        <w:t>、露天矿山达标市级验收工作经费绩效目标表</w:t>
      </w:r>
      <w:r>
        <w:rPr>
          <w:rFonts w:ascii="方正仿宋_GBK" w:eastAsia="方正仿宋_GBK"/>
          <w:b/>
          <w:sz w:val="28"/>
        </w:rPr>
        <w:fldChar w:fldCharType="begin"/>
      </w:r>
      <w:r>
        <w:rPr>
          <w:rFonts w:ascii="方正仿宋_GBK" w:eastAsia="方正仿宋_GBK"/>
          <w:b/>
          <w:sz w:val="28"/>
        </w:rPr>
        <w:instrText>tc "</w:instrText>
      </w:r>
      <w:bookmarkStart w:id="5" w:name="_Toc32221135"/>
      <w:r>
        <w:rPr>
          <w:rFonts w:ascii="方正仿宋_GBK" w:eastAsia="方正仿宋_GBK"/>
          <w:b/>
          <w:sz w:val="28"/>
        </w:rPr>
        <w:instrText>5</w:instrText>
      </w:r>
      <w:r>
        <w:rPr>
          <w:rFonts w:ascii="方正仿宋_GBK" w:eastAsia="方正仿宋_GBK" w:hint="eastAsia"/>
          <w:b/>
          <w:sz w:val="28"/>
        </w:rPr>
        <w:instrText>、露天矿山达标市级验收工作经费绩效目标表</w:instrText>
      </w:r>
      <w:bookmarkEnd w:id="5"/>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000-9999-JSN-V6Z4</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露天矿山达标市级验收工作经费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51.00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51.00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为严格落实省、市关于矿山环保达标验收要求，确保验收专家与企业之间无利益关系，保障市级验收工作公平、公正、客观，预计年底验收约企业</w:t>
            </w:r>
            <w:r>
              <w:rPr>
                <w:rFonts w:ascii="方正书宋_GBK" w:eastAsia="方正书宋_GBK"/>
              </w:rPr>
              <w:t>160</w:t>
            </w:r>
            <w:r>
              <w:rPr>
                <w:rFonts w:ascii="方正书宋_GBK" w:eastAsia="方正书宋_GBK" w:hint="eastAsia"/>
              </w:rPr>
              <w:t>家、项目</w:t>
            </w:r>
            <w:r>
              <w:rPr>
                <w:rFonts w:ascii="方正书宋_GBK" w:eastAsia="方正书宋_GBK"/>
              </w:rPr>
              <w:t>240</w:t>
            </w:r>
            <w:r>
              <w:rPr>
                <w:rFonts w:ascii="方正书宋_GBK" w:eastAsia="方正书宋_GBK" w:hint="eastAsia"/>
              </w:rPr>
              <w:t>个。</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、落实省、市关于矿山环保达标验收要求</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、保障市级验收工作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露天矿山达标验收企业数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露天矿山达标验收企业数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个</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露天矿上达标企业验收通过率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露天矿上达标企业验收通过率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露天矿山达标验收经费运行成本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露天矿山达标市级验收工作经费不超过全年预算</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51</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露天矿山达标验收工作进展</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按工作要求完成露天矿山达标验收工作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改善空气质量</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空气质量按计划得到改善</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ascii="方正仿宋_GBK" w:eastAsia="方正仿宋_GBK" w:hint="eastAsia"/>
          <w:b/>
          <w:sz w:val="28"/>
        </w:rPr>
        <w:t>、生态环境保护宣传教育经费绩效目标表</w:t>
      </w:r>
      <w:r>
        <w:rPr>
          <w:rFonts w:ascii="方正仿宋_GBK" w:eastAsia="方正仿宋_GBK"/>
          <w:b/>
          <w:sz w:val="28"/>
        </w:rPr>
        <w:fldChar w:fldCharType="begin"/>
      </w:r>
      <w:r>
        <w:rPr>
          <w:rFonts w:ascii="方正仿宋_GBK" w:eastAsia="方正仿宋_GBK"/>
          <w:b/>
          <w:sz w:val="28"/>
        </w:rPr>
        <w:instrText>tc "</w:instrText>
      </w:r>
      <w:bookmarkStart w:id="6" w:name="_Toc32221136"/>
      <w:r>
        <w:rPr>
          <w:rFonts w:ascii="方正仿宋_GBK" w:eastAsia="方正仿宋_GBK"/>
          <w:b/>
          <w:sz w:val="28"/>
        </w:rPr>
        <w:instrText>6</w:instrText>
      </w:r>
      <w:r>
        <w:rPr>
          <w:rFonts w:ascii="方正仿宋_GBK" w:eastAsia="方正仿宋_GBK" w:hint="eastAsia"/>
          <w:b/>
          <w:sz w:val="28"/>
        </w:rPr>
        <w:instrText>、生态环境保护宣传教育经费绩效目标表</w:instrText>
      </w:r>
      <w:bookmarkEnd w:id="6"/>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000-9999-JSN-0JT8</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生态环境保护宣传教育经费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、在承德广播电视台新闻频道全年播放环保公益广告；</w:t>
            </w:r>
            <w:r>
              <w:rPr>
                <w:rFonts w:ascii="方正书宋_GBK" w:eastAsia="方正书宋_GBK"/>
              </w:rPr>
              <w:t>2</w:t>
            </w:r>
            <w:r>
              <w:rPr>
                <w:rFonts w:ascii="方正书宋_GBK" w:eastAsia="方正书宋_GBK" w:hint="eastAsia"/>
              </w:rPr>
              <w:t>、在市中心广场大屏幕开设专栏，全年播放环保宣传视频；</w:t>
            </w:r>
            <w:r>
              <w:rPr>
                <w:rFonts w:ascii="方正书宋_GBK" w:eastAsia="方正书宋_GBK"/>
              </w:rPr>
              <w:t>3</w:t>
            </w:r>
            <w:r>
              <w:rPr>
                <w:rFonts w:ascii="方正书宋_GBK" w:eastAsia="方正书宋_GBK" w:hint="eastAsia"/>
              </w:rPr>
              <w:t>、在公交广告听开设专栏，全年展示环保宣传内荣；</w:t>
            </w:r>
            <w:r>
              <w:rPr>
                <w:rFonts w:ascii="方正书宋_GBK" w:eastAsia="方正书宋_GBK"/>
              </w:rPr>
              <w:t>4</w:t>
            </w:r>
            <w:r>
              <w:rPr>
                <w:rFonts w:ascii="方正书宋_GBK" w:eastAsia="方正书宋_GBK" w:hint="eastAsia"/>
              </w:rPr>
              <w:t>、拍摄潮河流域生态环境治理、全市矿山环保治理宣传片及最美基层环保人公益短视频；</w:t>
            </w:r>
            <w:r>
              <w:rPr>
                <w:rFonts w:ascii="方正书宋_GBK" w:eastAsia="方正书宋_GBK"/>
              </w:rPr>
              <w:t>5</w:t>
            </w:r>
            <w:r>
              <w:rPr>
                <w:rFonts w:ascii="方正书宋_GBK" w:eastAsia="方正书宋_GBK" w:hint="eastAsia"/>
              </w:rPr>
              <w:t>、组织全国知名媒体对我市生态环境治理成效进行集中宣传报道。</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、普及环保政策法规和知识</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、提高公民的环保意识、提升公民的参与能力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社会主题宣传活动次数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社会主题宣传活动次数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次</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生态环境宣传活动成功完成次数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生态环境宣传活动成功完成次数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次</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生态环境宣传教育工作成本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完成全年生态环境宣传教育工作所需经费</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微博、微信发布条数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微博、微信发布条数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条</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全年生态环境宣传教育工作完成率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按照工作计划，完成全年生态环境宣传教育工作</w:t>
            </w:r>
          </w:p>
        </w:tc>
        <w:tc>
          <w:tcPr>
            <w:tcW w:w="1276" w:type="dxa"/>
            <w:vAlign w:val="center"/>
          </w:tcPr>
          <w:p>
            <w:pPr>
              <w:spacing w:line="300" w:lineRule="exact"/>
              <w:jc w:val="left"/>
              <w:rPr>
                <w:rFonts w:ascii="方正书宋_GBK" w:eastAsia="方正书宋_GBK"/>
              </w:rPr>
            </w:pPr>
            <w:r>
              <w:rPr>
                <w:rFonts w:ascii="方正书宋_GBK" w:eastAsia="方正书宋_GBK"/>
              </w:rPr>
              <w:t>100100%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宣传活动参与人数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环保宣传活动公众参与人数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w:t>
            </w:r>
            <w:r>
              <w:rPr>
                <w:rFonts w:ascii="方正书宋_GBK" w:eastAsia="方正书宋_GBK" w:hint="eastAsia"/>
              </w:rPr>
              <w:t>人</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群众整体满意度</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ascii="方正仿宋_GBK" w:eastAsia="方正仿宋_GBK" w:hint="eastAsia"/>
          <w:b/>
          <w:sz w:val="28"/>
        </w:rPr>
        <w:t>、污染减排经费绩效目标表</w:t>
      </w:r>
      <w:r>
        <w:rPr>
          <w:rFonts w:ascii="方正仿宋_GBK" w:eastAsia="方正仿宋_GBK"/>
          <w:b/>
          <w:sz w:val="28"/>
        </w:rPr>
        <w:fldChar w:fldCharType="begin"/>
      </w:r>
      <w:r>
        <w:rPr>
          <w:rFonts w:ascii="方正仿宋_GBK" w:eastAsia="方正仿宋_GBK"/>
          <w:b/>
          <w:sz w:val="28"/>
        </w:rPr>
        <w:instrText>tc "</w:instrText>
      </w:r>
      <w:bookmarkStart w:id="7" w:name="_Toc32221137"/>
      <w:r>
        <w:rPr>
          <w:rFonts w:ascii="方正仿宋_GBK" w:eastAsia="方正仿宋_GBK"/>
          <w:b/>
          <w:sz w:val="28"/>
        </w:rPr>
        <w:instrText>7</w:instrText>
      </w:r>
      <w:r>
        <w:rPr>
          <w:rFonts w:ascii="方正仿宋_GBK" w:eastAsia="方正仿宋_GBK" w:hint="eastAsia"/>
          <w:b/>
          <w:sz w:val="28"/>
        </w:rPr>
        <w:instrText>、污染减排经费绩效目标表</w:instrText>
      </w:r>
      <w:bookmarkEnd w:id="7"/>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000-9999-JSN-2TJ8</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污染减排经费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完成环境统计基础工作和能力建设、排污许可证管理、初始排污权核定分配工作、总量减排档案建立等工作。</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、实现主要污染物排放总量控制</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、完成国家下达我市的主要污染物减排任务、环境统计工作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主要污染物减排目标完成数量</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完成减排目标种类数量</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种</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企业排污权核算完成率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市发排污许可证企业排污权核算占申请总企业总数比例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年度减排工作完成率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按照工作计划完成节能减排工作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污染减排工作所需成本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完成污染减排工作所需经费</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按照省下达的目标任务，安排全市减排项目，确保完成目标任务</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主要污染物年度减排完成率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ascii="方正仿宋_GBK" w:eastAsia="方正仿宋_GBK" w:hint="eastAsia"/>
          <w:b/>
          <w:sz w:val="28"/>
        </w:rPr>
        <w:t>、乡镇空气自动监测站运维经费绩效目标表</w:t>
      </w:r>
      <w:r>
        <w:rPr>
          <w:rFonts w:ascii="方正仿宋_GBK" w:eastAsia="方正仿宋_GBK"/>
          <w:b/>
          <w:sz w:val="28"/>
        </w:rPr>
        <w:fldChar w:fldCharType="begin"/>
      </w:r>
      <w:r>
        <w:rPr>
          <w:rFonts w:ascii="方正仿宋_GBK" w:eastAsia="方正仿宋_GBK"/>
          <w:b/>
          <w:sz w:val="28"/>
        </w:rPr>
        <w:instrText>tc "</w:instrText>
      </w:r>
      <w:bookmarkStart w:id="8" w:name="_Toc32221138"/>
      <w:r>
        <w:rPr>
          <w:rFonts w:ascii="方正仿宋_GBK" w:eastAsia="方正仿宋_GBK"/>
          <w:b/>
          <w:sz w:val="28"/>
        </w:rPr>
        <w:instrText>8</w:instrText>
      </w:r>
      <w:r>
        <w:rPr>
          <w:rFonts w:ascii="方正仿宋_GBK" w:eastAsia="方正仿宋_GBK" w:hint="eastAsia"/>
          <w:b/>
          <w:sz w:val="28"/>
        </w:rPr>
        <w:instrText>、乡镇空气自动监测站运维经费绩效目标表</w:instrText>
      </w:r>
      <w:bookmarkEnd w:id="8"/>
      <w:r>
        <w:rPr>
          <w:rFonts w:ascii="方正仿宋_GBK" w:eastAsia="方正仿宋_GBK"/>
          <w:b/>
          <w:sz w:val="28"/>
        </w:rPr>
        <w:instrText>" \f B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000-9999-JSN-X48T</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乡镇空气自动监测站运维经费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负责全市</w:t>
            </w:r>
            <w:r>
              <w:rPr>
                <w:rFonts w:ascii="方正书宋_GBK" w:eastAsia="方正书宋_GBK"/>
              </w:rPr>
              <w:t>214</w:t>
            </w:r>
            <w:r>
              <w:rPr>
                <w:rFonts w:ascii="方正书宋_GBK" w:eastAsia="方正书宋_GBK" w:hint="eastAsia"/>
              </w:rPr>
              <w:t>座乡镇、开发区环境空气质量自动监测站管理工作，开展定期巡检、质量控制、数据审核、运维考核绩效、乡镇自动站管理人员技术培训等工作。需要每季度对</w:t>
            </w:r>
            <w:r>
              <w:rPr>
                <w:rFonts w:ascii="方正书宋_GBK" w:eastAsia="方正书宋_GBK"/>
              </w:rPr>
              <w:t>214</w:t>
            </w:r>
            <w:r>
              <w:rPr>
                <w:rFonts w:ascii="方正书宋_GBK" w:eastAsia="方正书宋_GBK" w:hint="eastAsia"/>
              </w:rPr>
              <w:t>个站点至少进行一次巡检质量控制检查工作和不定期抽查。</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w:t>
            </w:r>
            <w:r>
              <w:rPr>
                <w:rFonts w:ascii="方正书宋_GBK" w:eastAsia="方正书宋_GBK"/>
              </w:rPr>
              <w:t>214</w:t>
            </w:r>
            <w:r>
              <w:rPr>
                <w:rFonts w:ascii="方正书宋_GBK" w:eastAsia="方正书宋_GBK" w:hint="eastAsia"/>
              </w:rPr>
              <w:t>乡镇空气自动监测站管理工作</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w:t>
            </w:r>
            <w:r>
              <w:rPr>
                <w:rFonts w:ascii="方正书宋_GBK" w:eastAsia="方正书宋_GBK"/>
              </w:rPr>
              <w:t>214</w:t>
            </w:r>
            <w:r>
              <w:rPr>
                <w:rFonts w:ascii="方正书宋_GBK" w:eastAsia="方正书宋_GBK" w:hint="eastAsia"/>
              </w:rPr>
              <w:t>个站点进行检查</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完成质量</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乡镇空气自动监测站正常运行率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检查数量</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检查乡镇空气自动站数量</w:t>
            </w:r>
          </w:p>
        </w:tc>
        <w:tc>
          <w:tcPr>
            <w:tcW w:w="1276" w:type="dxa"/>
            <w:vAlign w:val="center"/>
          </w:tcPr>
          <w:p>
            <w:pPr>
              <w:spacing w:line="300" w:lineRule="exact"/>
              <w:jc w:val="left"/>
              <w:rPr>
                <w:rFonts w:ascii="方正书宋_GBK" w:eastAsia="方正书宋_GBK"/>
              </w:rPr>
            </w:pPr>
            <w:r>
              <w:rPr>
                <w:rFonts w:ascii="方正书宋_GBK" w:eastAsia="方正书宋_GBK"/>
              </w:rPr>
              <w:t>214</w:t>
            </w:r>
            <w:r>
              <w:rPr>
                <w:rFonts w:ascii="方正书宋_GBK" w:eastAsia="方正书宋_GBK" w:hint="eastAsia"/>
              </w:rPr>
              <w:t>个</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及时率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按计划完成乡镇空气自动站运维管理工作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乡镇自动空气站运维成本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全年乡镇自动空气站运维经费不超预算</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达到优良天气标准</w:t>
            </w:r>
          </w:p>
        </w:tc>
        <w:tc>
          <w:tcPr>
            <w:tcW w:w="2891" w:type="dxa"/>
            <w:vAlign w:val="center"/>
          </w:tcPr>
          <w:p>
            <w:pPr>
              <w:spacing w:line="300" w:lineRule="exact"/>
              <w:jc w:val="left"/>
              <w:rPr>
                <w:rFonts w:ascii="方正书宋_GBK" w:eastAsia="方正书宋_GBK"/>
              </w:rPr>
            </w:pPr>
            <w:r>
              <w:rPr>
                <w:rFonts w:ascii="方正书宋_GBK" w:eastAsia="方正书宋_GBK"/>
              </w:rPr>
              <w:t>PM2.5</w:t>
            </w:r>
            <w:r>
              <w:rPr>
                <w:rFonts w:ascii="方正书宋_GBK" w:eastAsia="方正书宋_GBK" w:hint="eastAsia"/>
              </w:rPr>
              <w:t>削减指标达标率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文件要求</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bl>
    <w:p>
      <w:pPr>
        <w:spacing w:line="500" w:lineRule="exact"/>
        <w:ind w:firstLine="640" w:firstLineChars="200"/>
        <w:jc w:val="left"/>
        <w:rPr>
          <w:rFonts w:ascii="仿宋_GB2312" w:eastAsia="仿宋_GB2312" w:hAnsi="宋体"/>
          <w:sz w:val="32"/>
          <w:szCs w:val="32"/>
        </w:rPr>
      </w:pPr>
      <w:r>
        <w:rPr>
          <w:rFonts w:ascii="仿宋_GB2312" w:eastAsia="仿宋_GB2312" w:hAnsi="宋体" w:hint="eastAsia"/>
          <w:sz w:val="32"/>
          <w:szCs w:val="32"/>
        </w:rPr>
        <w:t>（五）预算项目绩效目标</w:t>
      </w:r>
    </w:p>
    <w:p>
      <w:pPr>
        <w:ind w:firstLine="560" w:firstLineChars="200"/>
        <w:jc w:val="left"/>
        <w:outlineLvl w:val="1"/>
        <w:rPr>
          <w:rFonts w:hAnsi="宋体"/>
          <w:b/>
          <w:sz w:val="28"/>
        </w:rPr>
      </w:pPr>
      <w:r>
        <w:rPr>
          <w:rFonts w:ascii="方正仿宋_GBK" w:eastAsia="方正仿宋_GBK"/>
          <w:b/>
          <w:sz w:val="28"/>
        </w:rPr>
        <w:t>1</w:t>
      </w:r>
      <w:r>
        <w:rPr>
          <w:rFonts w:ascii="方正仿宋_GBK" w:eastAsia="方正仿宋_GBK" w:hint="eastAsia"/>
          <w:b/>
          <w:sz w:val="28"/>
        </w:rPr>
        <w:t>、房屋租赁费绩效目标表</w:t>
      </w:r>
      <w:r>
        <w:rPr>
          <w:rFonts w:ascii="方正仿宋_GBK" w:eastAsia="方正仿宋_GBK"/>
          <w:b/>
          <w:sz w:val="28"/>
        </w:rPr>
        <w:fldChar w:fldCharType="begin"/>
      </w:r>
      <w:r>
        <w:rPr>
          <w:rFonts w:ascii="方正仿宋_GBK" w:eastAsia="方正仿宋_GBK"/>
          <w:b/>
          <w:sz w:val="28"/>
        </w:rPr>
        <w:instrText>tc "</w:instrText>
      </w:r>
      <w:bookmarkStart w:id="9" w:name="_Toc32221139"/>
      <w:r>
        <w:rPr>
          <w:rFonts w:ascii="方正仿宋_GBK" w:eastAsia="方正仿宋_GBK"/>
          <w:b/>
          <w:sz w:val="28"/>
        </w:rPr>
        <w:instrText>1</w:instrText>
      </w:r>
      <w:r>
        <w:rPr>
          <w:rFonts w:ascii="方正仿宋_GBK" w:eastAsia="方正仿宋_GBK" w:hint="eastAsia"/>
          <w:b/>
          <w:sz w:val="28"/>
        </w:rPr>
        <w:instrText>、房屋租赁费绩效目标表</w:instrText>
      </w:r>
      <w:bookmarkEnd w:id="9"/>
      <w:r>
        <w:rPr>
          <w:rFonts w:ascii="方正仿宋_GBK" w:eastAsia="方正仿宋_GBK"/>
          <w:b/>
          <w:sz w:val="28"/>
        </w:rPr>
        <w:instrText>" \f C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r>
              <w:rPr>
                <w:rFonts w:ascii="方正书宋_GBK" w:eastAsia="方正书宋_GBK"/>
                <w:b/>
              </w:rPr>
              <w:t>571002</w:t>
            </w:r>
            <w:r>
              <w:rPr>
                <w:rFonts w:ascii="方正书宋_GBK" w:eastAsia="方正书宋_GBK" w:hint="eastAsia"/>
                <w:b/>
              </w:rPr>
              <w:t>承德市生态环境局</w:t>
            </w: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571-0601-JBN-XSHO</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房屋租赁费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39.50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39.50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办公楼租赁</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、完善环保公共服务体系</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、加强环保创新能力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租房合格率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租房面积及装修是否符合工作要求</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工作要求</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实付房租</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全年房租费用</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39.5</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租房合同</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全年保障</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年度业务工作有序开展</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实际租房面积</w:t>
            </w:r>
          </w:p>
        </w:tc>
        <w:tc>
          <w:tcPr>
            <w:tcW w:w="1276" w:type="dxa"/>
            <w:vAlign w:val="center"/>
          </w:tcPr>
          <w:p>
            <w:pPr>
              <w:spacing w:line="300" w:lineRule="exact"/>
              <w:jc w:val="left"/>
              <w:rPr>
                <w:rFonts w:ascii="方正书宋_GBK" w:eastAsia="方正书宋_GBK"/>
              </w:rPr>
            </w:pPr>
            <w:r>
              <w:rPr>
                <w:rFonts w:ascii="方正书宋_GBK" w:eastAsia="方正书宋_GBK"/>
              </w:rPr>
              <w:t>660</w:t>
            </w:r>
            <w:r>
              <w:rPr>
                <w:rFonts w:ascii="方正书宋_GBK" w:eastAsia="方正书宋_GBK" w:hint="eastAsia"/>
              </w:rPr>
              <w:t>平方米</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租房合同</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完成全市环境保护各项工作任务</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全市环境保护各项工作任务完成率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职工满意度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工作职工满意度</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ascii="方正仿宋_GBK" w:eastAsia="方正仿宋_GBK" w:hint="eastAsia"/>
          <w:b/>
          <w:sz w:val="28"/>
        </w:rPr>
        <w:t>、环境执法检查工作经费绩效目标表</w:t>
      </w:r>
      <w:r>
        <w:rPr>
          <w:rFonts w:ascii="方正仿宋_GBK" w:eastAsia="方正仿宋_GBK"/>
          <w:b/>
          <w:sz w:val="28"/>
        </w:rPr>
        <w:fldChar w:fldCharType="begin"/>
      </w:r>
      <w:r>
        <w:rPr>
          <w:rFonts w:ascii="方正仿宋_GBK" w:eastAsia="方正仿宋_GBK"/>
          <w:b/>
          <w:sz w:val="28"/>
        </w:rPr>
        <w:instrText>tc "</w:instrText>
      </w:r>
      <w:bookmarkStart w:id="10" w:name="_Toc32221140"/>
      <w:r>
        <w:rPr>
          <w:rFonts w:ascii="方正仿宋_GBK" w:eastAsia="方正仿宋_GBK"/>
          <w:b/>
          <w:sz w:val="28"/>
        </w:rPr>
        <w:instrText>2</w:instrText>
      </w:r>
      <w:r>
        <w:rPr>
          <w:rFonts w:ascii="方正仿宋_GBK" w:eastAsia="方正仿宋_GBK" w:hint="eastAsia"/>
          <w:b/>
          <w:sz w:val="28"/>
        </w:rPr>
        <w:instrText>、环境执法检查工作经费绩效目标表</w:instrText>
      </w:r>
      <w:bookmarkEnd w:id="10"/>
      <w:r>
        <w:rPr>
          <w:rFonts w:ascii="方正仿宋_GBK" w:eastAsia="方正仿宋_GBK"/>
          <w:b/>
          <w:sz w:val="28"/>
        </w:rPr>
        <w:instrText>" \f C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r>
              <w:rPr>
                <w:rFonts w:ascii="方正书宋_GBK" w:eastAsia="方正书宋_GBK"/>
                <w:b/>
              </w:rPr>
              <w:t>571002</w:t>
            </w:r>
            <w:r>
              <w:rPr>
                <w:rFonts w:ascii="方正书宋_GBK" w:eastAsia="方正书宋_GBK" w:hint="eastAsia"/>
                <w:b/>
              </w:rPr>
              <w:t>承德市生态环境局</w:t>
            </w: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571-0601-JBN-TGLP</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环境执法检查工作经费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依法统一行使污染防治、生态保护、核与辐射安全的行政检查、行政处罚、行政强制等执法职能</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、对环境违法案件进行查处。</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、开展全市环境保护督察工作。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培训人数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参加执法培训人员数量</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人</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重大环保事件及时发现率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重大环保事件及时发现率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提高执法业务能力</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达到执法人员培训工作要求</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执法检查工作所需成本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保障执法人员执法检查差旅费等各项费用</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环保信访投诉办结率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环保信访投诉办结率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依法严厉打击各类环境违法行为</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进一步加大远程执法检查频次和力度，促进提高企业自觉守法意识，完成年度执法目标任务</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历史标准</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ascii="方正仿宋_GBK" w:eastAsia="方正仿宋_GBK" w:hint="eastAsia"/>
          <w:b/>
          <w:sz w:val="28"/>
        </w:rPr>
        <w:t>、人员定额补助绩效目标表</w:t>
      </w:r>
      <w:r>
        <w:rPr>
          <w:rFonts w:ascii="方正仿宋_GBK" w:eastAsia="方正仿宋_GBK"/>
          <w:b/>
          <w:sz w:val="28"/>
        </w:rPr>
        <w:fldChar w:fldCharType="begin"/>
      </w:r>
      <w:r>
        <w:rPr>
          <w:rFonts w:ascii="方正仿宋_GBK" w:eastAsia="方正仿宋_GBK"/>
          <w:b/>
          <w:sz w:val="28"/>
        </w:rPr>
        <w:instrText>tc "</w:instrText>
      </w:r>
      <w:bookmarkStart w:id="11" w:name="_Toc32221141"/>
      <w:r>
        <w:rPr>
          <w:rFonts w:ascii="方正仿宋_GBK" w:eastAsia="方正仿宋_GBK"/>
          <w:b/>
          <w:sz w:val="28"/>
        </w:rPr>
        <w:instrText>3</w:instrText>
      </w:r>
      <w:r>
        <w:rPr>
          <w:rFonts w:ascii="方正仿宋_GBK" w:eastAsia="方正仿宋_GBK" w:hint="eastAsia"/>
          <w:b/>
          <w:sz w:val="28"/>
        </w:rPr>
        <w:instrText>、人员定额补助绩效目标表</w:instrText>
      </w:r>
      <w:bookmarkEnd w:id="11"/>
      <w:r>
        <w:rPr>
          <w:rFonts w:ascii="方正仿宋_GBK" w:eastAsia="方正仿宋_GBK"/>
          <w:b/>
          <w:sz w:val="28"/>
        </w:rPr>
        <w:instrText>" \f C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r>
              <w:rPr>
                <w:rFonts w:ascii="方正书宋_GBK" w:eastAsia="方正书宋_GBK"/>
                <w:b/>
              </w:rPr>
              <w:t>571002</w:t>
            </w:r>
            <w:r>
              <w:rPr>
                <w:rFonts w:ascii="方正书宋_GBK" w:eastAsia="方正书宋_GBK" w:hint="eastAsia"/>
                <w:b/>
              </w:rPr>
              <w:t>承德市生态环境局</w:t>
            </w: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571-0601-JBN-QKT1</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人员定额补助</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1480.97</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1480.97</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我局自收自支及聘用人员一年所需的工资、各项保险等人员经费。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、完善环保公共服务体系</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、加强环保创新能力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保障自收自支及聘用人员经费</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保障自收自支及聘用人员工资及各类保险</w:t>
            </w:r>
          </w:p>
        </w:tc>
        <w:tc>
          <w:tcPr>
            <w:tcW w:w="1276" w:type="dxa"/>
            <w:vAlign w:val="center"/>
          </w:tcPr>
          <w:p>
            <w:pPr>
              <w:spacing w:line="300" w:lineRule="exact"/>
              <w:jc w:val="left"/>
              <w:rPr>
                <w:rFonts w:ascii="方正书宋_GBK" w:eastAsia="方正书宋_GBK"/>
              </w:rPr>
            </w:pPr>
            <w:r>
              <w:rPr>
                <w:rFonts w:ascii="方正书宋_GBK" w:eastAsia="方正书宋_GBK"/>
              </w:rPr>
              <w:t>210</w:t>
            </w:r>
            <w:r>
              <w:rPr>
                <w:rFonts w:ascii="方正书宋_GBK" w:eastAsia="方正书宋_GBK" w:hint="eastAsia"/>
              </w:rPr>
              <w:t>人</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工作需要</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人均成本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人均工资标准</w:t>
            </w:r>
          </w:p>
        </w:tc>
        <w:tc>
          <w:tcPr>
            <w:tcW w:w="1276" w:type="dxa"/>
            <w:vAlign w:val="center"/>
          </w:tcPr>
          <w:p>
            <w:pPr>
              <w:spacing w:line="300" w:lineRule="exact"/>
              <w:jc w:val="left"/>
              <w:rPr>
                <w:rFonts w:ascii="方正书宋_GBK" w:eastAsia="方正书宋_GBK"/>
              </w:rPr>
            </w:pPr>
            <w:r>
              <w:rPr>
                <w:rFonts w:ascii="方正书宋_GBK" w:eastAsia="方正书宋_GBK"/>
              </w:rPr>
              <w:t>7.05</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工作需要</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工作完成率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各项工作按时完成率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人员业务能力</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业务能力符合单位需求</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工作需要</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空气质量</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生态环境持续改善，完成各项生态环境保护工作任务</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工作人员满意度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工作人员满意度</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ascii="方正仿宋_GBK" w:eastAsia="方正仿宋_GBK" w:hint="eastAsia"/>
          <w:b/>
          <w:sz w:val="28"/>
        </w:rPr>
        <w:t>、日常网络数据安全运营维护费绩效目标表</w:t>
      </w:r>
      <w:r>
        <w:rPr>
          <w:rFonts w:ascii="方正仿宋_GBK" w:eastAsia="方正仿宋_GBK"/>
          <w:b/>
          <w:sz w:val="28"/>
        </w:rPr>
        <w:fldChar w:fldCharType="begin"/>
      </w:r>
      <w:r>
        <w:rPr>
          <w:rFonts w:ascii="方正仿宋_GBK" w:eastAsia="方正仿宋_GBK"/>
          <w:b/>
          <w:sz w:val="28"/>
        </w:rPr>
        <w:instrText>tc "</w:instrText>
      </w:r>
      <w:bookmarkStart w:id="12" w:name="_Toc32221142"/>
      <w:r>
        <w:rPr>
          <w:rFonts w:ascii="方正仿宋_GBK" w:eastAsia="方正仿宋_GBK"/>
          <w:b/>
          <w:sz w:val="28"/>
        </w:rPr>
        <w:instrText>4</w:instrText>
      </w:r>
      <w:r>
        <w:rPr>
          <w:rFonts w:ascii="方正仿宋_GBK" w:eastAsia="方正仿宋_GBK" w:hint="eastAsia"/>
          <w:b/>
          <w:sz w:val="28"/>
        </w:rPr>
        <w:instrText>、日常网络数据安全运营维护费绩效目标表</w:instrText>
      </w:r>
      <w:bookmarkEnd w:id="12"/>
      <w:r>
        <w:rPr>
          <w:rFonts w:ascii="方正仿宋_GBK" w:eastAsia="方正仿宋_GBK"/>
          <w:b/>
          <w:sz w:val="28"/>
        </w:rPr>
        <w:instrText>" \f C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r>
              <w:rPr>
                <w:rFonts w:ascii="方正书宋_GBK" w:eastAsia="方正书宋_GBK"/>
                <w:b/>
              </w:rPr>
              <w:t>571002</w:t>
            </w:r>
            <w:r>
              <w:rPr>
                <w:rFonts w:ascii="方正书宋_GBK" w:eastAsia="方正书宋_GBK" w:hint="eastAsia"/>
                <w:b/>
              </w:rPr>
              <w:t>承德市生态环境局</w:t>
            </w: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571-0101-JBN-KAYH</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日常网络数据安全运营维护费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全局网络通讯服务费、办公自动化设备维护保障服务费、视频会议系统运维经费、在建监控辅助系统运维服务等</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、完成环境数据的综合分析、数据发布</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、保障机关正常工作高效运转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在线监控企业数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在线监控企业数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个</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环保系统办公网络正常运行情况</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日常网络数据运行维护所需成本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保障全局信息网络运行维护费用</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经验标准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设施设备的维修维护率、各项工作的保障率。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各种设施设备正常率和可用性超过</w:t>
            </w:r>
            <w:r>
              <w:rPr>
                <w:rFonts w:ascii="方正书宋_GBK" w:eastAsia="方正书宋_GBK"/>
              </w:rPr>
              <w:t>90%</w:t>
            </w:r>
            <w:r>
              <w:rPr>
                <w:rFonts w:ascii="方正书宋_GBK" w:eastAsia="方正书宋_GBK" w:hint="eastAsia"/>
              </w:rPr>
              <w:t>，各项工作的正常开展率达</w:t>
            </w:r>
            <w:r>
              <w:rPr>
                <w:rFonts w:ascii="方正书宋_GBK" w:eastAsia="方正书宋_GBK"/>
              </w:rPr>
              <w:t>90%</w:t>
            </w:r>
            <w:r>
              <w:rPr>
                <w:rFonts w:ascii="方正书宋_GBK" w:eastAsia="方正书宋_GBK" w:hint="eastAsia"/>
              </w:rPr>
              <w:t>以上</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经验标准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污染源自动监控网络正常使用率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安装污染源自动监控网络装置企业正常使用比例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ind w:firstLine="420" w:firstLineChars="200"/>
        <w:jc w:val="left"/>
        <w:sectPr>
          <w:pgSz w:w="11907" w:h="16839"/>
          <w:pgMar w:top="1984" w:right="1304" w:bottom="1134" w:left="1304" w:header="851" w:footer="992" w:gutter="0"/>
          <w:cols w:num="1" w:space="425"/>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ascii="方正仿宋_GBK" w:eastAsia="方正仿宋_GBK" w:hint="eastAsia"/>
          <w:b/>
          <w:sz w:val="28"/>
        </w:rPr>
        <w:t>、运转经费绩效目标表</w:t>
      </w:r>
      <w:r>
        <w:rPr>
          <w:rFonts w:ascii="方正仿宋_GBK" w:eastAsia="方正仿宋_GBK"/>
          <w:b/>
          <w:sz w:val="28"/>
        </w:rPr>
        <w:fldChar w:fldCharType="begin"/>
      </w:r>
      <w:r>
        <w:rPr>
          <w:rFonts w:ascii="方正仿宋_GBK" w:eastAsia="方正仿宋_GBK"/>
          <w:b/>
          <w:sz w:val="28"/>
        </w:rPr>
        <w:instrText>tc "</w:instrText>
      </w:r>
      <w:bookmarkStart w:id="13" w:name="_Toc32221143"/>
      <w:r>
        <w:rPr>
          <w:rFonts w:ascii="方正仿宋_GBK" w:eastAsia="方正仿宋_GBK"/>
          <w:b/>
          <w:sz w:val="28"/>
        </w:rPr>
        <w:instrText>5</w:instrText>
      </w:r>
      <w:r>
        <w:rPr>
          <w:rFonts w:ascii="方正仿宋_GBK" w:eastAsia="方正仿宋_GBK" w:hint="eastAsia"/>
          <w:b/>
          <w:sz w:val="28"/>
        </w:rPr>
        <w:instrText>、运转经费绩效目标表</w:instrText>
      </w:r>
      <w:bookmarkEnd w:id="13"/>
      <w:r>
        <w:rPr>
          <w:rFonts w:ascii="方正仿宋_GBK" w:eastAsia="方正仿宋_GBK"/>
          <w:b/>
          <w:sz w:val="28"/>
        </w:rPr>
        <w:instrText>" \f C \l 01</w:instrText>
      </w:r>
      <w:r>
        <w:rPr>
          <w:rFonts w:ascii="方正仿宋_GBK" w:eastAsia="方正仿宋_GBK"/>
          <w:b/>
          <w:sz w:val="28"/>
        </w:rPr>
        <w:fldChar w:fldCharType="end"/>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7711" w:type="dxa"/>
            <w:gridSpan w:val="6"/>
            <w:tcBorders>
              <w:top w:val="single" w:sz="6" w:space="0" w:color="FFFFFF"/>
              <w:left w:val="single" w:sz="6" w:space="0" w:color="FFFFFF"/>
              <w:right w:val="single" w:sz="6" w:space="0" w:color="FFFFFF"/>
            </w:tcBorders>
            <w:vAlign w:val="center"/>
          </w:tcPr>
          <w:p>
            <w:pPr>
              <w:spacing w:line="300" w:lineRule="exact"/>
              <w:jc w:val="left"/>
              <w:rPr>
                <w:rFonts w:ascii="方正书宋_GBK" w:eastAsia="方正书宋_GBK"/>
                <w:b/>
              </w:rPr>
            </w:pPr>
            <w:r>
              <w:rPr>
                <w:rFonts w:ascii="方正书宋_GBK" w:eastAsia="方正书宋_GBK"/>
                <w:b/>
              </w:rPr>
              <w:t>571002</w:t>
            </w:r>
            <w:r>
              <w:rPr>
                <w:rFonts w:ascii="方正书宋_GBK" w:eastAsia="方正书宋_GBK" w:hint="eastAsia"/>
                <w:b/>
              </w:rPr>
              <w:t>承德市生态环境局</w:t>
            </w:r>
          </w:p>
        </w:tc>
        <w:tc>
          <w:tcPr>
            <w:tcW w:w="1701" w:type="dxa"/>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rPr>
            </w:pPr>
            <w:r>
              <w:rPr>
                <w:rFonts w:ascii="方正书宋_GBK" w:eastAsia="方正书宋_GBK" w:hint="eastAsia"/>
              </w:rPr>
              <w:t>单位：万元</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571-0601-JBN-2GPV</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hint="eastAsia"/>
              </w:rPr>
              <w:t>运转经费</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150.00</w:t>
            </w:r>
          </w:p>
        </w:tc>
        <w:tc>
          <w:tcPr>
            <w:tcW w:w="1587" w:type="dxa"/>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150.00</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pPr>
              <w:spacing w:line="300" w:lineRule="exact"/>
              <w:jc w:val="left"/>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hint="eastAsia"/>
              </w:rPr>
              <w:t>根据环保管理机构开展工作的实际需要每年所需的正常业务补助费、监督执法经费、下属事业单位办公费、基础设施经费等。</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restart"/>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blPrEx>
          <w:tblW w:w="9412" w:type="dxa"/>
          <w:jc w:val="center"/>
          <w:tblLayout w:type="fixed"/>
          <w:tblCellMar>
            <w:top w:w="0" w:type="dxa"/>
            <w:left w:w="108" w:type="dxa"/>
            <w:bottom w:w="0" w:type="dxa"/>
            <w:right w:w="108" w:type="dxa"/>
          </w:tblCellMar>
        </w:tblPrEx>
        <w:trPr>
          <w:trHeight w:val="369"/>
          <w:jc w:val="center"/>
        </w:trPr>
        <w:tc>
          <w:tcPr>
            <w:tcW w:w="1134" w:type="dxa"/>
            <w:vMerg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p>
        </w:tc>
      </w:tr>
      <w:tr>
        <w:tblPrEx>
          <w:tblW w:w="9412" w:type="dxa"/>
          <w:jc w:val="center"/>
          <w:tblLayout w:type="fixed"/>
          <w:tblCellMar>
            <w:top w:w="0" w:type="dxa"/>
            <w:left w:w="108" w:type="dxa"/>
            <w:bottom w:w="0" w:type="dxa"/>
            <w:right w:w="108" w:type="dxa"/>
          </w:tblCellMar>
        </w:tblPrEx>
        <w:trPr>
          <w:trHeight w:val="369"/>
          <w:jc w:val="center"/>
        </w:trPr>
        <w:tc>
          <w:tcPr>
            <w:tcW w:w="1134" w:type="dxa"/>
            <w:tcBorders>
              <w:bottom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、完善环保公共服务体系</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、加强环保创新能力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TableNormal"/>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97"/>
          <w:tblHeader/>
          <w:jc w:val="center"/>
        </w:trPr>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restart"/>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环保督</w:t>
            </w:r>
            <w:r>
              <w:rPr>
                <w:rFonts w:ascii="方正书宋_GBK" w:eastAsia="方正书宋_GBK" w:hint="eastAsia"/>
                <w:lang w:eastAsia="zh-CN"/>
              </w:rPr>
              <w:t>察</w:t>
            </w:r>
            <w:bookmarkStart w:id="14" w:name="_GoBack"/>
            <w:bookmarkEnd w:id="14"/>
            <w:r>
              <w:rPr>
                <w:rFonts w:ascii="方正书宋_GBK" w:eastAsia="方正书宋_GBK" w:hint="eastAsia"/>
              </w:rPr>
              <w:t>次数</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开展生态环境保护督查工作次数</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次</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工作计划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保障环保工作顺利开展</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保障环保工作开展所需的差旅费、会议费等费用</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全年生态环境保护工作开展所需成本</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全年生态环境保护工作运转经费</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150</w:t>
            </w:r>
            <w:r>
              <w:rPr>
                <w:rFonts w:ascii="方正书宋_GBK" w:eastAsia="方正书宋_GBK" w:hint="eastAsia"/>
              </w:rPr>
              <w:t>万元</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办公设备购置</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购置设备质量合格率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行业标准</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Merg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全年生态环境保护工作完成率</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按照工作计划，完成全年生态环境保护工作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工作安排</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空气质量</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生态环境持续改善，完成各项生态环境保护工作任务</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r>
        <w:tblPrEx>
          <w:tblW w:w="9412" w:type="dxa"/>
          <w:jc w:val="center"/>
          <w:tblLayout w:type="fixed"/>
          <w:tblCellMar>
            <w:top w:w="0" w:type="dxa"/>
            <w:left w:w="108" w:type="dxa"/>
            <w:bottom w:w="0" w:type="dxa"/>
            <w:right w:w="108" w:type="dxa"/>
          </w:tblCellMar>
        </w:tblPrEx>
        <w:trPr>
          <w:cantSplit/>
          <w:trHeight w:val="369"/>
          <w:jc w:val="center"/>
        </w:trPr>
        <w:tc>
          <w:tcPr>
            <w:tcW w:w="1134" w:type="dxa"/>
            <w:vAlign w:val="center"/>
          </w:tcPr>
          <w:p>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1276" w:type="dxa"/>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ascii="方正书宋_GBK" w:eastAsia="方正书宋_GBK" w:hint="eastAsia"/>
              </w:rPr>
              <w:t>历史数据</w:t>
            </w:r>
          </w:p>
        </w:tc>
      </w:tr>
    </w:tbl>
    <w:p>
      <w:pPr>
        <w:spacing w:line="300" w:lineRule="exact"/>
        <w:jc w:val="left"/>
        <w:sectPr>
          <w:pgSz w:w="11907" w:h="16839"/>
          <w:pgMar w:top="1984" w:right="1304" w:bottom="1134" w:left="1304" w:header="851" w:footer="992" w:gutter="0"/>
          <w:cols w:num="1" w:space="425"/>
          <w:docGrid w:type="lines" w:linePitch="312" w:charSpace="0"/>
        </w:sectPr>
      </w:pPr>
    </w:p>
    <w:p>
      <w:pPr>
        <w:autoSpaceDE w:val="0"/>
        <w:autoSpaceDN w:val="0"/>
        <w:adjustRightInd w:val="0"/>
        <w:ind w:firstLine="640" w:firstLineChars="2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pPr>
        <w:outlineLvl w:val="0"/>
        <w:rPr>
          <w:rFonts w:ascii="仿宋_GB2312" w:eastAsia="仿宋_GB2312" w:hAnsi="Times New Roman" w:cs="Times New Roman"/>
          <w:sz w:val="32"/>
          <w:szCs w:val="24"/>
        </w:rPr>
      </w:pPr>
      <w:bookmarkStart w:id="15" w:name="_Toc471398468"/>
      <w:r>
        <w:rPr>
          <w:rFonts w:ascii="Times New Roman" w:eastAsia="方正仿宋_GBK" w:hAnsi="Times New Roman" w:cs="Times New Roman"/>
          <w:sz w:val="32"/>
          <w:szCs w:val="24"/>
        </w:rPr>
        <w:t xml:space="preserve">  </w:t>
      </w:r>
      <w:r>
        <w:rPr>
          <w:rFonts w:ascii="仿宋_GB2312" w:eastAsia="仿宋_GB2312" w:hAnsi="Times New Roman" w:cs="Times New Roman"/>
          <w:sz w:val="32"/>
          <w:szCs w:val="24"/>
        </w:rPr>
        <w:t>2020</w:t>
      </w:r>
      <w:r>
        <w:rPr>
          <w:rFonts w:ascii="仿宋_GB2312" w:eastAsia="仿宋_GB2312" w:hAnsi="Times New Roman" w:cs="Times New Roman" w:hint="eastAsia"/>
          <w:sz w:val="32"/>
          <w:szCs w:val="24"/>
        </w:rPr>
        <w:t>年，安排政府采购预算</w:t>
      </w:r>
      <w:r>
        <w:rPr>
          <w:rFonts w:ascii="仿宋_GB2312" w:eastAsia="仿宋_GB2312" w:hAnsi="Times New Roman" w:cs="Times New Roman"/>
          <w:sz w:val="32"/>
          <w:szCs w:val="24"/>
        </w:rPr>
        <w:t>79.6</w:t>
      </w:r>
      <w:r>
        <w:rPr>
          <w:rFonts w:ascii="仿宋_GB2312" w:eastAsia="仿宋_GB2312" w:hAnsi="Times New Roman" w:cs="Times New Roman" w:hint="eastAsia"/>
          <w:sz w:val="32"/>
          <w:szCs w:val="24"/>
        </w:rPr>
        <w:t>万元，具体内容见下表。</w:t>
      </w:r>
    </w:p>
    <w:p>
      <w:pPr>
        <w:ind w:firstLine="640" w:firstLineChars="200"/>
        <w:jc w:val="center"/>
        <w:outlineLvl w:val="0"/>
        <w:rPr>
          <w:rFonts w:ascii="Times New Roman" w:hAnsi="宋体"/>
          <w:sz w:val="32"/>
        </w:rPr>
      </w:pPr>
      <w:r>
        <w:rPr>
          <w:rFonts w:ascii="方正小标宋_GBK" w:eastAsia="方正小标宋_GBK" w:hint="eastAsia"/>
          <w:sz w:val="32"/>
        </w:rPr>
        <w:t>部门政府采购预算</w:t>
      </w:r>
    </w:p>
    <w:tbl>
      <w:tblPr>
        <w:tblStyle w:val="TableNormal"/>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8703" w:type="dxa"/>
            <w:gridSpan w:val="7"/>
            <w:tcBorders>
              <w:top w:val="single" w:sz="6" w:space="0" w:color="FFFFFF"/>
              <w:left w:val="single" w:sz="6" w:space="0" w:color="FFFFFF"/>
              <w:right w:val="single" w:sz="6" w:space="0" w:color="FFFFFF"/>
            </w:tcBorders>
            <w:vAlign w:val="center"/>
          </w:tcPr>
          <w:p>
            <w:pPr>
              <w:spacing w:line="300" w:lineRule="exact"/>
              <w:jc w:val="left"/>
              <w:rPr>
                <w:rFonts w:ascii="方正小标宋_GBK" w:eastAsia="方正小标宋_GBK"/>
                <w:sz w:val="24"/>
              </w:rPr>
            </w:pPr>
            <w:r>
              <w:rPr>
                <w:rFonts w:ascii="方正小标宋_GBK" w:eastAsia="方正小标宋_GBK"/>
                <w:sz w:val="24"/>
              </w:rPr>
              <w:t>571</w:t>
            </w:r>
            <w:r>
              <w:rPr>
                <w:rFonts w:ascii="方正小标宋_GBK" w:eastAsia="方正小标宋_GBK" w:hint="eastAsia"/>
                <w:sz w:val="24"/>
              </w:rPr>
              <w:t>承德市生态环境局</w:t>
            </w:r>
          </w:p>
        </w:tc>
        <w:tc>
          <w:tcPr>
            <w:tcW w:w="6804" w:type="dxa"/>
            <w:gridSpan w:val="6"/>
            <w:tcBorders>
              <w:top w:val="single" w:sz="6" w:space="0" w:color="FFFFFF"/>
              <w:left w:val="single" w:sz="6" w:space="0" w:color="FFFFFF"/>
              <w:right w:val="single" w:sz="6" w:space="0" w:color="FFFFFF"/>
            </w:tcBorders>
            <w:vAlign w:val="center"/>
          </w:tcPr>
          <w:p>
            <w:pPr>
              <w:spacing w:line="300" w:lineRule="exact"/>
              <w:jc w:val="right"/>
              <w:rPr>
                <w:rFonts w:ascii="方正书宋_GBK" w:eastAsia="方正书宋_GBK"/>
                <w:sz w:val="24"/>
              </w:rPr>
            </w:pPr>
            <w:r>
              <w:rPr>
                <w:rFonts w:ascii="方正书宋_GBK" w:eastAsia="方正书宋_GBK" w:hint="eastAsia"/>
                <w:sz w:val="24"/>
              </w:rPr>
              <w:t>单位：万元</w:t>
            </w:r>
          </w:p>
        </w:tc>
      </w:tr>
      <w:tr>
        <w:tblPrEx>
          <w:tblW w:w="15507" w:type="dxa"/>
          <w:jc w:val="center"/>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vAlign w:val="center"/>
          </w:tcPr>
          <w:p>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vAlign w:val="center"/>
          </w:tcPr>
          <w:p>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tblPrEx>
          <w:tblW w:w="15507" w:type="dxa"/>
          <w:jc w:val="center"/>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vAlign w:val="center"/>
          </w:tcPr>
          <w:p>
            <w:pPr>
              <w:spacing w:line="300" w:lineRule="exact"/>
              <w:jc w:val="left"/>
              <w:outlineLvl w:val="0"/>
              <w:rPr>
                <w:rFonts w:ascii="Times New Roman" w:eastAsia="方正仿宋_GBK"/>
                <w:sz w:val="28"/>
              </w:rPr>
            </w:pPr>
          </w:p>
        </w:tc>
        <w:tc>
          <w:tcPr>
            <w:tcW w:w="1531" w:type="dxa"/>
            <w:vMerge/>
            <w:vAlign w:val="center"/>
          </w:tcPr>
          <w:p>
            <w:pPr>
              <w:spacing w:line="300" w:lineRule="exact"/>
              <w:jc w:val="left"/>
              <w:outlineLvl w:val="0"/>
              <w:rPr>
                <w:rFonts w:ascii="Times New Roman" w:eastAsia="方正仿宋_GBK"/>
                <w:sz w:val="28"/>
              </w:rPr>
            </w:pPr>
          </w:p>
        </w:tc>
        <w:tc>
          <w:tcPr>
            <w:tcW w:w="709" w:type="dxa"/>
            <w:vMerge/>
            <w:vAlign w:val="center"/>
          </w:tcPr>
          <w:p>
            <w:pPr>
              <w:spacing w:line="300" w:lineRule="exact"/>
              <w:jc w:val="left"/>
              <w:outlineLvl w:val="0"/>
              <w:rPr>
                <w:rFonts w:ascii="Times New Roman" w:eastAsia="方正仿宋_GBK"/>
                <w:sz w:val="28"/>
              </w:rPr>
            </w:pPr>
          </w:p>
        </w:tc>
        <w:tc>
          <w:tcPr>
            <w:tcW w:w="907" w:type="dxa"/>
            <w:vMerge/>
            <w:vAlign w:val="center"/>
          </w:tcPr>
          <w:p>
            <w:pPr>
              <w:spacing w:line="300" w:lineRule="exact"/>
              <w:jc w:val="left"/>
              <w:outlineLvl w:val="0"/>
              <w:rPr>
                <w:rFonts w:ascii="Times New Roman" w:eastAsia="方正仿宋_GBK"/>
                <w:sz w:val="28"/>
              </w:rPr>
            </w:pPr>
          </w:p>
        </w:tc>
        <w:tc>
          <w:tcPr>
            <w:tcW w:w="907" w:type="dxa"/>
            <w:vMerge/>
            <w:vAlign w:val="center"/>
          </w:tcPr>
          <w:p>
            <w:pPr>
              <w:spacing w:line="300" w:lineRule="exact"/>
              <w:jc w:val="left"/>
              <w:outlineLvl w:val="0"/>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vAlign w:val="center"/>
          </w:tcPr>
          <w:p>
            <w:pPr>
              <w:spacing w:line="300" w:lineRule="exact"/>
              <w:jc w:val="center"/>
              <w:rPr>
                <w:rFonts w:ascii="方正书宋_GBK" w:eastAsia="方正书宋_GBK"/>
                <w:b/>
              </w:rPr>
            </w:pPr>
            <w:r>
              <w:rPr>
                <w:rFonts w:ascii="方正书宋_GBK" w:eastAsia="方正书宋_GBK" w:hint="eastAsia"/>
                <w:b/>
              </w:rPr>
              <w:t>其他来源收入</w:t>
            </w:r>
          </w:p>
        </w:tc>
      </w:tr>
      <w:tr>
        <w:tblPrEx>
          <w:tblW w:w="15507" w:type="dxa"/>
          <w:jc w:val="center"/>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ascii="方正书宋_GBK" w:eastAsia="方正书宋_GBK" w:hint="eastAsia"/>
                <w:b/>
              </w:rPr>
              <w:t>承德市生态环境局小计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79.60</w:t>
            </w:r>
          </w:p>
        </w:tc>
        <w:tc>
          <w:tcPr>
            <w:tcW w:w="1134" w:type="dxa"/>
            <w:vAlign w:val="center"/>
          </w:tcPr>
          <w:p>
            <w:pPr>
              <w:spacing w:line="300" w:lineRule="exact"/>
              <w:jc w:val="right"/>
              <w:rPr>
                <w:rFonts w:ascii="方正书宋_GBK" w:eastAsia="方正书宋_GBK"/>
                <w:b/>
              </w:rPr>
            </w:pPr>
            <w:r>
              <w:rPr>
                <w:rFonts w:ascii="方正书宋_GBK" w:eastAsia="方正书宋_GBK"/>
                <w:b/>
              </w:rPr>
              <w:t>79.60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W w:w="15507" w:type="dxa"/>
          <w:jc w:val="center"/>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hint="eastAsia"/>
              </w:rPr>
              <w:t>建设软通动力颗粒物网络监测系统项目经费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49.60</w:t>
            </w:r>
          </w:p>
        </w:tc>
        <w:tc>
          <w:tcPr>
            <w:tcW w:w="1531" w:type="dxa"/>
            <w:vAlign w:val="center"/>
          </w:tcPr>
          <w:p>
            <w:pPr>
              <w:spacing w:line="300" w:lineRule="exact"/>
              <w:jc w:val="left"/>
              <w:rPr>
                <w:rFonts w:ascii="方正书宋_GBK" w:eastAsia="方正书宋_GBK"/>
              </w:rPr>
            </w:pPr>
            <w:r>
              <w:rPr>
                <w:rFonts w:ascii="方正书宋_GBK" w:eastAsia="方正书宋_GBK" w:hint="eastAsia"/>
              </w:rPr>
              <w:t>大气污染治理服务</w:t>
            </w:r>
          </w:p>
        </w:tc>
        <w:tc>
          <w:tcPr>
            <w:tcW w:w="1531" w:type="dxa"/>
            <w:vAlign w:val="center"/>
          </w:tcPr>
          <w:p>
            <w:pPr>
              <w:spacing w:line="300" w:lineRule="exact"/>
              <w:jc w:val="left"/>
              <w:rPr>
                <w:rFonts w:ascii="方正书宋_GBK" w:eastAsia="方正书宋_GBK"/>
              </w:rPr>
            </w:pPr>
            <w:r>
              <w:rPr>
                <w:rFonts w:ascii="方正书宋_GBK" w:eastAsia="方正书宋_GBK"/>
              </w:rPr>
              <w:t>C160301</w:t>
            </w:r>
          </w:p>
        </w:tc>
        <w:tc>
          <w:tcPr>
            <w:tcW w:w="709" w:type="dxa"/>
            <w:vAlign w:val="center"/>
          </w:tcPr>
          <w:p>
            <w:pPr>
              <w:spacing w:line="300" w:lineRule="exact"/>
              <w:jc w:val="center"/>
              <w:rPr>
                <w:rFonts w:ascii="方正书宋_GBK" w:eastAsia="方正书宋_GBK"/>
              </w:rPr>
            </w:pPr>
            <w:r>
              <w:rPr>
                <w:rFonts w:ascii="方正书宋_GBK" w:eastAsia="方正书宋_GBK" w:hint="eastAsia"/>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49.60</w:t>
            </w:r>
          </w:p>
        </w:tc>
        <w:tc>
          <w:tcPr>
            <w:tcW w:w="1134" w:type="dxa"/>
            <w:vAlign w:val="center"/>
          </w:tcPr>
          <w:p>
            <w:pPr>
              <w:spacing w:line="300" w:lineRule="exact"/>
              <w:jc w:val="right"/>
              <w:rPr>
                <w:rFonts w:ascii="方正书宋_GBK" w:eastAsia="方正书宋_GBK"/>
              </w:rPr>
            </w:pPr>
            <w:r>
              <w:rPr>
                <w:rFonts w:ascii="方正书宋_GBK" w:eastAsia="方正书宋_GBK"/>
              </w:rPr>
              <w:t>49.60</w:t>
            </w:r>
          </w:p>
        </w:tc>
        <w:tc>
          <w:tcPr>
            <w:tcW w:w="1134" w:type="dxa"/>
            <w:vAlign w:val="center"/>
          </w:tcPr>
          <w:p>
            <w:pPr>
              <w:spacing w:line="300" w:lineRule="exact"/>
              <w:jc w:val="right"/>
              <w:rPr>
                <w:rFonts w:ascii="方正书宋_GBK" w:eastAsia="方正书宋_GBK"/>
              </w:rPr>
            </w:pPr>
            <w:r>
              <w:rPr>
                <w:rFonts w:ascii="方正书宋_GBK" w:eastAsia="方正书宋_GBK"/>
              </w:rPr>
              <w:t>49.60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W w:w="15507" w:type="dxa"/>
          <w:jc w:val="center"/>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hint="eastAsia"/>
              </w:rPr>
              <w:t>运转经费</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531" w:type="dxa"/>
            <w:vAlign w:val="center"/>
          </w:tcPr>
          <w:p>
            <w:pPr>
              <w:spacing w:line="300" w:lineRule="exact"/>
              <w:jc w:val="left"/>
              <w:rPr>
                <w:rFonts w:ascii="方正书宋_GBK" w:eastAsia="方正书宋_GBK"/>
              </w:rPr>
            </w:pPr>
            <w:r>
              <w:rPr>
                <w:rFonts w:ascii="方正书宋_GBK" w:eastAsia="方正书宋_GBK" w:hint="eastAsia"/>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W w:w="15507" w:type="dxa"/>
          <w:jc w:val="center"/>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hint="eastAsia"/>
              </w:rPr>
              <w:t>运转经费</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531" w:type="dxa"/>
            <w:vAlign w:val="center"/>
          </w:tcPr>
          <w:p>
            <w:pPr>
              <w:spacing w:line="300" w:lineRule="exact"/>
              <w:jc w:val="left"/>
              <w:rPr>
                <w:rFonts w:ascii="方正书宋_GBK" w:eastAsia="方正书宋_GBK"/>
              </w:rPr>
            </w:pPr>
            <w:r>
              <w:rPr>
                <w:rFonts w:ascii="方正书宋_GBK" w:eastAsia="方正书宋_GBK" w:hint="eastAsia"/>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W w:w="15507" w:type="dxa"/>
          <w:jc w:val="center"/>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hint="eastAsia"/>
              </w:rPr>
              <w:t>运转经费</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531" w:type="dxa"/>
            <w:vAlign w:val="center"/>
          </w:tcPr>
          <w:p>
            <w:pPr>
              <w:spacing w:line="300" w:lineRule="exact"/>
              <w:jc w:val="left"/>
              <w:rPr>
                <w:rFonts w:ascii="方正书宋_GBK" w:eastAsia="方正书宋_GBK"/>
              </w:rPr>
            </w:pPr>
            <w:r>
              <w:rPr>
                <w:rFonts w:ascii="方正书宋_GBK" w:eastAsia="方正书宋_GBK" w:hint="eastAsia"/>
              </w:rPr>
              <w:t>复印机</w:t>
            </w:r>
          </w:p>
        </w:tc>
        <w:tc>
          <w:tcPr>
            <w:tcW w:w="1531" w:type="dxa"/>
            <w:vAlign w:val="center"/>
          </w:tcPr>
          <w:p>
            <w:pPr>
              <w:spacing w:line="300" w:lineRule="exact"/>
              <w:jc w:val="left"/>
              <w:rPr>
                <w:rFonts w:ascii="方正书宋_GBK" w:eastAsia="方正书宋_GBK"/>
              </w:rPr>
            </w:pPr>
            <w:r>
              <w:rPr>
                <w:rFonts w:ascii="方正书宋_GBK" w:eastAsia="方正书宋_GBK"/>
              </w:rPr>
              <w:t>A020201</w:t>
            </w:r>
          </w:p>
        </w:tc>
        <w:tc>
          <w:tcPr>
            <w:tcW w:w="709" w:type="dxa"/>
            <w:vAlign w:val="center"/>
          </w:tcPr>
          <w:p>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outlineLvl w:val="0"/>
        <w:rPr>
          <w:rFonts w:ascii="Times New Roman" w:eastAsia="方正仿宋_GBK"/>
          <w:sz w:val="28"/>
        </w:rPr>
        <w:sectPr>
          <w:pgSz w:w="16839" w:h="11907" w:orient="landscape"/>
          <w:pgMar w:top="1361" w:right="1020" w:bottom="1361" w:left="1020" w:header="851" w:footer="992" w:gutter="0"/>
          <w:cols w:num="1" w:space="425"/>
          <w:docGrid w:type="lines" w:linePitch="312" w:charSpace="0"/>
        </w:sectPr>
      </w:pPr>
    </w:p>
    <w:bookmarkEnd w:id="15"/>
    <w:p>
      <w:pPr>
        <w:autoSpaceDE w:val="0"/>
        <w:autoSpaceDN w:val="0"/>
        <w:adjustRightInd w:val="0"/>
        <w:ind w:left="198" w:firstLine="640" w:firstLineChars="200"/>
        <w:jc w:val="left"/>
        <w:rPr>
          <w:rFonts w:ascii="黑体" w:eastAsia="黑体" w:hAnsi="黑体" w:cs="Times New Roman"/>
          <w:sz w:val="32"/>
          <w:szCs w:val="32"/>
        </w:rPr>
      </w:pPr>
    </w:p>
    <w:p>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七、国有资产信息</w:t>
      </w:r>
    </w:p>
    <w:p>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承德市生态环境局局上年末固定资产金额为</w:t>
      </w:r>
      <w:r>
        <w:rPr>
          <w:rFonts w:ascii="仿宋_GB2312" w:eastAsia="仿宋_GB2312" w:hAnsi="黑体" w:cs="Times New Roman"/>
          <w:sz w:val="32"/>
          <w:szCs w:val="32"/>
        </w:rPr>
        <w:t>9131.37</w:t>
      </w:r>
      <w:r>
        <w:rPr>
          <w:rFonts w:ascii="仿宋_GB2312" w:eastAsia="仿宋_GB2312" w:hAnsi="黑体" w:cs="Times New Roman" w:hint="eastAsia"/>
          <w:sz w:val="32"/>
          <w:szCs w:val="32"/>
        </w:rPr>
        <w:t>万元，本年度拟购置固定资产约</w:t>
      </w:r>
      <w:r>
        <w:rPr>
          <w:rFonts w:ascii="仿宋_GB2312" w:eastAsia="仿宋_GB2312" w:hAnsi="黑体" w:cs="Times New Roman"/>
          <w:sz w:val="32"/>
          <w:szCs w:val="32"/>
        </w:rPr>
        <w:t>30</w:t>
      </w:r>
      <w:r>
        <w:rPr>
          <w:rFonts w:ascii="仿宋_GB2312" w:eastAsia="仿宋_GB2312" w:hAnsi="黑体" w:cs="Times New Roman" w:hint="eastAsia"/>
          <w:sz w:val="32"/>
          <w:szCs w:val="32"/>
        </w:rPr>
        <w:t>万元，主要为更新公务用车以及计算机、打印机、空调、摄像机等办公设备</w:t>
      </w:r>
      <w:r>
        <w:rPr>
          <w:rFonts w:ascii="仿宋_GB2312" w:eastAsia="仿宋_GB2312" w:hAnsi="黑体" w:cs="Times New Roman"/>
          <w:sz w:val="32"/>
          <w:szCs w:val="32"/>
        </w:rPr>
        <w:t>,</w:t>
      </w:r>
      <w:r>
        <w:rPr>
          <w:rFonts w:ascii="仿宋_GB2312" w:eastAsia="仿宋_GB2312" w:hAnsi="黑体" w:cs="Times New Roman" w:hint="eastAsia"/>
          <w:sz w:val="32"/>
          <w:szCs w:val="32"/>
        </w:rPr>
        <w:t>已列入政府采购预算表。</w:t>
      </w:r>
    </w:p>
    <w:tbl>
      <w:tblPr>
        <w:tblStyle w:val="TableNormal"/>
        <w:tblW w:w="13482" w:type="dxa"/>
        <w:tblInd w:w="93" w:type="dxa"/>
        <w:tblLayout w:type="fixed"/>
        <w:tblCellMar>
          <w:top w:w="0" w:type="dxa"/>
          <w:left w:w="108" w:type="dxa"/>
          <w:bottom w:w="0" w:type="dxa"/>
          <w:right w:w="108" w:type="dxa"/>
        </w:tblCellMar>
      </w:tblPr>
      <w:tblGrid>
        <w:gridCol w:w="5224"/>
        <w:gridCol w:w="3155"/>
        <w:gridCol w:w="5103"/>
      </w:tblGrid>
      <w:tr>
        <w:tblPrEx>
          <w:tblW w:w="13482" w:type="dxa"/>
          <w:tblInd w:w="93" w:type="dxa"/>
          <w:tblLayout w:type="fixed"/>
          <w:tblCellMar>
            <w:top w:w="0" w:type="dxa"/>
            <w:left w:w="108" w:type="dxa"/>
            <w:bottom w:w="0" w:type="dxa"/>
            <w:right w:w="108" w:type="dxa"/>
          </w:tblCellMar>
        </w:tblPrEx>
        <w:trPr>
          <w:trHeight w:val="705"/>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ascii="宋体" w:hAnsi="宋体" w:cs="宋体" w:hint="eastAsia"/>
                <w:b/>
                <w:bCs/>
                <w:kern w:val="0"/>
                <w:sz w:val="32"/>
                <w:szCs w:val="32"/>
              </w:rPr>
              <w:t>固定资产占用情况表</w:t>
            </w:r>
          </w:p>
        </w:tc>
      </w:tr>
      <w:tr>
        <w:tblPrEx>
          <w:tblW w:w="13482" w:type="dxa"/>
          <w:tblInd w:w="93" w:type="dxa"/>
          <w:tblLayout w:type="fixed"/>
          <w:tblCellMar>
            <w:top w:w="0" w:type="dxa"/>
            <w:left w:w="108" w:type="dxa"/>
            <w:bottom w:w="0" w:type="dxa"/>
            <w:right w:w="108" w:type="dxa"/>
          </w:tblCellMar>
        </w:tblPrEx>
        <w:trPr>
          <w:trHeight w:val="510"/>
        </w:trPr>
        <w:tc>
          <w:tcPr>
            <w:tcW w:w="8379" w:type="dxa"/>
            <w:gridSpan w:val="2"/>
            <w:tcBorders>
              <w:top w:val="nil"/>
              <w:left w:val="nil"/>
              <w:bottom w:val="nil"/>
              <w:right w:val="nil"/>
            </w:tcBorders>
            <w:vAlign w:val="center"/>
          </w:tcPr>
          <w:p>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t>编制部门：承德市生态环境局</w:t>
            </w:r>
          </w:p>
        </w:tc>
        <w:tc>
          <w:tcPr>
            <w:tcW w:w="5103" w:type="dxa"/>
            <w:tcBorders>
              <w:top w:val="nil"/>
              <w:left w:val="nil"/>
              <w:bottom w:val="nil"/>
              <w:right w:val="nil"/>
            </w:tcBorders>
            <w:vAlign w:val="center"/>
          </w:tcPr>
          <w:p>
            <w:pPr>
              <w:widowControl/>
              <w:ind w:firstLine="1320" w:firstLineChars="600"/>
              <w:jc w:val="left"/>
              <w:rPr>
                <w:rFonts w:ascii="Times New Roman" w:eastAsia="仿宋" w:hAnsi="Times New Roman" w:cs="Times New Roman"/>
                <w:kern w:val="0"/>
                <w:sz w:val="22"/>
              </w:rPr>
            </w:pPr>
            <w:r>
              <w:rPr>
                <w:rFonts w:ascii="Times New Roman" w:eastAsia="仿宋" w:hAnsi="Times New Roman" w:cs="Times New Roman" w:hint="eastAsia"/>
                <w:kern w:val="0"/>
                <w:sz w:val="22"/>
              </w:rPr>
              <w:t>截止时间：</w:t>
            </w:r>
            <w:r>
              <w:rPr>
                <w:rFonts w:ascii="Times New Roman" w:eastAsia="仿宋" w:hAnsi="Times New Roman" w:cs="Times New Roman"/>
                <w:kern w:val="0"/>
                <w:sz w:val="22"/>
              </w:rPr>
              <w:t>2019</w:t>
            </w:r>
            <w:r>
              <w:rPr>
                <w:rFonts w:ascii="Times New Roman" w:eastAsia="仿宋" w:hAnsi="Times New Roman" w:cs="Times New Roman" w:hint="eastAsia"/>
                <w:kern w:val="0"/>
                <w:sz w:val="22"/>
              </w:rPr>
              <w:t>年</w:t>
            </w:r>
            <w:r>
              <w:rPr>
                <w:rFonts w:ascii="Times New Roman" w:eastAsia="仿宋" w:hAnsi="Times New Roman" w:cs="Times New Roman"/>
                <w:kern w:val="0"/>
                <w:sz w:val="22"/>
              </w:rPr>
              <w:t>12</w:t>
            </w:r>
            <w:r>
              <w:rPr>
                <w:rFonts w:ascii="Times New Roman" w:eastAsia="仿宋" w:hAnsi="Times New Roman" w:cs="Times New Roman" w:hint="eastAsia"/>
                <w:kern w:val="0"/>
                <w:sz w:val="22"/>
              </w:rPr>
              <w:t>月</w:t>
            </w:r>
            <w:r>
              <w:rPr>
                <w:rFonts w:ascii="Times New Roman" w:eastAsia="仿宋" w:hAnsi="Times New Roman" w:cs="Times New Roman"/>
                <w:kern w:val="0"/>
                <w:sz w:val="22"/>
              </w:rPr>
              <w:t>31</w:t>
            </w:r>
            <w:r>
              <w:rPr>
                <w:rFonts w:ascii="Times New Roman" w:eastAsia="仿宋" w:hAnsi="Times New Roman" w:cs="Times New Roman" w:hint="eastAsia"/>
                <w:kern w:val="0"/>
                <w:sz w:val="22"/>
              </w:rPr>
              <w:t>日</w:t>
            </w:r>
          </w:p>
        </w:tc>
      </w:tr>
      <w:tr>
        <w:tblPrEx>
          <w:tblW w:w="13482" w:type="dxa"/>
          <w:tblInd w:w="93" w:type="dxa"/>
          <w:tblLayout w:type="fixed"/>
          <w:tblCellMar>
            <w:top w:w="0" w:type="dxa"/>
            <w:left w:w="108" w:type="dxa"/>
            <w:bottom w:w="0" w:type="dxa"/>
            <w:right w:w="108" w:type="dxa"/>
          </w:tblCellMar>
        </w:tblPrEx>
        <w:trPr>
          <w:trHeight w:val="645"/>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pPr>
              <w:widowControl/>
              <w:jc w:val="center"/>
              <w:rPr>
                <w:rFonts w:ascii="宋体" w:cs="宋体"/>
                <w:b/>
                <w:bCs/>
                <w:kern w:val="0"/>
                <w:sz w:val="22"/>
              </w:rPr>
            </w:pPr>
            <w:r>
              <w:rPr>
                <w:rFonts w:ascii="宋体" w:hAnsi="宋体" w:cs="宋体" w:hint="eastAsia"/>
                <w:b/>
                <w:bCs/>
                <w:kern w:val="0"/>
                <w:sz w:val="22"/>
              </w:rPr>
              <w:t>价值（金额单位：万元）</w:t>
            </w:r>
          </w:p>
        </w:tc>
      </w:tr>
      <w:tr>
        <w:tblPrEx>
          <w:tblW w:w="13482" w:type="dxa"/>
          <w:tblInd w:w="93" w:type="dxa"/>
          <w:tblLayout w:type="fixed"/>
          <w:tblCellMar>
            <w:top w:w="0" w:type="dxa"/>
            <w:left w:w="108" w:type="dxa"/>
            <w:bottom w:w="0" w:type="dxa"/>
            <w:right w:w="108" w:type="dxa"/>
          </w:tblCellMar>
        </w:tblPrEx>
        <w:trPr>
          <w:trHeight w:val="645"/>
        </w:trPr>
        <w:tc>
          <w:tcPr>
            <w:tcW w:w="5224" w:type="dxa"/>
            <w:tcBorders>
              <w:top w:val="nil"/>
              <w:left w:val="single" w:sz="4" w:space="0" w:color="auto"/>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资产总额</w:t>
            </w:r>
          </w:p>
        </w:tc>
        <w:tc>
          <w:tcPr>
            <w:tcW w:w="3155"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9131.37</w:t>
            </w:r>
          </w:p>
        </w:tc>
      </w:tr>
      <w:tr>
        <w:tblPrEx>
          <w:tblW w:w="13482" w:type="dxa"/>
          <w:tblInd w:w="93" w:type="dxa"/>
          <w:tblLayout w:type="fixed"/>
          <w:tblCellMar>
            <w:top w:w="0" w:type="dxa"/>
            <w:left w:w="108" w:type="dxa"/>
            <w:bottom w:w="0" w:type="dxa"/>
            <w:right w:w="108" w:type="dxa"/>
          </w:tblCellMar>
        </w:tblPrEx>
        <w:trPr>
          <w:trHeight w:val="645"/>
        </w:trPr>
        <w:tc>
          <w:tcPr>
            <w:tcW w:w="5224"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、房屋（平方米）</w:t>
            </w:r>
          </w:p>
        </w:tc>
        <w:tc>
          <w:tcPr>
            <w:tcW w:w="3155"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7506.53</w:t>
            </w:r>
          </w:p>
        </w:tc>
        <w:tc>
          <w:tcPr>
            <w:tcW w:w="5103"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1116.46</w:t>
            </w:r>
          </w:p>
        </w:tc>
      </w:tr>
      <w:tr>
        <w:tblPrEx>
          <w:tblW w:w="13482" w:type="dxa"/>
          <w:tblInd w:w="93" w:type="dxa"/>
          <w:tblLayout w:type="fixed"/>
          <w:tblCellMar>
            <w:top w:w="0" w:type="dxa"/>
            <w:left w:w="108" w:type="dxa"/>
            <w:bottom w:w="0" w:type="dxa"/>
            <w:right w:w="108" w:type="dxa"/>
          </w:tblCellMar>
        </w:tblPrEx>
        <w:trPr>
          <w:trHeight w:val="645"/>
        </w:trPr>
        <w:tc>
          <w:tcPr>
            <w:tcW w:w="5224"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t>其中：办公用房（平方米）</w:t>
            </w:r>
          </w:p>
        </w:tc>
        <w:tc>
          <w:tcPr>
            <w:tcW w:w="3155"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6789.53</w:t>
            </w:r>
          </w:p>
        </w:tc>
        <w:tc>
          <w:tcPr>
            <w:tcW w:w="5103"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1091.21</w:t>
            </w:r>
          </w:p>
        </w:tc>
      </w:tr>
      <w:tr>
        <w:tblPrEx>
          <w:tblW w:w="13482" w:type="dxa"/>
          <w:tblInd w:w="93" w:type="dxa"/>
          <w:tblLayout w:type="fixed"/>
          <w:tblCellMar>
            <w:top w:w="0" w:type="dxa"/>
            <w:left w:w="108" w:type="dxa"/>
            <w:bottom w:w="0" w:type="dxa"/>
            <w:right w:w="108" w:type="dxa"/>
          </w:tblCellMar>
        </w:tblPrEx>
        <w:trPr>
          <w:trHeight w:val="645"/>
        </w:trPr>
        <w:tc>
          <w:tcPr>
            <w:tcW w:w="5224"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、车辆（台、辆）</w:t>
            </w:r>
          </w:p>
        </w:tc>
        <w:tc>
          <w:tcPr>
            <w:tcW w:w="3155"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27</w:t>
            </w:r>
          </w:p>
        </w:tc>
        <w:tc>
          <w:tcPr>
            <w:tcW w:w="5103"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506.84</w:t>
            </w:r>
          </w:p>
        </w:tc>
      </w:tr>
      <w:tr>
        <w:tblPrEx>
          <w:tblW w:w="13482" w:type="dxa"/>
          <w:tblInd w:w="93" w:type="dxa"/>
          <w:tblLayout w:type="fixed"/>
          <w:tblCellMar>
            <w:top w:w="0" w:type="dxa"/>
            <w:left w:w="108" w:type="dxa"/>
            <w:bottom w:w="0" w:type="dxa"/>
            <w:right w:w="108" w:type="dxa"/>
          </w:tblCellMar>
        </w:tblPrEx>
        <w:trPr>
          <w:trHeight w:val="645"/>
        </w:trPr>
        <w:tc>
          <w:tcPr>
            <w:tcW w:w="5224"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、单价在</w:t>
            </w:r>
            <w:r>
              <w:rPr>
                <w:rFonts w:ascii="Times New Roman" w:eastAsia="仿宋" w:hAnsi="Times New Roman" w:cs="Times New Roman"/>
                <w:kern w:val="0"/>
                <w:sz w:val="22"/>
              </w:rPr>
              <w:t>20</w:t>
            </w:r>
            <w:r>
              <w:rPr>
                <w:rFonts w:ascii="Times New Roman" w:eastAsia="仿宋" w:hAnsi="Times New Roman" w:cs="Times New Roman" w:hint="eastAsia"/>
                <w:kern w:val="0"/>
                <w:sz w:val="22"/>
              </w:rPr>
              <w:t>万元以上设备</w:t>
            </w:r>
          </w:p>
        </w:tc>
        <w:tc>
          <w:tcPr>
            <w:tcW w:w="3155"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3182.43</w:t>
            </w:r>
          </w:p>
        </w:tc>
      </w:tr>
      <w:tr>
        <w:tblPrEx>
          <w:tblW w:w="13482" w:type="dxa"/>
          <w:tblInd w:w="93" w:type="dxa"/>
          <w:tblLayout w:type="fixed"/>
          <w:tblCellMar>
            <w:top w:w="0" w:type="dxa"/>
            <w:left w:w="108" w:type="dxa"/>
            <w:bottom w:w="0" w:type="dxa"/>
            <w:right w:w="108" w:type="dxa"/>
          </w:tblCellMar>
        </w:tblPrEx>
        <w:trPr>
          <w:trHeight w:val="645"/>
        </w:trPr>
        <w:tc>
          <w:tcPr>
            <w:tcW w:w="5224" w:type="dxa"/>
            <w:tcBorders>
              <w:top w:val="nil"/>
              <w:left w:val="single" w:sz="4" w:space="0" w:color="auto"/>
              <w:bottom w:val="single" w:sz="4" w:space="0" w:color="auto"/>
              <w:right w:val="single" w:sz="4" w:space="0" w:color="auto"/>
            </w:tcBorders>
            <w:vAlign w:val="center"/>
          </w:tcPr>
          <w:p>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、其他固定资产</w:t>
            </w:r>
          </w:p>
        </w:tc>
        <w:tc>
          <w:tcPr>
            <w:tcW w:w="3155"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4325.64</w:t>
            </w:r>
          </w:p>
        </w:tc>
      </w:tr>
    </w:tbl>
    <w:p>
      <w:pPr>
        <w:tabs>
          <w:tab w:val="left" w:pos="1800"/>
        </w:tabs>
        <w:sectPr>
          <w:footerReference w:type="default" r:id="rId4"/>
          <w:pgSz w:w="16838" w:h="11906" w:orient="landscape"/>
          <w:pgMar w:top="1800" w:right="1440" w:bottom="1800" w:left="1440" w:header="851" w:footer="992" w:gutter="0"/>
          <w:cols w:num="1" w:space="720"/>
          <w:docGrid w:type="lines" w:linePitch="312" w:charSpace="0"/>
        </w:sectPr>
      </w:pPr>
    </w:p>
    <w:p>
      <w:pPr>
        <w:rPr>
          <w:rFonts w:ascii="黑体" w:eastAsia="黑体" w:hAnsi="黑体" w:cs="Times New Roman"/>
          <w:sz w:val="32"/>
          <w:szCs w:val="32"/>
        </w:rPr>
        <w:sectPr>
          <w:pgSz w:w="16838" w:h="11906" w:orient="landscape"/>
          <w:pgMar w:top="1800" w:right="1440" w:bottom="1800" w:left="1440" w:header="851" w:footer="992" w:gutter="0"/>
          <w:cols w:num="1" w:space="720"/>
          <w:docGrid w:type="lines" w:linePitch="312" w:charSpace="0"/>
        </w:sectPr>
      </w:pPr>
    </w:p>
    <w:p>
      <w:pPr>
        <w:numPr>
          <w:ilvl w:val="0"/>
          <w:numId w:val="2"/>
        </w:num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名词解释</w:t>
      </w:r>
    </w:p>
    <w:p>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、一般公共预算拨款收入：市级财政当年拨付的资金。</w:t>
      </w:r>
    </w:p>
    <w:p>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：为因公出国（境）费、公务用车购置及运行费、公务接待费。</w:t>
      </w:r>
    </w:p>
    <w:p>
      <w:pPr>
        <w:autoSpaceDE w:val="0"/>
        <w:autoSpaceDN w:val="0"/>
        <w:adjustRightInd w:val="0"/>
        <w:ind w:left="420" w:firstLine="640" w:leftChars="200" w:firstLineChars="200"/>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我部门无其他需要说明的事项。</w:t>
      </w: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27</w:t>
    </w:r>
    <w:r>
      <w:rPr>
        <w:rStyle w:val="PageNumber"/>
      </w:rPr>
      <w:fldChar w:fldCharType="end"/>
    </w:r>
  </w:p>
  <w:p>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18F2D"/>
    <w:multiLevelType w:val="singleLevel"/>
    <w:tmpl w:val="58818F2D"/>
    <w:lvl w:ilvl="0">
      <w:start w:val="2"/>
      <w:numFmt w:val="decimal"/>
      <w:suff w:val="nothing"/>
      <w:lvlText w:val="%1、"/>
      <w:lvlJc w:val="left"/>
      <w:rPr>
        <w:rFonts w:cs="Times New Roman"/>
      </w:rPr>
    </w:lvl>
  </w:abstractNum>
  <w:abstractNum w:abstractNumId="1">
    <w:nsid w:val="5881B3F2"/>
    <w:multiLevelType w:val="singleLevel"/>
    <w:tmpl w:val="5881B3F2"/>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37AF6"/>
    <w:rsid w:val="000444DB"/>
    <w:rsid w:val="00071A26"/>
    <w:rsid w:val="00075D5F"/>
    <w:rsid w:val="000A14E5"/>
    <w:rsid w:val="000B3E8D"/>
    <w:rsid w:val="000C3A19"/>
    <w:rsid w:val="000C3D58"/>
    <w:rsid w:val="00100905"/>
    <w:rsid w:val="0010433D"/>
    <w:rsid w:val="00107944"/>
    <w:rsid w:val="001245BB"/>
    <w:rsid w:val="001528A2"/>
    <w:rsid w:val="00177FCA"/>
    <w:rsid w:val="001D7F61"/>
    <w:rsid w:val="001F5B44"/>
    <w:rsid w:val="001F6AD0"/>
    <w:rsid w:val="00241FD4"/>
    <w:rsid w:val="00251B12"/>
    <w:rsid w:val="00272BA1"/>
    <w:rsid w:val="0029197E"/>
    <w:rsid w:val="00296113"/>
    <w:rsid w:val="002E33CD"/>
    <w:rsid w:val="002F3A3E"/>
    <w:rsid w:val="002F3E58"/>
    <w:rsid w:val="003010A7"/>
    <w:rsid w:val="0030542C"/>
    <w:rsid w:val="00311B7A"/>
    <w:rsid w:val="00314C7B"/>
    <w:rsid w:val="00392798"/>
    <w:rsid w:val="003B014E"/>
    <w:rsid w:val="004229BC"/>
    <w:rsid w:val="00424361"/>
    <w:rsid w:val="00425201"/>
    <w:rsid w:val="004424B4"/>
    <w:rsid w:val="004426F1"/>
    <w:rsid w:val="00451871"/>
    <w:rsid w:val="00472923"/>
    <w:rsid w:val="004A69B4"/>
    <w:rsid w:val="004B46AF"/>
    <w:rsid w:val="004E3066"/>
    <w:rsid w:val="004E74CD"/>
    <w:rsid w:val="00513CB1"/>
    <w:rsid w:val="00542AD7"/>
    <w:rsid w:val="00546101"/>
    <w:rsid w:val="00551394"/>
    <w:rsid w:val="00573562"/>
    <w:rsid w:val="005954DD"/>
    <w:rsid w:val="005B1DF0"/>
    <w:rsid w:val="005B25A8"/>
    <w:rsid w:val="005B793C"/>
    <w:rsid w:val="00610D22"/>
    <w:rsid w:val="00614A29"/>
    <w:rsid w:val="0063117E"/>
    <w:rsid w:val="00632203"/>
    <w:rsid w:val="00636770"/>
    <w:rsid w:val="006743CA"/>
    <w:rsid w:val="00675F29"/>
    <w:rsid w:val="00684789"/>
    <w:rsid w:val="006A4CEC"/>
    <w:rsid w:val="006E3FDA"/>
    <w:rsid w:val="006E55DB"/>
    <w:rsid w:val="00732AF3"/>
    <w:rsid w:val="00740DF4"/>
    <w:rsid w:val="0075393C"/>
    <w:rsid w:val="00765013"/>
    <w:rsid w:val="00767A60"/>
    <w:rsid w:val="00776C08"/>
    <w:rsid w:val="00777E52"/>
    <w:rsid w:val="007C1AFA"/>
    <w:rsid w:val="007C5EB8"/>
    <w:rsid w:val="007D0EF6"/>
    <w:rsid w:val="007D278E"/>
    <w:rsid w:val="007E1DA8"/>
    <w:rsid w:val="007E2D5B"/>
    <w:rsid w:val="007F6C26"/>
    <w:rsid w:val="008254D9"/>
    <w:rsid w:val="008334AE"/>
    <w:rsid w:val="00836FED"/>
    <w:rsid w:val="00837947"/>
    <w:rsid w:val="00845CD2"/>
    <w:rsid w:val="008463DD"/>
    <w:rsid w:val="00852B0D"/>
    <w:rsid w:val="00867084"/>
    <w:rsid w:val="00881692"/>
    <w:rsid w:val="00887B5F"/>
    <w:rsid w:val="008B3CC5"/>
    <w:rsid w:val="008D3A11"/>
    <w:rsid w:val="008E4261"/>
    <w:rsid w:val="008F3E86"/>
    <w:rsid w:val="008F4662"/>
    <w:rsid w:val="00905D08"/>
    <w:rsid w:val="00925753"/>
    <w:rsid w:val="00966C5C"/>
    <w:rsid w:val="00973104"/>
    <w:rsid w:val="00995F63"/>
    <w:rsid w:val="009A0766"/>
    <w:rsid w:val="009A5DB6"/>
    <w:rsid w:val="009C051D"/>
    <w:rsid w:val="009E2F74"/>
    <w:rsid w:val="009F5764"/>
    <w:rsid w:val="00A07571"/>
    <w:rsid w:val="00A72D2E"/>
    <w:rsid w:val="00A7797D"/>
    <w:rsid w:val="00A84C1B"/>
    <w:rsid w:val="00A8620D"/>
    <w:rsid w:val="00A911E7"/>
    <w:rsid w:val="00A939D9"/>
    <w:rsid w:val="00AA3AF7"/>
    <w:rsid w:val="00AC469E"/>
    <w:rsid w:val="00AF791D"/>
    <w:rsid w:val="00B06AC8"/>
    <w:rsid w:val="00B20712"/>
    <w:rsid w:val="00B31896"/>
    <w:rsid w:val="00B354A9"/>
    <w:rsid w:val="00B43238"/>
    <w:rsid w:val="00B44797"/>
    <w:rsid w:val="00B73807"/>
    <w:rsid w:val="00B75216"/>
    <w:rsid w:val="00B75F1A"/>
    <w:rsid w:val="00B91D52"/>
    <w:rsid w:val="00BA1ACD"/>
    <w:rsid w:val="00BA2F1E"/>
    <w:rsid w:val="00BE4D46"/>
    <w:rsid w:val="00BE58BB"/>
    <w:rsid w:val="00BF4F3E"/>
    <w:rsid w:val="00C53C58"/>
    <w:rsid w:val="00C933B2"/>
    <w:rsid w:val="00C93B00"/>
    <w:rsid w:val="00CA7176"/>
    <w:rsid w:val="00CB0C88"/>
    <w:rsid w:val="00CC163D"/>
    <w:rsid w:val="00CC7D0A"/>
    <w:rsid w:val="00CD2773"/>
    <w:rsid w:val="00CE143B"/>
    <w:rsid w:val="00D23756"/>
    <w:rsid w:val="00D305C3"/>
    <w:rsid w:val="00D34273"/>
    <w:rsid w:val="00D515FC"/>
    <w:rsid w:val="00D52CB2"/>
    <w:rsid w:val="00D74B13"/>
    <w:rsid w:val="00D8488E"/>
    <w:rsid w:val="00DA0375"/>
    <w:rsid w:val="00DF0D6B"/>
    <w:rsid w:val="00DF35A5"/>
    <w:rsid w:val="00E07396"/>
    <w:rsid w:val="00E167C7"/>
    <w:rsid w:val="00E53B83"/>
    <w:rsid w:val="00E549F4"/>
    <w:rsid w:val="00E60044"/>
    <w:rsid w:val="00EB1D94"/>
    <w:rsid w:val="00EB593B"/>
    <w:rsid w:val="00EC47F6"/>
    <w:rsid w:val="00EC5621"/>
    <w:rsid w:val="00EF09AB"/>
    <w:rsid w:val="00F118CD"/>
    <w:rsid w:val="00F3764D"/>
    <w:rsid w:val="00F66032"/>
    <w:rsid w:val="00F9128F"/>
    <w:rsid w:val="00F958C2"/>
    <w:rsid w:val="00FB1F6F"/>
    <w:rsid w:val="00FD24BD"/>
    <w:rsid w:val="00FD4E0B"/>
    <w:rsid w:val="01FB23CB"/>
    <w:rsid w:val="0B0D77B0"/>
    <w:rsid w:val="0C3D5924"/>
    <w:rsid w:val="0D9F1876"/>
    <w:rsid w:val="10ED36A0"/>
    <w:rsid w:val="114917E9"/>
    <w:rsid w:val="15F42192"/>
    <w:rsid w:val="19C36DAA"/>
    <w:rsid w:val="1A5D684E"/>
    <w:rsid w:val="1ABE55EE"/>
    <w:rsid w:val="1D954D97"/>
    <w:rsid w:val="2A012DF7"/>
    <w:rsid w:val="303D4E30"/>
    <w:rsid w:val="304B4B5F"/>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w:docVars>
    <w:docVar w:name="commondata" w:val="eyJoZGlkIjoiMmMzNjM2NmYxYTM5YmE5ZmQyNjY5MzA5ZmI1OTJjY2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unhideWhenUsed="0"/>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unhideWhenUsed="0"/>
    <w:lsdException w:name="annotation reference" w:locked="1"/>
    <w:lsdException w:name="line number" w:locked="1"/>
    <w:lsdException w:name="page number"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unhideWhenUsed="0"/>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黑体"/>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Footer">
    <w:name w:val="footer"/>
    <w:basedOn w:val="Normal"/>
    <w:link w:val="a"/>
    <w:uiPriority w:val="99"/>
    <w:pPr>
      <w:tabs>
        <w:tab w:val="center" w:pos="4153"/>
        <w:tab w:val="right" w:pos="8306"/>
      </w:tabs>
      <w:snapToGrid w:val="0"/>
      <w:jc w:val="left"/>
    </w:pPr>
    <w:rPr>
      <w:rFonts w:ascii="Times New Roman" w:hAnsi="Times New Roman" w:cs="Times New Roman"/>
      <w:sz w:val="18"/>
      <w:szCs w:val="18"/>
    </w:rPr>
  </w:style>
  <w:style w:type="paragraph" w:styleId="Header">
    <w:name w:val="header"/>
    <w:basedOn w:val="Normal"/>
    <w:link w:val="a0"/>
    <w:uiPriority w:val="9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Normal"/>
    <w:next w:val="Normal"/>
    <w:uiPriority w:val="99"/>
    <w:rPr>
      <w:rFonts w:ascii="Times New Roman" w:hAnsi="Times New Roman" w:cs="Times New Roman"/>
      <w:szCs w:val="24"/>
    </w:rPr>
  </w:style>
  <w:style w:type="paragraph" w:styleId="FootnoteText">
    <w:name w:val="footnote text"/>
    <w:basedOn w:val="Normal"/>
    <w:link w:val="a1"/>
    <w:uiPriority w:val="99"/>
    <w:semiHidden/>
    <w:pPr>
      <w:snapToGrid w:val="0"/>
      <w:jc w:val="left"/>
    </w:pPr>
    <w:rPr>
      <w:rFonts w:cs="Times New Roman"/>
      <w:sz w:val="18"/>
      <w:szCs w:val="18"/>
    </w:rPr>
  </w:style>
  <w:style w:type="paragraph" w:styleId="TOC2">
    <w:name w:val="toc 2"/>
    <w:basedOn w:val="Normal"/>
    <w:next w:val="Normal"/>
    <w:uiPriority w:val="99"/>
    <w:pPr>
      <w:ind w:left="420" w:leftChars="200"/>
    </w:pPr>
    <w:rPr>
      <w:rFonts w:ascii="Times New Roman" w:hAnsi="Times New Roman" w:cs="Times New Roman"/>
      <w:szCs w:val="24"/>
    </w:rPr>
  </w:style>
  <w:style w:type="character" w:styleId="PageNumber">
    <w:name w:val="page number"/>
    <w:uiPriority w:val="99"/>
    <w:semiHidden/>
    <w:rPr>
      <w:rFonts w:cs="Times New Roman"/>
    </w:rPr>
  </w:style>
  <w:style w:type="character" w:styleId="FollowedHyperlink">
    <w:name w:val="FollowedHyperlink"/>
    <w:uiPriority w:val="99"/>
    <w:semiHidden/>
    <w:rPr>
      <w:rFonts w:cs="Times New Roman"/>
      <w:color w:val="800080"/>
      <w:u w:val="single"/>
    </w:rPr>
  </w:style>
  <w:style w:type="character" w:styleId="Hyperlink">
    <w:name w:val="Hyperlink"/>
    <w:uiPriority w:val="99"/>
    <w:rPr>
      <w:rFonts w:cs="Times New Roman"/>
      <w:color w:val="0000FF"/>
      <w:u w:val="single"/>
    </w:rPr>
  </w:style>
  <w:style w:type="character" w:styleId="FootnoteReference">
    <w:name w:val="footnote reference"/>
    <w:uiPriority w:val="99"/>
    <w:semiHidden/>
    <w:rPr>
      <w:rFonts w:cs="Times New Roman"/>
      <w:vertAlign w:val="superscript"/>
    </w:rPr>
  </w:style>
  <w:style w:type="character" w:customStyle="1" w:styleId="a">
    <w:name w:val="页脚 字符"/>
    <w:link w:val="Footer"/>
    <w:uiPriority w:val="99"/>
    <w:locked/>
    <w:rPr>
      <w:rFonts w:ascii="Times New Roman" w:eastAsia="宋体" w:hAnsi="Times New Roman" w:cs="Times New Roman"/>
      <w:sz w:val="18"/>
      <w:szCs w:val="18"/>
    </w:rPr>
  </w:style>
  <w:style w:type="character" w:customStyle="1" w:styleId="a0">
    <w:name w:val="页眉 字符"/>
    <w:link w:val="Header"/>
    <w:uiPriority w:val="99"/>
    <w:locked/>
    <w:rPr>
      <w:rFonts w:ascii="Times New Roman" w:eastAsia="宋体" w:hAnsi="Times New Roman" w:cs="Times New Roman"/>
      <w:sz w:val="18"/>
      <w:szCs w:val="18"/>
    </w:rPr>
  </w:style>
  <w:style w:type="paragraph" w:customStyle="1" w:styleId="font5">
    <w:name w:val="font5"/>
    <w:basedOn w:val="Normal"/>
    <w:uiPriority w:val="99"/>
    <w:pPr>
      <w:widowControl/>
      <w:spacing w:before="100" w:beforeAutospacing="1" w:after="100" w:afterAutospacing="1"/>
      <w:jc w:val="left"/>
    </w:pPr>
    <w:rPr>
      <w:rFonts w:ascii="Times New Roman" w:hAnsi="Times New Roman" w:cs="Times New Roman"/>
      <w:kern w:val="0"/>
      <w:sz w:val="18"/>
      <w:szCs w:val="18"/>
    </w:rPr>
  </w:style>
  <w:style w:type="paragraph" w:customStyle="1" w:styleId="font6">
    <w:name w:val="font6"/>
    <w:basedOn w:val="Normal"/>
    <w:uiPriority w:val="99"/>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Normal"/>
    <w:autoRedefine/>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Normal"/>
    <w:autoRedefine/>
    <w:uiPriority w:val="99"/>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Normal"/>
    <w:autoRedefine/>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Normal"/>
    <w:autoRedefine/>
    <w:uiPriority w:val="99"/>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xl76">
    <w:name w:val="xl76"/>
    <w:basedOn w:val="Normal"/>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Normal"/>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8">
    <w:name w:val="xl78"/>
    <w:basedOn w:val="Normal"/>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80">
    <w:name w:val="xl80"/>
    <w:basedOn w:val="Normal"/>
    <w:autoRedefine/>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7">
    <w:name w:val="xl87"/>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Normal"/>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9">
    <w:name w:val="xl89"/>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书宋_GBK" w:eastAsia="方正书宋_GBK" w:hAnsi="宋体" w:cs="宋体"/>
      <w:kern w:val="0"/>
      <w:sz w:val="24"/>
      <w:szCs w:val="24"/>
    </w:rPr>
  </w:style>
  <w:style w:type="paragraph" w:customStyle="1" w:styleId="xl91">
    <w:name w:val="xl91"/>
    <w:basedOn w:val="Normal"/>
    <w:uiPriority w:val="9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Normal"/>
    <w:autoRedefine/>
    <w:uiPriority w:val="9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Normal"/>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1">
    <w:name w:val="xl101"/>
    <w:basedOn w:val="Normal"/>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Normal"/>
    <w:uiPriority w:val="9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3">
    <w:name w:val="xl103"/>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104">
    <w:name w:val="xl104"/>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5">
    <w:name w:val="xl105"/>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Normal"/>
    <w:autoRedefine/>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7">
    <w:name w:val="xl107"/>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8">
    <w:name w:val="xl108"/>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9">
    <w:name w:val="xl109"/>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10">
    <w:name w:val="xl110"/>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1">
    <w:name w:val="xl111"/>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Normal"/>
    <w:uiPriority w:val="9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3">
    <w:name w:val="xl113"/>
    <w:basedOn w:val="Normal"/>
    <w:uiPriority w:val="9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4">
    <w:name w:val="xl114"/>
    <w:basedOn w:val="Normal"/>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5">
    <w:name w:val="xl115"/>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6">
    <w:name w:val="xl116"/>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7">
    <w:name w:val="xl117"/>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8">
    <w:name w:val="xl118"/>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19">
    <w:name w:val="xl119"/>
    <w:basedOn w:val="Normal"/>
    <w:autoRedefine/>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0">
    <w:name w:val="xl120"/>
    <w:basedOn w:val="Normal"/>
    <w:uiPriority w:val="9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1">
    <w:name w:val="xl121"/>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2">
    <w:name w:val="xl122"/>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3">
    <w:name w:val="xl123"/>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4">
    <w:name w:val="xl124"/>
    <w:basedOn w:val="Normal"/>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5">
    <w:name w:val="xl125"/>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6">
    <w:name w:val="xl126"/>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Normal"/>
    <w:uiPriority w:val="99"/>
    <w:qFormat/>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8">
    <w:name w:val="xl128"/>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29">
    <w:name w:val="xl129"/>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30">
    <w:name w:val="xl130"/>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1">
    <w:name w:val="xl131"/>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2">
    <w:name w:val="xl132"/>
    <w:basedOn w:val="Normal"/>
    <w:autoRedefine/>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3">
    <w:name w:val="xl133"/>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4">
    <w:name w:val="xl134"/>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5">
    <w:name w:val="xl135"/>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6">
    <w:name w:val="xl136"/>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7">
    <w:name w:val="xl137"/>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8">
    <w:name w:val="xl138"/>
    <w:basedOn w:val="Normal"/>
    <w:autoRedefine/>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9">
    <w:name w:val="xl139"/>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0">
    <w:name w:val="xl140"/>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1">
    <w:name w:val="xl141"/>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2">
    <w:name w:val="xl142"/>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3">
    <w:name w:val="xl143"/>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4">
    <w:name w:val="xl144"/>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5">
    <w:name w:val="xl145"/>
    <w:basedOn w:val="Normal"/>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6">
    <w:name w:val="xl146"/>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7">
    <w:name w:val="xl147"/>
    <w:basedOn w:val="Normal"/>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9">
    <w:name w:val="xl149"/>
    <w:basedOn w:val="Normal"/>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0">
    <w:name w:val="xl150"/>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1">
    <w:name w:val="xl151"/>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2">
    <w:name w:val="xl152"/>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3">
    <w:name w:val="xl153"/>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4">
    <w:name w:val="xl154"/>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5">
    <w:name w:val="xl155"/>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57">
    <w:name w:val="xl157"/>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8">
    <w:name w:val="xl158"/>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9">
    <w:name w:val="xl159"/>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0">
    <w:name w:val="xl160"/>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2">
    <w:name w:val="xl162"/>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3">
    <w:name w:val="xl163"/>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4">
    <w:name w:val="xl164"/>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5">
    <w:name w:val="xl165"/>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6">
    <w:name w:val="xl166"/>
    <w:basedOn w:val="Normal"/>
    <w:uiPriority w:val="9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7">
    <w:name w:val="xl167"/>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8">
    <w:name w:val="xl168"/>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169">
    <w:name w:val="xl169"/>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0">
    <w:name w:val="xl170"/>
    <w:basedOn w:val="Normal"/>
    <w:uiPriority w:val="99"/>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1">
    <w:name w:val="xl171"/>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Normal"/>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3">
    <w:name w:val="xl173"/>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4">
    <w:name w:val="xl174"/>
    <w:basedOn w:val="Normal"/>
    <w:uiPriority w:val="9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5">
    <w:name w:val="xl175"/>
    <w:basedOn w:val="Normal"/>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6">
    <w:name w:val="xl176"/>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7">
    <w:name w:val="xl177"/>
    <w:basedOn w:val="Normal"/>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8">
    <w:name w:val="xl178"/>
    <w:basedOn w:val="Normal"/>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9">
    <w:name w:val="xl179"/>
    <w:basedOn w:val="Normal"/>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character" w:customStyle="1" w:styleId="a1">
    <w:name w:val="脚注文本 字符"/>
    <w:link w:val="FootnoteText"/>
    <w:uiPriority w:val="99"/>
    <w:semiHidden/>
    <w:locked/>
    <w:rPr>
      <w:rFonts w:ascii="Calibri"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273</TotalTime>
  <Pages>27</Pages>
  <Words>2330</Words>
  <Characters>13283</Characters>
  <Application>Microsoft Office Word</Application>
  <DocSecurity>0</DocSecurity>
  <Lines>110</Lines>
  <Paragraphs>31</Paragraphs>
  <ScaleCrop>false</ScaleCrop>
  <Company/>
  <LinksUpToDate>false</LinksUpToDate>
  <CharactersWithSpaces>15582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执法支队-张冀尧</cp:lastModifiedBy>
  <cp:revision>32</cp:revision>
  <cp:lastPrinted>2017-02-07T01:57:00Z</cp:lastPrinted>
  <dcterms:created xsi:type="dcterms:W3CDTF">2017-01-20T01:29:00Z</dcterms:created>
  <dcterms:modified xsi:type="dcterms:W3CDTF">2024-05-09T08:31:33Z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5B0FD6343E764EA096AA3FE5FB31E23B_12</vt:lpwstr>
  </property>
  <property fmtid="{D5CDD505-2E9C-101B-9397-08002B2CF9AE}" pid="3" name="KSOProductBuildVer">
    <vt:lpwstr>2052-12.1.0.16388</vt:lpwstr>
  </property>
</Properties>
</file>