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eastAsia" w:ascii="仿宋_GB2312" w:eastAsia="仿宋_GB2312"/>
          <w:sz w:val="36"/>
          <w:szCs w:val="36"/>
          <w:u w:val="single"/>
          <w:lang w:eastAsia="zh-CN"/>
        </w:rPr>
      </w:pPr>
      <w:r>
        <w:rPr>
          <w:rFonts w:hint="eastAsia" w:ascii="仿宋_GB2312" w:eastAsia="仿宋_GB2312"/>
          <w:sz w:val="36"/>
          <w:szCs w:val="36"/>
        </w:rPr>
        <w:t>项目名称：</w:t>
      </w:r>
      <w:r>
        <w:rPr>
          <w:rFonts w:hint="eastAsia" w:ascii="仿宋_GB2312" w:eastAsia="仿宋_GB2312"/>
          <w:sz w:val="36"/>
          <w:szCs w:val="36"/>
          <w:u w:val="single"/>
          <w:lang w:eastAsia="zh-CN"/>
        </w:rPr>
        <w:t>宽城满族自治县亚（准）定点救治医院</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宽城满族自治县卫生健康局</w:t>
      </w:r>
    </w:p>
    <w:p>
      <w:pPr>
        <w:adjustRightInd w:val="0"/>
        <w:snapToGrid w:val="0"/>
        <w:spacing w:line="288" w:lineRule="auto"/>
        <w:ind w:firstLine="1040"/>
        <w:rPr>
          <w:rFonts w:eastAsia="仿宋_GB2312"/>
          <w:sz w:val="36"/>
          <w:szCs w:val="36"/>
          <w:u w:val="single"/>
        </w:rPr>
      </w:pPr>
      <w:r>
        <w:rPr>
          <w:rFonts w:hint="eastAsia" w:ascii="仿宋_GB2312" w:eastAsia="仿宋_GB2312"/>
          <w:sz w:val="36"/>
          <w:szCs w:val="36"/>
        </w:rPr>
        <w:t>编制日期：</w:t>
      </w:r>
      <w:r>
        <w:rPr>
          <w:rFonts w:eastAsia="仿宋_GB2312"/>
          <w:sz w:val="36"/>
          <w:szCs w:val="36"/>
          <w:u w:val="single"/>
        </w:rPr>
        <w:t>2022年7月</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09"/>
        <w:gridCol w:w="1973"/>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6488" w:type="dxa"/>
            <w:gridSpan w:val="3"/>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宽城满族自治县亚（准）定点救治医院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6488" w:type="dxa"/>
            <w:gridSpan w:val="3"/>
            <w:vAlign w:val="center"/>
          </w:tcPr>
          <w:p>
            <w:pPr>
              <w:adjustRightInd w:val="0"/>
              <w:snapToGrid w:val="0"/>
              <w:jc w:val="center"/>
              <w:rPr>
                <w:rFonts w:ascii="宋体" w:hAnsi="宋体" w:cs="宋体"/>
                <w:szCs w:val="21"/>
              </w:rPr>
            </w:pPr>
            <w:r>
              <w:rPr>
                <w:rFonts w:hint="eastAsia" w:ascii="宋体" w:hAnsi="宋体" w:cs="宋体"/>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建设单位联系人</w:t>
            </w:r>
          </w:p>
        </w:tc>
        <w:tc>
          <w:tcPr>
            <w:tcW w:w="1637" w:type="dxa"/>
            <w:vAlign w:val="center"/>
          </w:tcPr>
          <w:p>
            <w:pPr>
              <w:adjustRightInd w:val="0"/>
              <w:snapToGrid w:val="0"/>
              <w:jc w:val="center"/>
              <w:rPr>
                <w:rFonts w:ascii="宋体" w:hAnsi="宋体" w:cs="宋体"/>
                <w:szCs w:val="21"/>
              </w:rPr>
            </w:pPr>
            <w:r>
              <w:rPr>
                <w:rFonts w:hint="eastAsia" w:ascii="宋体" w:hAnsi="宋体" w:cs="宋体"/>
                <w:szCs w:val="21"/>
              </w:rPr>
              <w:t>刘玉州</w:t>
            </w:r>
          </w:p>
        </w:tc>
        <w:tc>
          <w:tcPr>
            <w:tcW w:w="2212" w:type="dxa"/>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639" w:type="dxa"/>
            <w:vAlign w:val="center"/>
          </w:tcPr>
          <w:p>
            <w:pPr>
              <w:adjustRightInd w:val="0"/>
              <w:snapToGrid w:val="0"/>
              <w:jc w:val="center"/>
              <w:rPr>
                <w:rFonts w:ascii="宋体" w:hAnsi="宋体" w:cs="宋体"/>
                <w:szCs w:val="21"/>
              </w:rPr>
            </w:pPr>
            <w:r>
              <w:rPr>
                <w:rFonts w:hint="eastAsia"/>
              </w:rPr>
              <w:t>13831431725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6488" w:type="dxa"/>
            <w:gridSpan w:val="3"/>
            <w:vAlign w:val="center"/>
          </w:tcPr>
          <w:p>
            <w:pPr>
              <w:adjustRightInd w:val="0"/>
              <w:snapToGrid w:val="0"/>
              <w:jc w:val="center"/>
              <w:rPr>
                <w:rFonts w:ascii="宋体" w:hAnsi="宋体" w:cs="宋体"/>
                <w:szCs w:val="21"/>
              </w:rPr>
            </w:pPr>
            <w:r>
              <w:rPr>
                <w:rFonts w:hint="eastAsia" w:ascii="宋体" w:hAnsi="宋体" w:cs="宋体"/>
                <w:szCs w:val="21"/>
              </w:rPr>
              <w:t>河北省承德市宽城满族自治县</w:t>
            </w:r>
            <w:r>
              <w:rPr>
                <w:rFonts w:hint="eastAsia"/>
              </w:rPr>
              <w:t>龙须门</w:t>
            </w:r>
            <w:r>
              <w:rPr>
                <w:rFonts w:hint="eastAsia" w:ascii="宋体" w:hAnsi="宋体" w:cs="宋体"/>
                <w:szCs w:val="21"/>
              </w:rPr>
              <w:t>镇</w:t>
            </w:r>
            <w:r>
              <w:rPr>
                <w:rFonts w:hint="eastAsia"/>
              </w:rPr>
              <w:t>药王庙村承德昊天硬质合金制品有限公司院内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6488" w:type="dxa"/>
            <w:gridSpan w:val="3"/>
            <w:vAlign w:val="center"/>
          </w:tcPr>
          <w:p>
            <w:pPr>
              <w:jc w:val="center"/>
              <w:rPr>
                <w:rFonts w:ascii="宋体" w:hAnsi="宋体" w:cs="宋体"/>
                <w:szCs w:val="21"/>
              </w:rPr>
            </w:pPr>
            <w:r>
              <w:rPr>
                <w:rFonts w:hint="eastAsia" w:ascii="宋体" w:hAnsi="宋体" w:cs="宋体"/>
                <w:szCs w:val="21"/>
              </w:rPr>
              <w:t>（</w:t>
            </w:r>
            <w:r>
              <w:rPr>
                <w:rFonts w:hint="eastAsia" w:cs="宋体"/>
                <w:szCs w:val="21"/>
                <w:u w:val="single"/>
              </w:rPr>
              <w:t>118</w:t>
            </w:r>
            <w:r>
              <w:rPr>
                <w:rFonts w:hint="eastAsia" w:ascii="宋体" w:hAnsi="宋体" w:cs="宋体"/>
                <w:szCs w:val="21"/>
              </w:rPr>
              <w:t>度</w:t>
            </w:r>
            <w:r>
              <w:rPr>
                <w:rFonts w:hint="eastAsia" w:cs="宋体"/>
                <w:szCs w:val="21"/>
                <w:u w:val="single"/>
              </w:rPr>
              <w:t>31</w:t>
            </w:r>
            <w:r>
              <w:rPr>
                <w:rFonts w:hint="eastAsia" w:ascii="宋体" w:hAnsi="宋体" w:cs="宋体"/>
                <w:szCs w:val="21"/>
              </w:rPr>
              <w:t>分</w:t>
            </w:r>
            <w:r>
              <w:rPr>
                <w:rFonts w:hint="eastAsia" w:cs="宋体"/>
                <w:szCs w:val="21"/>
                <w:u w:val="single"/>
              </w:rPr>
              <w:t>15</w:t>
            </w:r>
            <w:r>
              <w:rPr>
                <w:rFonts w:hint="eastAsia" w:ascii="宋体" w:hAnsi="宋体" w:cs="宋体"/>
                <w:szCs w:val="21"/>
                <w:u w:val="single"/>
              </w:rPr>
              <w:t>.</w:t>
            </w:r>
            <w:r>
              <w:rPr>
                <w:rFonts w:hint="eastAsia" w:cs="宋体"/>
                <w:szCs w:val="21"/>
                <w:u w:val="single"/>
              </w:rPr>
              <w:t>323</w:t>
            </w:r>
            <w:r>
              <w:rPr>
                <w:rFonts w:hint="eastAsia" w:ascii="宋体" w:hAnsi="宋体" w:cs="宋体"/>
                <w:szCs w:val="21"/>
              </w:rPr>
              <w:t>秒，</w:t>
            </w:r>
            <w:r>
              <w:rPr>
                <w:rFonts w:hint="eastAsia" w:cs="宋体"/>
                <w:szCs w:val="21"/>
                <w:u w:val="single"/>
              </w:rPr>
              <w:t>40</w:t>
            </w:r>
            <w:r>
              <w:rPr>
                <w:rFonts w:hint="eastAsia" w:ascii="宋体" w:hAnsi="宋体" w:cs="宋体"/>
                <w:szCs w:val="21"/>
              </w:rPr>
              <w:t>度</w:t>
            </w:r>
            <w:r>
              <w:rPr>
                <w:rFonts w:hint="eastAsia" w:cs="宋体"/>
                <w:szCs w:val="21"/>
                <w:u w:val="single"/>
              </w:rPr>
              <w:t>37</w:t>
            </w:r>
            <w:r>
              <w:rPr>
                <w:rFonts w:hint="eastAsia" w:ascii="宋体" w:hAnsi="宋体" w:cs="宋体"/>
                <w:szCs w:val="21"/>
              </w:rPr>
              <w:t>分</w:t>
            </w:r>
            <w:r>
              <w:rPr>
                <w:rFonts w:hint="eastAsia" w:cs="宋体"/>
                <w:szCs w:val="21"/>
                <w:u w:val="single"/>
              </w:rPr>
              <w:t>24</w:t>
            </w:r>
            <w:r>
              <w:rPr>
                <w:rFonts w:hint="eastAsia" w:ascii="宋体" w:hAnsi="宋体" w:cs="宋体"/>
                <w:szCs w:val="21"/>
                <w:u w:val="single"/>
              </w:rPr>
              <w:t>.</w:t>
            </w:r>
            <w:r>
              <w:rPr>
                <w:rFonts w:hint="eastAsia" w:cs="宋体"/>
                <w:szCs w:val="21"/>
                <w:u w:val="single"/>
              </w:rPr>
              <w:t>622</w:t>
            </w:r>
            <w:r>
              <w:rPr>
                <w:rFonts w:hint="eastAsia" w:ascii="宋体" w:hAnsi="宋体"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国民经济</w:t>
            </w:r>
          </w:p>
          <w:p>
            <w:pPr>
              <w:adjustRightInd w:val="0"/>
              <w:snapToGrid w:val="0"/>
              <w:jc w:val="center"/>
              <w:rPr>
                <w:rFonts w:ascii="宋体" w:hAnsi="宋体" w:cs="宋体"/>
                <w:szCs w:val="21"/>
              </w:rPr>
            </w:pPr>
            <w:r>
              <w:rPr>
                <w:rFonts w:hint="eastAsia" w:ascii="宋体" w:hAnsi="宋体" w:cs="宋体"/>
                <w:szCs w:val="21"/>
              </w:rPr>
              <w:t>行业类别</w:t>
            </w:r>
          </w:p>
        </w:tc>
        <w:tc>
          <w:tcPr>
            <w:tcW w:w="1637" w:type="dxa"/>
            <w:vAlign w:val="center"/>
          </w:tcPr>
          <w:p>
            <w:pPr>
              <w:widowControl/>
              <w:jc w:val="left"/>
              <w:rPr>
                <w:rFonts w:ascii="宋体" w:hAnsi="宋体" w:cs="宋体"/>
                <w:szCs w:val="21"/>
              </w:rPr>
            </w:pPr>
            <w:r>
              <w:rPr>
                <w:rFonts w:hint="eastAsia"/>
              </w:rPr>
              <w:t>专科疾病防治院（所、站）Q8432</w:t>
            </w:r>
          </w:p>
        </w:tc>
        <w:tc>
          <w:tcPr>
            <w:tcW w:w="2212" w:type="dxa"/>
            <w:vAlign w:val="center"/>
          </w:tcPr>
          <w:p>
            <w:pPr>
              <w:adjustRightInd w:val="0"/>
              <w:snapToGrid w:val="0"/>
              <w:jc w:val="center"/>
              <w:rPr>
                <w:rFonts w:ascii="宋体" w:hAnsi="宋体" w:cs="宋体"/>
                <w:szCs w:val="21"/>
              </w:rPr>
            </w:pPr>
            <w:bookmarkStart w:id="1" w:name="_Hlk49843745"/>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行业类别</w:t>
            </w:r>
            <w:bookmarkEnd w:id="1"/>
          </w:p>
        </w:tc>
        <w:tc>
          <w:tcPr>
            <w:tcW w:w="2639" w:type="dxa"/>
            <w:vAlign w:val="center"/>
          </w:tcPr>
          <w:p>
            <w:pPr>
              <w:adjustRightInd w:val="0"/>
              <w:snapToGrid w:val="0"/>
              <w:rPr>
                <w:rFonts w:ascii="宋体" w:hAnsi="宋体" w:cs="宋体"/>
                <w:szCs w:val="21"/>
              </w:rPr>
            </w:pPr>
            <w:r>
              <w:t>10</w:t>
            </w:r>
            <w:r>
              <w:rPr>
                <w:rFonts w:hint="eastAsia"/>
              </w:rPr>
              <w:t>8</w:t>
            </w:r>
            <w:r>
              <w:t>、</w:t>
            </w:r>
            <w:r>
              <w:rPr>
                <w:rFonts w:hint="eastAsia"/>
              </w:rPr>
              <w:t>专科疾病防治院（所、站）8432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1637" w:type="dxa"/>
            <w:vAlign w:val="center"/>
          </w:tcPr>
          <w:p>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新建（迁建）</w:t>
            </w:r>
          </w:p>
          <w:p>
            <w:pPr>
              <w:jc w:val="left"/>
              <w:rPr>
                <w:rFonts w:ascii="宋体" w:hAnsi="宋体" w:cs="宋体"/>
                <w:szCs w:val="21"/>
              </w:rPr>
            </w:pPr>
            <w:r>
              <w:rPr>
                <w:rFonts w:hint="eastAsia" w:ascii="宋体" w:hAnsi="宋体" w:cs="宋体"/>
                <w:szCs w:val="21"/>
              </w:rPr>
              <w:t>□改建</w:t>
            </w:r>
          </w:p>
          <w:p>
            <w:pPr>
              <w:jc w:val="left"/>
              <w:rPr>
                <w:rFonts w:ascii="宋体" w:hAnsi="宋体" w:cs="宋体"/>
                <w:szCs w:val="21"/>
              </w:rPr>
            </w:pPr>
            <w:r>
              <w:rPr>
                <w:rFonts w:hint="eastAsia" w:ascii="宋体" w:hAnsi="宋体" w:cs="宋体"/>
                <w:szCs w:val="21"/>
              </w:rPr>
              <w:t>□扩建</w:t>
            </w:r>
          </w:p>
          <w:p>
            <w:pPr>
              <w:jc w:val="left"/>
              <w:rPr>
                <w:rFonts w:ascii="宋体" w:hAnsi="宋体" w:cs="宋体"/>
                <w:szCs w:val="21"/>
              </w:rPr>
            </w:pPr>
            <w:r>
              <w:rPr>
                <w:rFonts w:hint="eastAsia" w:ascii="宋体" w:hAnsi="宋体" w:cs="宋体"/>
                <w:szCs w:val="21"/>
              </w:rPr>
              <w:t>□技术改造</w:t>
            </w:r>
          </w:p>
        </w:tc>
        <w:tc>
          <w:tcPr>
            <w:tcW w:w="2212" w:type="dxa"/>
            <w:vAlign w:val="center"/>
          </w:tcPr>
          <w:p>
            <w:pPr>
              <w:adjustRightInd w:val="0"/>
              <w:snapToGrid w:val="0"/>
              <w:jc w:val="center"/>
              <w:rPr>
                <w:rFonts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639" w:type="dxa"/>
            <w:vAlign w:val="center"/>
          </w:tcPr>
          <w:p>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首次申报项目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rPr>
              <w:t>□不予批准后再次申报项目</w:t>
            </w:r>
          </w:p>
          <w:p>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超五年重新审核项目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1637" w:type="dxa"/>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宽城满族自治县行政审批局</w:t>
            </w:r>
          </w:p>
        </w:tc>
        <w:tc>
          <w:tcPr>
            <w:tcW w:w="2212" w:type="dxa"/>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备案）文号（选填）</w:t>
            </w:r>
          </w:p>
        </w:tc>
        <w:tc>
          <w:tcPr>
            <w:tcW w:w="2639" w:type="dxa"/>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宽审批投批字[2022]83号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1637" w:type="dxa"/>
            <w:vAlign w:val="center"/>
          </w:tcPr>
          <w:p>
            <w:pPr>
              <w:adjustRightInd w:val="0"/>
              <w:snapToGrid w:val="0"/>
              <w:jc w:val="center"/>
              <w:rPr>
                <w:rFonts w:ascii="宋体" w:hAnsi="宋体" w:cs="宋体"/>
                <w:szCs w:val="21"/>
              </w:rPr>
            </w:pPr>
            <w:r>
              <w:rPr>
                <w:rFonts w:hint="eastAsia"/>
                <w:szCs w:val="21"/>
              </w:rPr>
              <w:t>1365.19</w:t>
            </w:r>
          </w:p>
        </w:tc>
        <w:tc>
          <w:tcPr>
            <w:tcW w:w="221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639" w:type="dxa"/>
            <w:vAlign w:val="center"/>
          </w:tcPr>
          <w:p>
            <w:pPr>
              <w:adjustRightInd w:val="0"/>
              <w:snapToGrid w:val="0"/>
              <w:jc w:val="center"/>
              <w:rPr>
                <w:rFonts w:ascii="宋体" w:hAnsi="宋体" w:cs="宋体"/>
                <w:szCs w:val="21"/>
              </w:rPr>
            </w:pPr>
            <w:r>
              <w:rPr>
                <w:rFonts w:hint="eastAsia"/>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1637" w:type="dxa"/>
            <w:vAlign w:val="center"/>
          </w:tcPr>
          <w:p>
            <w:pPr>
              <w:adjustRightInd w:val="0"/>
              <w:snapToGrid w:val="0"/>
              <w:jc w:val="center"/>
              <w:rPr>
                <w:rFonts w:ascii="宋体" w:hAnsi="宋体" w:cs="宋体"/>
                <w:szCs w:val="21"/>
              </w:rPr>
            </w:pPr>
            <w:r>
              <w:rPr>
                <w:rFonts w:hint="eastAsia"/>
                <w:szCs w:val="21"/>
              </w:rPr>
              <w:t>3.6</w:t>
            </w:r>
          </w:p>
        </w:tc>
        <w:tc>
          <w:tcPr>
            <w:tcW w:w="221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639" w:type="dxa"/>
            <w:vAlign w:val="center"/>
          </w:tcPr>
          <w:p>
            <w:pPr>
              <w:adjustRightInd w:val="0"/>
              <w:snapToGrid w:val="0"/>
              <w:jc w:val="center"/>
              <w:rPr>
                <w:rFonts w:ascii="宋体" w:hAnsi="宋体" w:cs="宋体"/>
                <w:szCs w:val="21"/>
              </w:rPr>
            </w:pPr>
            <w:r>
              <w:rPr>
                <w:rFonts w:hint="eastAsia" w:cs="宋体"/>
                <w:szCs w:val="21"/>
              </w:rPr>
              <w:t>1</w:t>
            </w:r>
            <w:r>
              <w:rPr>
                <w:rFonts w:hint="eastAsia" w:ascii="宋体" w:hAnsi="宋体" w:cs="宋体"/>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82" w:type="dxa"/>
            <w:gridSpan w:val="2"/>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是否开工建设</w:t>
            </w:r>
          </w:p>
        </w:tc>
        <w:tc>
          <w:tcPr>
            <w:tcW w:w="1637" w:type="dxa"/>
            <w:vAlign w:val="center"/>
          </w:tcPr>
          <w:p>
            <w:pPr>
              <w:adjustRightInd w:val="0"/>
              <w:snapToGrid w:val="0"/>
              <w:rPr>
                <w:rFonts w:ascii="宋体" w:hAnsi="宋体" w:cs="宋体"/>
                <w:szCs w:val="21"/>
              </w:rPr>
            </w:pPr>
            <w:r>
              <w:rPr>
                <w:rFonts w:hint="eastAsia" w:ascii="宋体" w:hAnsi="宋体" w:cs="宋体"/>
                <w:szCs w:val="21"/>
              </w:rPr>
              <w:sym w:font="Wingdings 2" w:char="00A3"/>
            </w:r>
            <w:r>
              <w:rPr>
                <w:rFonts w:hint="eastAsia" w:ascii="宋体" w:hAnsi="宋体" w:cs="宋体"/>
                <w:szCs w:val="21"/>
              </w:rPr>
              <w:t>否</w:t>
            </w:r>
          </w:p>
          <w:p>
            <w:pPr>
              <w:adjustRightInd w:val="0"/>
              <w:snapToGrid w:val="0"/>
              <w:jc w:val="left"/>
              <w:rPr>
                <w:rFonts w:hint="default" w:ascii="宋体" w:hAnsi="宋体" w:eastAsia="宋体" w:cs="宋体"/>
                <w:szCs w:val="21"/>
                <w:lang w:val="en-US" w:eastAsia="zh-CN"/>
              </w:rPr>
            </w:pPr>
            <w:r>
              <w:rPr>
                <w:rFonts w:hint="eastAsia" w:ascii="宋体" w:hAnsi="宋体" w:cs="宋体"/>
                <w:szCs w:val="21"/>
              </w:rPr>
              <w:sym w:font="Wingdings 2" w:char="0052"/>
            </w:r>
            <w:r>
              <w:rPr>
                <w:rFonts w:hint="eastAsia" w:ascii="宋体" w:hAnsi="宋体" w:cs="宋体"/>
                <w:szCs w:val="21"/>
              </w:rPr>
              <w:t>是：</w:t>
            </w:r>
            <w:r>
              <w:rPr>
                <w:rFonts w:hint="eastAsia" w:ascii="宋体" w:hAnsi="宋体" w:cs="宋体"/>
                <w:color w:val="FF0000"/>
                <w:szCs w:val="21"/>
                <w:lang w:val="en-US" w:eastAsia="zh-CN"/>
              </w:rPr>
              <w:t>据“河北省生态环境厅关于做好新型肺炎疫情防控期间有关建设项目环评审批与排污许可工作的通知”(冀环环评函[2020] 104号)，</w:t>
            </w:r>
            <w:commentRangeStart w:id="0"/>
            <w:r>
              <w:rPr>
                <w:rFonts w:hint="eastAsia" w:ascii="宋体" w:hAnsi="宋体" w:cs="宋体"/>
                <w:color w:val="FF0000"/>
                <w:szCs w:val="21"/>
                <w:lang w:val="en-US" w:eastAsia="zh-CN"/>
              </w:rPr>
              <w:t>定点医院建设属于“特事特办”，不属于“未批先建”无须处罚</w:t>
            </w:r>
            <w:commentRangeEnd w:id="0"/>
            <w:r>
              <w:commentReference w:id="0"/>
            </w:r>
          </w:p>
        </w:tc>
        <w:tc>
          <w:tcPr>
            <w:tcW w:w="2212" w:type="dxa"/>
            <w:tcMar>
              <w:top w:w="16" w:type="dxa"/>
              <w:left w:w="16" w:type="dxa"/>
              <w:right w:w="16" w:type="dxa"/>
            </w:tcMar>
            <w:vAlign w:val="center"/>
          </w:tcPr>
          <w:p>
            <w:pPr>
              <w:adjustRightInd w:val="0"/>
              <w:snapToGrid w:val="0"/>
              <w:jc w:val="center"/>
              <w:rPr>
                <w:rFonts w:ascii="宋体" w:hAnsi="宋体" w:cs="宋体"/>
                <w:spacing w:val="-6"/>
                <w:szCs w:val="21"/>
              </w:rPr>
            </w:pPr>
            <w:r>
              <w:rPr>
                <w:rFonts w:hint="eastAsia" w:ascii="宋体" w:hAnsi="宋体" w:cs="宋体"/>
                <w:spacing w:val="-6"/>
                <w:szCs w:val="21"/>
              </w:rPr>
              <w:t>用地（用海）</w:t>
            </w:r>
          </w:p>
          <w:p>
            <w:pPr>
              <w:adjustRightInd w:val="0"/>
              <w:snapToGrid w:val="0"/>
              <w:jc w:val="center"/>
              <w:rPr>
                <w:rFonts w:ascii="宋体" w:hAnsi="宋体" w:cs="宋体"/>
                <w:szCs w:val="21"/>
              </w:rPr>
            </w:pPr>
            <w:r>
              <w:rPr>
                <w:rFonts w:hint="eastAsia" w:ascii="宋体" w:hAnsi="宋体" w:cs="宋体"/>
                <w:spacing w:val="-6"/>
                <w:szCs w:val="21"/>
              </w:rPr>
              <w:t>面积（</w:t>
            </w:r>
            <w:r>
              <w:rPr>
                <w:rFonts w:cs="宋体"/>
                <w:spacing w:val="-6"/>
                <w:szCs w:val="21"/>
              </w:rPr>
              <w:t>m</w:t>
            </w:r>
            <w:r>
              <w:rPr>
                <w:rFonts w:cs="宋体"/>
                <w:spacing w:val="-6"/>
                <w:szCs w:val="21"/>
                <w:vertAlign w:val="superscript"/>
              </w:rPr>
              <w:t>2</w:t>
            </w:r>
            <w:r>
              <w:rPr>
                <w:rFonts w:hint="eastAsia" w:ascii="宋体" w:hAnsi="宋体" w:cs="宋体"/>
                <w:spacing w:val="-6"/>
                <w:szCs w:val="21"/>
              </w:rPr>
              <w:t>）</w:t>
            </w:r>
          </w:p>
        </w:tc>
        <w:tc>
          <w:tcPr>
            <w:tcW w:w="2639" w:type="dxa"/>
            <w:vAlign w:val="center"/>
          </w:tcPr>
          <w:p>
            <w:pPr>
              <w:adjustRightInd w:val="0"/>
              <w:snapToGrid w:val="0"/>
              <w:jc w:val="center"/>
              <w:rPr>
                <w:rFonts w:ascii="宋体" w:hAnsi="宋体" w:cs="宋体"/>
                <w:szCs w:val="21"/>
              </w:rPr>
            </w:pPr>
            <w:r>
              <w:rPr>
                <w:rFonts w:hint="eastAsia" w:cs="宋体"/>
                <w:szCs w:val="21"/>
              </w:rPr>
              <w:t>1483</w:t>
            </w:r>
            <w:r>
              <w:rPr>
                <w:rFonts w:hint="eastAsia" w:ascii="宋体" w:hAnsi="宋体" w:cs="宋体"/>
                <w:szCs w:val="21"/>
              </w:rPr>
              <w:t>.</w:t>
            </w:r>
            <w:r>
              <w:rPr>
                <w:rFonts w:hint="eastAsia" w:cs="宋体"/>
                <w:szCs w:val="21"/>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82" w:type="dxa"/>
            <w:gridSpan w:val="2"/>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6488" w:type="dxa"/>
            <w:gridSpan w:val="3"/>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82" w:type="dxa"/>
            <w:gridSpan w:val="2"/>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6488" w:type="dxa"/>
            <w:gridSpan w:val="3"/>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《河北宽城经济开发区总体规划（</w:t>
            </w:r>
            <w:r>
              <w:rPr>
                <w:rFonts w:hint="eastAsia" w:cs="宋体"/>
                <w:kern w:val="0"/>
                <w:szCs w:val="21"/>
              </w:rPr>
              <w:t>2015</w:t>
            </w:r>
            <w:r>
              <w:rPr>
                <w:rFonts w:hint="eastAsia" w:ascii="宋体" w:hAnsi="宋体" w:cs="宋体"/>
                <w:kern w:val="0"/>
                <w:szCs w:val="21"/>
              </w:rPr>
              <w:t>-</w:t>
            </w:r>
            <w:r>
              <w:rPr>
                <w:rFonts w:hint="eastAsia" w:cs="宋体"/>
                <w:kern w:val="0"/>
                <w:szCs w:val="21"/>
              </w:rPr>
              <w:t>2030</w:t>
            </w:r>
            <w:r>
              <w:rPr>
                <w:rFonts w:hint="eastAsia" w:ascii="宋体" w:hAnsi="宋体"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82" w:type="dxa"/>
            <w:gridSpan w:val="2"/>
            <w:vAlign w:val="center"/>
          </w:tcPr>
          <w:p>
            <w:pPr>
              <w:adjustRightInd w:val="0"/>
              <w:snapToGrid w:val="0"/>
              <w:jc w:val="center"/>
              <w:rPr>
                <w:rFonts w:ascii="宋体" w:hAnsi="宋体" w:cs="宋体"/>
                <w:szCs w:val="21"/>
              </w:rPr>
            </w:pPr>
            <w:r>
              <w:rPr>
                <w:rFonts w:hint="eastAsia" w:ascii="宋体" w:hAnsi="宋体" w:cs="宋体"/>
                <w:szCs w:val="21"/>
              </w:rPr>
              <w:t>规划环境影响</w:t>
            </w:r>
          </w:p>
          <w:p>
            <w:pPr>
              <w:adjustRightInd w:val="0"/>
              <w:snapToGrid w:val="0"/>
              <w:jc w:val="center"/>
              <w:rPr>
                <w:rFonts w:ascii="宋体" w:hAnsi="宋体" w:cs="宋体"/>
                <w:kern w:val="0"/>
                <w:szCs w:val="21"/>
              </w:rPr>
            </w:pPr>
            <w:r>
              <w:rPr>
                <w:rFonts w:hint="eastAsia" w:ascii="宋体" w:hAnsi="宋体" w:cs="宋体"/>
                <w:szCs w:val="21"/>
              </w:rPr>
              <w:t>评价情况</w:t>
            </w:r>
          </w:p>
        </w:tc>
        <w:tc>
          <w:tcPr>
            <w:tcW w:w="6488" w:type="dxa"/>
            <w:gridSpan w:val="3"/>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《河北宽城经济开发区总体规划环境影响报告书》、河北省环境保护厅、《关于转送河北宽城经济开发区总体规划环境影响报告书审查意见的函》、冀环评函[</w:t>
            </w:r>
            <w:r>
              <w:rPr>
                <w:rFonts w:hint="eastAsia" w:cs="宋体"/>
                <w:kern w:val="0"/>
                <w:szCs w:val="21"/>
              </w:rPr>
              <w:t>2018</w:t>
            </w:r>
            <w:r>
              <w:rPr>
                <w:rFonts w:hint="eastAsia" w:ascii="宋体" w:hAnsi="宋体" w:cs="宋体"/>
                <w:kern w:val="0"/>
                <w:szCs w:val="21"/>
              </w:rPr>
              <w:t>]</w:t>
            </w:r>
            <w:r>
              <w:rPr>
                <w:rFonts w:hint="eastAsia" w:cs="宋体"/>
                <w:kern w:val="0"/>
                <w:szCs w:val="21"/>
              </w:rPr>
              <w:t>1268</w:t>
            </w:r>
            <w:r>
              <w:rPr>
                <w:rFonts w:hint="eastAsia" w:ascii="宋体" w:hAnsi="宋体" w:cs="宋体"/>
                <w:kern w:val="0"/>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2382" w:type="dxa"/>
            <w:gridSpan w:val="2"/>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6488" w:type="dxa"/>
            <w:gridSpan w:val="3"/>
            <w:vAlign w:val="center"/>
          </w:tcPr>
          <w:p>
            <w:pPr>
              <w:autoSpaceDE w:val="0"/>
              <w:autoSpaceDN w:val="0"/>
              <w:adjustRightInd w:val="0"/>
              <w:snapToGrid w:val="0"/>
              <w:jc w:val="left"/>
              <w:rPr>
                <w:rFonts w:ascii="宋体" w:hAnsi="宋体" w:cs="宋体"/>
                <w:kern w:val="0"/>
                <w:szCs w:val="21"/>
              </w:rPr>
            </w:pPr>
            <w:r>
              <w:rPr>
                <w:rFonts w:hint="eastAsia" w:cs="宋体"/>
                <w:kern w:val="0"/>
                <w:szCs w:val="21"/>
              </w:rPr>
              <w:t>2021</w:t>
            </w:r>
            <w:r>
              <w:rPr>
                <w:rFonts w:hint="eastAsia" w:ascii="宋体" w:hAnsi="宋体" w:cs="宋体"/>
                <w:kern w:val="0"/>
                <w:szCs w:val="21"/>
              </w:rPr>
              <w:t>年</w:t>
            </w:r>
            <w:r>
              <w:rPr>
                <w:rFonts w:hint="eastAsia" w:cs="宋体"/>
                <w:kern w:val="0"/>
                <w:szCs w:val="21"/>
              </w:rPr>
              <w:t>10</w:t>
            </w:r>
            <w:r>
              <w:rPr>
                <w:rFonts w:hint="eastAsia" w:ascii="宋体" w:hAnsi="宋体" w:cs="宋体"/>
                <w:kern w:val="0"/>
                <w:szCs w:val="21"/>
              </w:rPr>
              <w:t>月</w:t>
            </w:r>
            <w:r>
              <w:rPr>
                <w:rFonts w:hint="eastAsia" w:cs="宋体"/>
                <w:kern w:val="0"/>
                <w:szCs w:val="21"/>
              </w:rPr>
              <w:t>12</w:t>
            </w:r>
            <w:r>
              <w:rPr>
                <w:rFonts w:hint="eastAsia" w:ascii="宋体" w:hAnsi="宋体" w:cs="宋体"/>
                <w:kern w:val="0"/>
                <w:szCs w:val="21"/>
              </w:rPr>
              <w:t>日，宽城县政府发布通知“为优化开发区发展空间和布局，规范开发区发展行为，确保其健康稳定发展，结合宽城县实际情况，经宽城县政府研究，决定废止《河北宽城经济开发区总体规划（</w:t>
            </w:r>
            <w:r>
              <w:rPr>
                <w:rFonts w:hint="eastAsia" w:cs="宋体"/>
                <w:kern w:val="0"/>
                <w:szCs w:val="21"/>
              </w:rPr>
              <w:t>2015</w:t>
            </w:r>
            <w:r>
              <w:rPr>
                <w:rFonts w:hint="eastAsia" w:ascii="宋体" w:hAnsi="宋体" w:cs="宋体"/>
                <w:kern w:val="0"/>
                <w:szCs w:val="21"/>
              </w:rPr>
              <w:t>-</w:t>
            </w:r>
            <w:r>
              <w:rPr>
                <w:rFonts w:hint="eastAsia" w:cs="宋体"/>
                <w:kern w:val="0"/>
                <w:szCs w:val="21"/>
              </w:rPr>
              <w:t>2030</w:t>
            </w:r>
            <w:r>
              <w:rPr>
                <w:rFonts w:hint="eastAsia" w:ascii="宋体" w:hAnsi="宋体" w:cs="宋体"/>
                <w:kern w:val="0"/>
                <w:szCs w:val="21"/>
              </w:rPr>
              <w:t>）》中长期规划（</w:t>
            </w:r>
            <w:r>
              <w:rPr>
                <w:rFonts w:hint="eastAsia" w:cs="宋体"/>
                <w:kern w:val="0"/>
                <w:szCs w:val="21"/>
              </w:rPr>
              <w:t>2020</w:t>
            </w:r>
            <w:r>
              <w:rPr>
                <w:rFonts w:hint="eastAsia" w:ascii="宋体" w:hAnsi="宋体" w:cs="宋体"/>
                <w:kern w:val="0"/>
                <w:szCs w:val="21"/>
              </w:rPr>
              <w:t>—</w:t>
            </w:r>
            <w:r>
              <w:rPr>
                <w:rFonts w:hint="eastAsia" w:cs="宋体"/>
                <w:kern w:val="0"/>
                <w:szCs w:val="21"/>
              </w:rPr>
              <w:t>2030</w:t>
            </w:r>
            <w:r>
              <w:rPr>
                <w:rFonts w:hint="eastAsia" w:ascii="宋体" w:hAnsi="宋体" w:cs="宋体"/>
                <w:kern w:val="0"/>
                <w:szCs w:val="21"/>
              </w:rPr>
              <w:t>）部分。”</w:t>
            </w:r>
          </w:p>
          <w:p>
            <w:pPr>
              <w:autoSpaceDE w:val="0"/>
              <w:autoSpaceDN w:val="0"/>
              <w:adjustRightInd w:val="0"/>
              <w:snapToGrid w:val="0"/>
              <w:jc w:val="left"/>
              <w:rPr>
                <w:rStyle w:val="23"/>
                <w:kern w:val="0"/>
                <w:szCs w:val="20"/>
              </w:rPr>
            </w:pPr>
            <w:r>
              <w:rPr>
                <w:rFonts w:hint="eastAsia" w:cs="宋体"/>
                <w:kern w:val="0"/>
                <w:szCs w:val="21"/>
              </w:rPr>
              <w:t>2022</w:t>
            </w:r>
            <w:r>
              <w:rPr>
                <w:rFonts w:hint="eastAsia" w:ascii="宋体" w:hAnsi="宋体" w:cs="宋体"/>
                <w:kern w:val="0"/>
                <w:szCs w:val="21"/>
              </w:rPr>
              <w:t>年</w:t>
            </w:r>
            <w:r>
              <w:rPr>
                <w:rFonts w:hint="eastAsia" w:cs="宋体"/>
                <w:kern w:val="0"/>
                <w:szCs w:val="21"/>
              </w:rPr>
              <w:t>7</w:t>
            </w:r>
            <w:r>
              <w:rPr>
                <w:rFonts w:hint="eastAsia" w:ascii="宋体" w:hAnsi="宋体" w:cs="宋体"/>
                <w:kern w:val="0"/>
                <w:szCs w:val="21"/>
              </w:rPr>
              <w:t>月</w:t>
            </w:r>
            <w:r>
              <w:rPr>
                <w:rFonts w:hint="eastAsia" w:cs="宋体"/>
                <w:kern w:val="0"/>
                <w:szCs w:val="21"/>
              </w:rPr>
              <w:t>5</w:t>
            </w:r>
            <w:r>
              <w:rPr>
                <w:rFonts w:hint="eastAsia" w:ascii="宋体" w:hAnsi="宋体" w:cs="宋体"/>
                <w:kern w:val="0"/>
                <w:szCs w:val="21"/>
              </w:rPr>
              <w:t>日，宽城县人民政府对河北宽城经济开发区总体规划(</w:t>
            </w:r>
            <w:r>
              <w:rPr>
                <w:rFonts w:hint="eastAsia" w:cs="宋体"/>
                <w:kern w:val="0"/>
                <w:szCs w:val="21"/>
              </w:rPr>
              <w:t>2022</w:t>
            </w:r>
            <w:r>
              <w:rPr>
                <w:rFonts w:hint="eastAsia" w:ascii="宋体" w:hAnsi="宋体" w:cs="宋体"/>
                <w:kern w:val="0"/>
                <w:szCs w:val="21"/>
              </w:rPr>
              <w:t>-</w:t>
            </w:r>
            <w:r>
              <w:rPr>
                <w:rFonts w:hint="eastAsia" w:cs="宋体"/>
                <w:kern w:val="0"/>
                <w:szCs w:val="21"/>
              </w:rPr>
              <w:t>2035</w:t>
            </w:r>
            <w:r>
              <w:rPr>
                <w:rFonts w:hint="eastAsia" w:ascii="宋体" w:hAnsi="宋体" w:cs="宋体"/>
                <w:kern w:val="0"/>
                <w:szCs w:val="21"/>
              </w:rPr>
              <w:t>)环境影响报告书进行第二次公示，公示时间为</w:t>
            </w:r>
            <w:r>
              <w:rPr>
                <w:rFonts w:hint="eastAsia" w:cs="宋体"/>
                <w:kern w:val="0"/>
                <w:szCs w:val="21"/>
              </w:rPr>
              <w:t>2022</w:t>
            </w:r>
            <w:r>
              <w:rPr>
                <w:rFonts w:hint="eastAsia" w:ascii="宋体" w:hAnsi="宋体" w:cs="宋体"/>
                <w:kern w:val="0"/>
                <w:szCs w:val="21"/>
              </w:rPr>
              <w:t>年</w:t>
            </w:r>
            <w:r>
              <w:rPr>
                <w:rFonts w:hint="eastAsia" w:cs="宋体"/>
                <w:kern w:val="0"/>
                <w:szCs w:val="21"/>
              </w:rPr>
              <w:t>7</w:t>
            </w:r>
            <w:r>
              <w:rPr>
                <w:rFonts w:hint="eastAsia" w:ascii="宋体" w:hAnsi="宋体" w:cs="宋体"/>
                <w:kern w:val="0"/>
                <w:szCs w:val="21"/>
              </w:rPr>
              <w:t>月</w:t>
            </w:r>
            <w:r>
              <w:rPr>
                <w:rFonts w:hint="eastAsia" w:cs="宋体"/>
                <w:kern w:val="0"/>
                <w:szCs w:val="21"/>
              </w:rPr>
              <w:t>5</w:t>
            </w:r>
            <w:r>
              <w:rPr>
                <w:rFonts w:hint="eastAsia" w:ascii="宋体" w:hAnsi="宋体" w:cs="宋体"/>
                <w:kern w:val="0"/>
                <w:szCs w:val="21"/>
              </w:rPr>
              <w:t>日～</w:t>
            </w:r>
            <w:r>
              <w:rPr>
                <w:rFonts w:hint="eastAsia" w:cs="宋体"/>
                <w:kern w:val="0"/>
                <w:szCs w:val="21"/>
              </w:rPr>
              <w:t>2021</w:t>
            </w:r>
            <w:r>
              <w:rPr>
                <w:rFonts w:hint="eastAsia" w:ascii="宋体" w:hAnsi="宋体" w:cs="宋体"/>
                <w:kern w:val="0"/>
                <w:szCs w:val="21"/>
              </w:rPr>
              <w:t>年</w:t>
            </w:r>
            <w:r>
              <w:rPr>
                <w:rFonts w:hint="eastAsia" w:cs="宋体"/>
                <w:kern w:val="0"/>
                <w:szCs w:val="21"/>
              </w:rPr>
              <w:t>7</w:t>
            </w:r>
            <w:r>
              <w:rPr>
                <w:rFonts w:hint="eastAsia" w:ascii="宋体" w:hAnsi="宋体" w:cs="宋体"/>
                <w:kern w:val="0"/>
                <w:szCs w:val="21"/>
              </w:rPr>
              <w:t>月</w:t>
            </w:r>
            <w:r>
              <w:rPr>
                <w:rFonts w:hint="eastAsia" w:cs="宋体"/>
                <w:kern w:val="0"/>
                <w:szCs w:val="21"/>
              </w:rPr>
              <w:t>20</w:t>
            </w:r>
            <w:r>
              <w:rPr>
                <w:rFonts w:hint="eastAsia" w:ascii="宋体" w:hAnsi="宋体" w:cs="宋体"/>
                <w:kern w:val="0"/>
                <w:szCs w:val="21"/>
              </w:rPr>
              <w:t>日。</w:t>
            </w:r>
          </w:p>
          <w:p>
            <w:pPr>
              <w:autoSpaceDE w:val="0"/>
              <w:autoSpaceDN w:val="0"/>
              <w:adjustRightInd w:val="0"/>
              <w:snapToGrid w:val="0"/>
              <w:jc w:val="left"/>
              <w:rPr>
                <w:rStyle w:val="23"/>
                <w:rFonts w:hint="default" w:eastAsia="宋体"/>
                <w:kern w:val="0"/>
                <w:szCs w:val="20"/>
                <w:lang w:val="en-US" w:eastAsia="zh-CN"/>
              </w:rPr>
            </w:pPr>
            <w:r>
              <w:rPr>
                <w:rStyle w:val="23"/>
                <w:rFonts w:hint="eastAsia"/>
                <w:kern w:val="0"/>
                <w:szCs w:val="20"/>
                <w:lang w:val="en-US" w:eastAsia="zh-CN"/>
              </w:rPr>
              <w:t>在此环评报告表的编制期间，原有的宽城经济开发区总体规划的中长期规划已经废止，新的规划环评尚未通过审查，故项目根据原有的宽城经济开发区总体规划进行分析。</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对于《河北宽城经济开发区总体规划（</w:t>
            </w:r>
            <w:r>
              <w:rPr>
                <w:rFonts w:hint="eastAsia" w:cs="宋体"/>
                <w:kern w:val="0"/>
                <w:szCs w:val="21"/>
              </w:rPr>
              <w:t>2015</w:t>
            </w:r>
            <w:r>
              <w:rPr>
                <w:rFonts w:hint="eastAsia" w:ascii="宋体" w:hAnsi="宋体" w:cs="宋体"/>
                <w:kern w:val="0"/>
                <w:szCs w:val="21"/>
              </w:rPr>
              <w:t>-</w:t>
            </w:r>
            <w:r>
              <w:rPr>
                <w:rFonts w:hint="eastAsia" w:cs="宋体"/>
                <w:kern w:val="0"/>
                <w:szCs w:val="21"/>
              </w:rPr>
              <w:t>2030</w:t>
            </w:r>
            <w:r>
              <w:rPr>
                <w:rFonts w:hint="eastAsia" w:ascii="宋体" w:hAnsi="宋体" w:cs="宋体"/>
                <w:kern w:val="0"/>
                <w:szCs w:val="21"/>
              </w:rPr>
              <w:t>）》，项目位于承德市宽城满族自治县龙须门镇药王庙村，位于河北宽城经济开发区内的中小企业创业综合产业区。</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《河北宽城经济开发区总体规划（</w:t>
            </w:r>
            <w:r>
              <w:rPr>
                <w:rFonts w:hint="eastAsia" w:cs="宋体"/>
                <w:kern w:val="0"/>
                <w:szCs w:val="21"/>
              </w:rPr>
              <w:t>2015</w:t>
            </w:r>
            <w:r>
              <w:rPr>
                <w:rFonts w:hint="eastAsia" w:ascii="宋体" w:hAnsi="宋体" w:cs="宋体"/>
                <w:kern w:val="0"/>
                <w:szCs w:val="21"/>
              </w:rPr>
              <w:t>-</w:t>
            </w:r>
            <w:r>
              <w:rPr>
                <w:rFonts w:hint="eastAsia" w:cs="宋体"/>
                <w:kern w:val="0"/>
                <w:szCs w:val="21"/>
              </w:rPr>
              <w:t>2030</w:t>
            </w:r>
            <w:r>
              <w:rPr>
                <w:rFonts w:hint="eastAsia" w:ascii="宋体" w:hAnsi="宋体" w:cs="宋体"/>
                <w:kern w:val="0"/>
                <w:szCs w:val="21"/>
              </w:rPr>
              <w:t>）》为贯彻以预防为主的环境保护方针，推进生态文明建设，实现经济与环境的协调发展，按照规划环评“全程互动原则”，在规划编制过程中通过规划协调会和座谈会等互动方式，从资源环境保护和可持续发展的角度，积极与规划编制单位及当地政府职能管理部门进行了沟通协调，提出了基于保护资源，减缓开发区规划实施可能造成环境影响的意见和建议。其中，主导产业调整前为以新型材料为主导产业并发展壮大装备制造业，调整后为以钒钛特钢产业、新材料产业、清洁能源产业、装备制造产业、绿色建材产业、大健康产业和商贸物流产业为主导产业。本项目为传染疾病隔离医院，属于突发传染病医疗应急体系建设项目，属于大健康产业，符合产业规划。</w:t>
            </w:r>
            <w:r>
              <w:commentReference w:id="1"/>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09"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tc>
        <w:tc>
          <w:tcPr>
            <w:tcW w:w="8461" w:type="dxa"/>
            <w:gridSpan w:val="4"/>
            <w:vAlign w:val="center"/>
          </w:tcPr>
          <w:p>
            <w:pPr>
              <w:autoSpaceDE w:val="0"/>
              <w:autoSpaceDN w:val="0"/>
              <w:adjustRightInd w:val="0"/>
              <w:snapToGrid w:val="0"/>
              <w:spacing w:before="120" w:beforeLines="50" w:line="360" w:lineRule="auto"/>
              <w:ind w:firstLine="482" w:firstLineChars="200"/>
              <w:jc w:val="left"/>
              <w:rPr>
                <w:b/>
                <w:bCs/>
                <w:kern w:val="0"/>
                <w:sz w:val="24"/>
              </w:rPr>
            </w:pPr>
            <w:r>
              <w:rPr>
                <w:rFonts w:hint="eastAsia"/>
                <w:b/>
                <w:bCs/>
                <w:kern w:val="0"/>
                <w:sz w:val="24"/>
              </w:rPr>
              <w:t>1、</w:t>
            </w:r>
            <w:r>
              <w:rPr>
                <w:b/>
                <w:bCs/>
                <w:kern w:val="0"/>
                <w:sz w:val="24"/>
              </w:rPr>
              <w:t>三线一单符合性</w:t>
            </w:r>
          </w:p>
          <w:p>
            <w:pPr>
              <w:pStyle w:val="45"/>
              <w:snapToGrid w:val="0"/>
              <w:ind w:firstLine="480"/>
              <w:rPr>
                <w:szCs w:val="24"/>
              </w:rPr>
            </w:pPr>
            <w:r>
              <w:rPr>
                <w:rFonts w:hint="eastAsia"/>
                <w:szCs w:val="24"/>
              </w:rPr>
              <w:t>（1）</w:t>
            </w:r>
            <w:r>
              <w:rPr>
                <w:szCs w:val="24"/>
              </w:rPr>
              <w:t>与生态保护红线符合性分析</w:t>
            </w:r>
          </w:p>
          <w:p>
            <w:pPr>
              <w:pStyle w:val="45"/>
              <w:snapToGrid w:val="0"/>
              <w:ind w:firstLine="480"/>
              <w:rPr>
                <w:szCs w:val="24"/>
              </w:rPr>
            </w:pPr>
            <w:r>
              <w:rPr>
                <w:szCs w:val="24"/>
              </w:rPr>
              <w:t>项目位于</w:t>
            </w:r>
            <w:r>
              <w:rPr>
                <w:rFonts w:hint="eastAsia" w:ascii="宋体" w:hAnsi="宋体" w:cs="宋体"/>
                <w:szCs w:val="21"/>
              </w:rPr>
              <w:t>宽城满族自治县</w:t>
            </w:r>
            <w:r>
              <w:rPr>
                <w:rFonts w:hint="eastAsia"/>
              </w:rPr>
              <w:t>龙须门</w:t>
            </w:r>
            <w:r>
              <w:rPr>
                <w:rFonts w:hint="eastAsia" w:ascii="宋体" w:hAnsi="宋体" w:cs="宋体"/>
                <w:szCs w:val="21"/>
              </w:rPr>
              <w:t>镇</w:t>
            </w:r>
            <w:r>
              <w:rPr>
                <w:rFonts w:hint="eastAsia"/>
              </w:rPr>
              <w:t>药王庙村承德昊天硬质合金制品有限公司院内</w:t>
            </w:r>
            <w:r>
              <w:rPr>
                <w:szCs w:val="24"/>
              </w:rPr>
              <w:t>，周围无自然保护区、风景名胜区、生活饮用水源地和其它特别需要保护的环境敏感目标，项目占地不占用生态保护红线范围，</w:t>
            </w:r>
            <w:r>
              <w:rPr>
                <w:rFonts w:hint="eastAsia"/>
                <w:szCs w:val="24"/>
              </w:rPr>
              <w:t>最近的</w:t>
            </w:r>
            <w:r>
              <w:rPr>
                <w:szCs w:val="24"/>
              </w:rPr>
              <w:t>生态保护红线</w:t>
            </w:r>
            <w:r>
              <w:rPr>
                <w:rFonts w:hint="eastAsia"/>
                <w:szCs w:val="24"/>
              </w:rPr>
              <w:t>在项目西南侧120</w:t>
            </w:r>
            <w:r>
              <w:rPr>
                <w:szCs w:val="24"/>
              </w:rPr>
              <w:t>m。项目与生态保护红线相对位置关系图详见附图</w:t>
            </w:r>
            <w:r>
              <w:rPr>
                <w:rFonts w:hint="eastAsia"/>
                <w:szCs w:val="24"/>
              </w:rPr>
              <w:t>3</w:t>
            </w:r>
            <w:r>
              <w:rPr>
                <w:szCs w:val="24"/>
              </w:rPr>
              <w:t>。</w:t>
            </w:r>
          </w:p>
          <w:p>
            <w:pPr>
              <w:pStyle w:val="45"/>
              <w:snapToGrid w:val="0"/>
              <w:ind w:firstLine="480"/>
              <w:rPr>
                <w:szCs w:val="24"/>
              </w:rPr>
            </w:pPr>
            <w:r>
              <w:rPr>
                <w:rFonts w:hint="eastAsia"/>
                <w:szCs w:val="24"/>
              </w:rPr>
              <w:t>（2）</w:t>
            </w:r>
            <w:r>
              <w:rPr>
                <w:szCs w:val="24"/>
              </w:rPr>
              <w:t>与环境质量底线符合性分析</w:t>
            </w:r>
          </w:p>
          <w:p>
            <w:pPr>
              <w:pStyle w:val="45"/>
              <w:snapToGrid w:val="0"/>
              <w:ind w:firstLine="480"/>
              <w:rPr>
                <w:szCs w:val="24"/>
              </w:rPr>
            </w:pPr>
            <w:r>
              <w:rPr>
                <w:rFonts w:hint="eastAsia"/>
                <w:szCs w:val="24"/>
              </w:rPr>
              <w:t>根据</w:t>
            </w:r>
            <w:r>
              <w:rPr>
                <w:szCs w:val="24"/>
              </w:rPr>
              <w:t>《2021年承德市环境状况公报》</w:t>
            </w:r>
            <w:r>
              <w:rPr>
                <w:rFonts w:hint="eastAsia"/>
                <w:szCs w:val="24"/>
              </w:rPr>
              <w:t>（20</w:t>
            </w:r>
            <w:r>
              <w:rPr>
                <w:szCs w:val="24"/>
              </w:rPr>
              <w:t>22</w:t>
            </w:r>
            <w:r>
              <w:rPr>
                <w:rFonts w:hint="eastAsia"/>
                <w:szCs w:val="24"/>
              </w:rPr>
              <w:t>年</w:t>
            </w:r>
            <w:r>
              <w:rPr>
                <w:szCs w:val="24"/>
              </w:rPr>
              <w:t>4</w:t>
            </w:r>
            <w:r>
              <w:rPr>
                <w:rFonts w:hint="eastAsia"/>
                <w:szCs w:val="24"/>
              </w:rPr>
              <w:t>月，承德市生态环境局），2</w:t>
            </w:r>
            <w:r>
              <w:rPr>
                <w:szCs w:val="24"/>
              </w:rPr>
              <w:t>021</w:t>
            </w:r>
            <w:r>
              <w:rPr>
                <w:rFonts w:hint="eastAsia"/>
                <w:szCs w:val="24"/>
              </w:rPr>
              <w:t>年</w:t>
            </w:r>
            <w:r>
              <w:rPr>
                <w:rFonts w:hint="eastAsia" w:ascii="宋体" w:hAnsi="宋体" w:cs="宋体"/>
                <w:szCs w:val="21"/>
              </w:rPr>
              <w:t>宽城满族自治县</w:t>
            </w:r>
            <w:r>
              <w:rPr>
                <w:rFonts w:hint="eastAsia"/>
                <w:szCs w:val="24"/>
              </w:rPr>
              <w:t>环境空气大气污染物基本项目全部达标，无超标项，</w:t>
            </w:r>
            <w:r>
              <w:rPr>
                <w:rFonts w:hint="eastAsia" w:ascii="宋体" w:hAnsi="宋体" w:cs="宋体"/>
                <w:szCs w:val="21"/>
              </w:rPr>
              <w:t>宽城满族自治县</w:t>
            </w:r>
            <w:r>
              <w:rPr>
                <w:rFonts w:hint="eastAsia"/>
                <w:szCs w:val="24"/>
              </w:rPr>
              <w:t>为环境空气质量达标区。</w:t>
            </w:r>
          </w:p>
          <w:p>
            <w:pPr>
              <w:pStyle w:val="45"/>
              <w:snapToGrid w:val="0"/>
              <w:ind w:firstLine="480"/>
              <w:rPr>
                <w:rFonts w:hint="eastAsia" w:eastAsia="宋体"/>
                <w:color w:val="FF0000"/>
                <w:szCs w:val="24"/>
                <w:lang w:eastAsia="zh-CN"/>
              </w:rPr>
            </w:pPr>
            <w:commentRangeStart w:id="2"/>
            <w:r>
              <w:rPr>
                <w:rFonts w:hint="eastAsia"/>
                <w:color w:val="FF0000"/>
                <w:szCs w:val="24"/>
              </w:rPr>
              <w:t>根据工程分析，本项目处理污水完全依托隔壁方舱医院的污水处理设备，</w:t>
            </w:r>
            <w:r>
              <w:rPr>
                <w:rFonts w:hint="eastAsia"/>
                <w:color w:val="FF0000"/>
                <w:szCs w:val="24"/>
                <w:lang w:val="en-US" w:eastAsia="zh-CN"/>
              </w:rPr>
              <w:t>方舱医院污水处理站处理本项目污水时产生的废气不属于本项目排放，且在将污水排入方舱医院污水处理站的过程中也不产生废气，项目运营期间也不产生其他废气。</w:t>
            </w:r>
            <w:r>
              <w:rPr>
                <w:rFonts w:hint="eastAsia"/>
                <w:color w:val="FF0000"/>
                <w:szCs w:val="24"/>
              </w:rPr>
              <w:t>故本项目</w:t>
            </w:r>
            <w:r>
              <w:rPr>
                <w:rFonts w:hint="eastAsia"/>
                <w:color w:val="FF0000"/>
                <w:szCs w:val="24"/>
                <w:lang w:val="en-US" w:eastAsia="zh-CN"/>
              </w:rPr>
              <w:t>不向外界排放</w:t>
            </w:r>
            <w:r>
              <w:rPr>
                <w:rFonts w:hint="eastAsia"/>
                <w:color w:val="FF0000"/>
                <w:szCs w:val="24"/>
              </w:rPr>
              <w:t>大气污染物</w:t>
            </w:r>
            <w:r>
              <w:rPr>
                <w:rFonts w:hint="eastAsia"/>
                <w:color w:val="FF0000"/>
                <w:szCs w:val="24"/>
                <w:lang w:eastAsia="zh-CN"/>
              </w:rPr>
              <w:t>，</w:t>
            </w:r>
            <w:r>
              <w:rPr>
                <w:rFonts w:hint="eastAsia"/>
                <w:color w:val="FF0000"/>
                <w:szCs w:val="24"/>
              </w:rPr>
              <w:t>符合</w:t>
            </w:r>
            <w:r>
              <w:rPr>
                <w:rFonts w:hint="eastAsia"/>
                <w:color w:val="FF0000"/>
                <w:szCs w:val="24"/>
                <w:lang w:val="en-US" w:eastAsia="zh-CN"/>
              </w:rPr>
              <w:t>大气</w:t>
            </w:r>
            <w:r>
              <w:rPr>
                <w:rFonts w:hint="eastAsia"/>
                <w:color w:val="FF0000"/>
                <w:szCs w:val="24"/>
              </w:rPr>
              <w:t>环境质量底线的要求</w:t>
            </w:r>
            <w:r>
              <w:rPr>
                <w:rFonts w:hint="eastAsia"/>
                <w:color w:val="FF0000"/>
                <w:szCs w:val="24"/>
                <w:lang w:eastAsia="zh-CN"/>
              </w:rPr>
              <w:t>。</w:t>
            </w:r>
            <w:commentRangeEnd w:id="2"/>
            <w:r>
              <w:commentReference w:id="2"/>
            </w:r>
          </w:p>
          <w:p>
            <w:pPr>
              <w:pStyle w:val="45"/>
              <w:snapToGrid w:val="0"/>
              <w:ind w:firstLine="480"/>
              <w:rPr>
                <w:szCs w:val="24"/>
              </w:rPr>
            </w:pPr>
            <w:r>
              <w:rPr>
                <w:rFonts w:hint="eastAsia"/>
                <w:szCs w:val="24"/>
              </w:rPr>
              <w:t>本项目运营期废水主要为医疗污水、生活污水，本项目所有废水全部由管道接到方舱医院的污水处理站，所有废水均不外排，废水经方舱医院内污水处理站处理后，通过城镇污水管网排入宽城碧水源环保有限公司污水处理厂进一步处理，符合水环境质量底线的要求。</w:t>
            </w:r>
          </w:p>
          <w:p>
            <w:pPr>
              <w:pStyle w:val="45"/>
              <w:snapToGrid w:val="0"/>
              <w:ind w:firstLine="480"/>
              <w:rPr>
                <w:szCs w:val="24"/>
              </w:rPr>
            </w:pPr>
            <w:commentRangeStart w:id="3"/>
            <w:r>
              <w:rPr>
                <w:rFonts w:hint="eastAsia"/>
                <w:color w:val="FF0000"/>
                <w:szCs w:val="24"/>
              </w:rPr>
              <w:t>经分析，</w:t>
            </w:r>
            <w:r>
              <w:rPr>
                <w:rFonts w:hint="eastAsia"/>
                <w:b w:val="0"/>
                <w:bCs w:val="0"/>
                <w:color w:val="FF0000"/>
                <w:szCs w:val="24"/>
              </w:rPr>
              <w:t>根据识别，建</w:t>
            </w:r>
            <w:r>
              <w:rPr>
                <w:rFonts w:hint="eastAsia"/>
                <w:b w:val="0"/>
                <w:bCs w:val="0"/>
                <w:color w:val="FF0000"/>
                <w:szCs w:val="24"/>
                <w:lang w:val="en-US" w:eastAsia="zh-CN"/>
              </w:rPr>
              <w:t>设</w:t>
            </w:r>
            <w:r>
              <w:rPr>
                <w:rFonts w:hint="eastAsia"/>
                <w:b w:val="0"/>
                <w:bCs w:val="0"/>
                <w:color w:val="FF0000"/>
                <w:szCs w:val="24"/>
              </w:rPr>
              <w:t>项目在满足分区防渗</w:t>
            </w:r>
            <w:r>
              <w:rPr>
                <w:rFonts w:hint="eastAsia"/>
                <w:b w:val="0"/>
                <w:bCs w:val="0"/>
                <w:color w:val="FF0000"/>
                <w:szCs w:val="24"/>
                <w:lang w:val="en-US" w:eastAsia="zh-CN"/>
              </w:rPr>
              <w:t>和管道防渗</w:t>
            </w:r>
            <w:r>
              <w:rPr>
                <w:rFonts w:hint="eastAsia"/>
                <w:b w:val="0"/>
                <w:bCs w:val="0"/>
                <w:color w:val="FF0000"/>
                <w:szCs w:val="24"/>
              </w:rPr>
              <w:t>的前提下，</w:t>
            </w:r>
            <w:r>
              <w:rPr>
                <w:rFonts w:hint="eastAsia"/>
                <w:b w:val="0"/>
                <w:bCs w:val="0"/>
                <w:color w:val="FF0000"/>
                <w:szCs w:val="24"/>
                <w:lang w:val="en-US" w:eastAsia="zh-CN"/>
              </w:rPr>
              <w:t>项目不存在对土壤和地下水的影响途径，</w:t>
            </w:r>
            <w:r>
              <w:rPr>
                <w:rFonts w:hint="eastAsia"/>
                <w:color w:val="FF0000"/>
                <w:szCs w:val="24"/>
              </w:rPr>
              <w:t>符合土壤</w:t>
            </w:r>
            <w:r>
              <w:rPr>
                <w:rFonts w:hint="eastAsia"/>
                <w:color w:val="FF0000"/>
                <w:szCs w:val="24"/>
                <w:lang w:val="en-US" w:eastAsia="zh-CN"/>
              </w:rPr>
              <w:t>和地下水</w:t>
            </w:r>
            <w:r>
              <w:rPr>
                <w:rFonts w:hint="eastAsia"/>
                <w:color w:val="FF0000"/>
                <w:szCs w:val="24"/>
              </w:rPr>
              <w:t>环境质量底线的要求。</w:t>
            </w:r>
            <w:commentRangeEnd w:id="3"/>
            <w:r>
              <w:commentReference w:id="3"/>
            </w:r>
          </w:p>
          <w:p>
            <w:pPr>
              <w:pStyle w:val="45"/>
              <w:snapToGrid w:val="0"/>
              <w:ind w:firstLine="480"/>
              <w:rPr>
                <w:szCs w:val="21"/>
              </w:rPr>
            </w:pPr>
            <w:r>
              <w:rPr>
                <w:rFonts w:hint="eastAsia"/>
                <w:szCs w:val="21"/>
              </w:rPr>
              <w:t>综上所述，</w:t>
            </w:r>
            <w:r>
              <w:rPr>
                <w:szCs w:val="21"/>
              </w:rPr>
              <w:t>项目产生的</w:t>
            </w:r>
            <w:r>
              <w:rPr>
                <w:rFonts w:hint="eastAsia"/>
                <w:szCs w:val="21"/>
              </w:rPr>
              <w:t>各类</w:t>
            </w:r>
            <w:r>
              <w:rPr>
                <w:szCs w:val="21"/>
              </w:rPr>
              <w:t>污染物采取相应</w:t>
            </w:r>
            <w:r>
              <w:rPr>
                <w:rFonts w:hint="eastAsia"/>
                <w:szCs w:val="21"/>
              </w:rPr>
              <w:t>治理</w:t>
            </w:r>
            <w:r>
              <w:rPr>
                <w:szCs w:val="21"/>
              </w:rPr>
              <w:t>措施后，经</w:t>
            </w:r>
            <w:r>
              <w:rPr>
                <w:rFonts w:hint="eastAsia"/>
                <w:szCs w:val="21"/>
              </w:rPr>
              <w:t>各环境要素影响分析，均</w:t>
            </w:r>
            <w:r>
              <w:rPr>
                <w:szCs w:val="21"/>
              </w:rPr>
              <w:t>满足相应的标准</w:t>
            </w:r>
            <w:r>
              <w:rPr>
                <w:rFonts w:hint="eastAsia"/>
                <w:szCs w:val="21"/>
              </w:rPr>
              <w:t>要求</w:t>
            </w:r>
            <w:r>
              <w:rPr>
                <w:szCs w:val="21"/>
              </w:rPr>
              <w:t>，</w:t>
            </w:r>
            <w:r>
              <w:rPr>
                <w:rFonts w:hint="eastAsia"/>
                <w:szCs w:val="21"/>
              </w:rPr>
              <w:t>项目</w:t>
            </w:r>
            <w:r>
              <w:rPr>
                <w:szCs w:val="21"/>
              </w:rPr>
              <w:t>符合环境质量底线的要求。</w:t>
            </w:r>
          </w:p>
          <w:p>
            <w:pPr>
              <w:pStyle w:val="45"/>
              <w:snapToGrid w:val="0"/>
              <w:ind w:firstLine="480"/>
              <w:rPr>
                <w:szCs w:val="24"/>
              </w:rPr>
            </w:pPr>
            <w:r>
              <w:rPr>
                <w:rFonts w:hint="eastAsia"/>
                <w:szCs w:val="24"/>
              </w:rPr>
              <w:t>（3）</w:t>
            </w:r>
            <w:r>
              <w:rPr>
                <w:szCs w:val="24"/>
              </w:rPr>
              <w:t>与资源利用上线符合性分析</w:t>
            </w:r>
          </w:p>
          <w:p>
            <w:pPr>
              <w:pStyle w:val="45"/>
              <w:snapToGrid w:val="0"/>
              <w:ind w:firstLine="480"/>
              <w:rPr>
                <w:szCs w:val="21"/>
              </w:rPr>
            </w:pPr>
            <w:r>
              <w:rPr>
                <w:szCs w:val="21"/>
              </w:rPr>
              <w:t>项目</w:t>
            </w:r>
            <w:r>
              <w:rPr>
                <w:rFonts w:hint="eastAsia"/>
                <w:szCs w:val="21"/>
              </w:rPr>
              <w:t>生产运营阶段总用水</w:t>
            </w:r>
            <w:r>
              <w:rPr>
                <w:szCs w:val="21"/>
              </w:rPr>
              <w:t>为</w:t>
            </w:r>
            <w:r>
              <w:rPr>
                <w:rFonts w:hint="eastAsia"/>
              </w:rPr>
              <w:t>17428.75</w:t>
            </w:r>
            <w:r>
              <w:t>m</w:t>
            </w:r>
            <w:r>
              <w:rPr>
                <w:vertAlign w:val="superscript"/>
              </w:rPr>
              <w:t>3</w:t>
            </w:r>
            <w:r>
              <w:t>/</w:t>
            </w:r>
            <w:r>
              <w:rPr>
                <w:rFonts w:hint="eastAsia"/>
              </w:rPr>
              <w:t>a</w:t>
            </w:r>
            <w:r>
              <w:rPr>
                <w:rFonts w:hint="eastAsia"/>
                <w:szCs w:val="21"/>
              </w:rPr>
              <w:t>（</w:t>
            </w:r>
            <w:r>
              <w:rPr>
                <w:rFonts w:hint="eastAsia"/>
              </w:rPr>
              <w:t>47.75</w:t>
            </w:r>
            <w:r>
              <w:t>m</w:t>
            </w:r>
            <w:r>
              <w:rPr>
                <w:vertAlign w:val="superscript"/>
              </w:rPr>
              <w:t>3</w:t>
            </w:r>
            <w:r>
              <w:t>/d</w:t>
            </w:r>
            <w:r>
              <w:rPr>
                <w:rFonts w:hint="eastAsia"/>
                <w:szCs w:val="21"/>
              </w:rPr>
              <w:t>）</w:t>
            </w:r>
            <w:r>
              <w:rPr>
                <w:szCs w:val="21"/>
              </w:rPr>
              <w:t>，</w:t>
            </w:r>
            <w:r>
              <w:rPr>
                <w:rFonts w:hint="eastAsia"/>
                <w:szCs w:val="21"/>
              </w:rPr>
              <w:t>总</w:t>
            </w:r>
            <w:r>
              <w:rPr>
                <w:szCs w:val="21"/>
              </w:rPr>
              <w:t>用电量为</w:t>
            </w:r>
            <w:r>
              <w:rPr>
                <w:rFonts w:hint="eastAsia"/>
                <w:szCs w:val="21"/>
              </w:rPr>
              <w:t>30万</w:t>
            </w:r>
            <w:r>
              <w:rPr>
                <w:szCs w:val="21"/>
              </w:rPr>
              <w:t>kW·h</w:t>
            </w:r>
            <w:r>
              <w:rPr>
                <w:rFonts w:hint="eastAsia"/>
                <w:szCs w:val="21"/>
              </w:rPr>
              <w:t>/a（821.9</w:t>
            </w:r>
            <w:r>
              <w:rPr>
                <w:szCs w:val="21"/>
              </w:rPr>
              <w:t>kW·h</w:t>
            </w:r>
            <w:r>
              <w:rPr>
                <w:rFonts w:hint="eastAsia"/>
                <w:szCs w:val="21"/>
              </w:rPr>
              <w:t>/d）。项目建设单位利用</w:t>
            </w:r>
            <w:r>
              <w:rPr>
                <w:rFonts w:hint="eastAsia"/>
              </w:rPr>
              <w:t>龙须门</w:t>
            </w:r>
            <w:r>
              <w:rPr>
                <w:rFonts w:hint="eastAsia" w:ascii="宋体" w:hAnsi="宋体" w:cs="宋体"/>
                <w:szCs w:val="21"/>
              </w:rPr>
              <w:t>镇</w:t>
            </w:r>
            <w:r>
              <w:rPr>
                <w:rFonts w:hint="eastAsia"/>
              </w:rPr>
              <w:t>药王庙村承德昊天硬质合金制品有限公司院内</w:t>
            </w:r>
            <w:r>
              <w:rPr>
                <w:rFonts w:hint="eastAsia"/>
                <w:szCs w:val="21"/>
              </w:rPr>
              <w:t>进行建设，项目占地面积较小不涉及基本农田，不破坏其他土地资源，不突破区域土地利用上线。</w:t>
            </w:r>
            <w:r>
              <w:rPr>
                <w:szCs w:val="21"/>
              </w:rPr>
              <w:t>项目不属于高能耗类项目，不属于资源开发类项目，不涉及突破资源利用上线。</w:t>
            </w:r>
          </w:p>
          <w:p>
            <w:pPr>
              <w:pStyle w:val="45"/>
              <w:snapToGrid w:val="0"/>
              <w:ind w:firstLine="480"/>
              <w:rPr>
                <w:szCs w:val="24"/>
              </w:rPr>
            </w:pPr>
            <w:r>
              <w:rPr>
                <w:rFonts w:hint="eastAsia"/>
                <w:szCs w:val="24"/>
              </w:rPr>
              <w:t>（4）</w:t>
            </w:r>
            <w:r>
              <w:rPr>
                <w:szCs w:val="24"/>
              </w:rPr>
              <w:t>与环境准入负面清单符合性分析</w:t>
            </w:r>
          </w:p>
          <w:p>
            <w:pPr>
              <w:pStyle w:val="45"/>
              <w:snapToGrid w:val="0"/>
              <w:ind w:firstLine="480"/>
              <w:rPr>
                <w:szCs w:val="24"/>
              </w:rPr>
            </w:pPr>
            <w:r>
              <w:rPr>
                <w:szCs w:val="24"/>
              </w:rPr>
              <w:t>环境准入负面清单是基于生态保护红线、环境质量底线和资源利用上线，以清单方式列出的禁止、限制等差别化环境准入条件和要求。根据国家发展改革委商务部关于印发《市场准入负面清单（2022年版）》的通知，</w:t>
            </w:r>
            <w:r>
              <w:rPr>
                <w:rFonts w:hint="eastAsia"/>
                <w:szCs w:val="24"/>
              </w:rPr>
              <w:t>本项目为传染疾病隔离医院，</w:t>
            </w:r>
            <w:r>
              <w:rPr>
                <w:szCs w:val="24"/>
              </w:rPr>
              <w:t>不属于禁止准入类；根据河北省发展和改革委员会关于印发《灵寿县等22县（区）国家重点生态功能区产业准入负面清单（试行）》的通知（冀发改规划[2018]920号）的通知，</w:t>
            </w:r>
            <w:r>
              <w:rPr>
                <w:rFonts w:hint="eastAsia"/>
                <w:szCs w:val="24"/>
              </w:rPr>
              <w:t>本项目为传染疾病隔离医院，</w:t>
            </w:r>
            <w:r>
              <w:rPr>
                <w:szCs w:val="24"/>
              </w:rPr>
              <w:t>不属于“河北省宽城满族自治县国家重点生态功能区产业准入负面清</w:t>
            </w:r>
            <w:r>
              <w:rPr>
                <w:rFonts w:hint="eastAsia"/>
                <w:szCs w:val="24"/>
              </w:rPr>
              <w:t>单”中的“限制类”和“禁止类”</w:t>
            </w:r>
            <w:r>
              <w:rPr>
                <w:szCs w:val="24"/>
              </w:rPr>
              <w:t>。</w:t>
            </w:r>
            <w:r>
              <w:rPr>
                <w:rFonts w:hint="eastAsia"/>
                <w:szCs w:val="24"/>
              </w:rPr>
              <w:t>本项目</w:t>
            </w:r>
            <w:r>
              <w:rPr>
                <w:szCs w:val="24"/>
              </w:rPr>
              <w:t>运营过程中不使用国家明令禁止淘汰类和限制类仪器和设备，符合国家产业政策。</w:t>
            </w:r>
          </w:p>
          <w:p>
            <w:pPr>
              <w:pStyle w:val="45"/>
              <w:snapToGrid w:val="0"/>
              <w:ind w:firstLine="480"/>
              <w:rPr>
                <w:szCs w:val="24"/>
              </w:rPr>
            </w:pPr>
            <w:r>
              <w:rPr>
                <w:rFonts w:hint="eastAsia"/>
                <w:szCs w:val="24"/>
              </w:rPr>
              <w:t>（5）</w:t>
            </w:r>
            <w:r>
              <w:rPr>
                <w:szCs w:val="24"/>
              </w:rPr>
              <w:t>《承德市人民政府关于加快实施“三线一单”生态环境分区管控的意见》</w:t>
            </w:r>
          </w:p>
          <w:p>
            <w:pPr>
              <w:pStyle w:val="45"/>
              <w:snapToGrid w:val="0"/>
              <w:ind w:firstLine="480"/>
            </w:pPr>
            <w:r>
              <w:rPr>
                <w:szCs w:val="24"/>
              </w:rPr>
              <w:t>项目位于</w:t>
            </w:r>
            <w:r>
              <w:rPr>
                <w:rFonts w:hint="eastAsia"/>
                <w:szCs w:val="24"/>
              </w:rPr>
              <w:t>河北省承德市宽城满族自治县龙须门镇药王庙村</w:t>
            </w:r>
            <w:r>
              <w:rPr>
                <w:szCs w:val="24"/>
              </w:rPr>
              <w:t>，地理坐标为：E118°31′1</w:t>
            </w:r>
            <w:r>
              <w:rPr>
                <w:rFonts w:hint="eastAsia"/>
                <w:szCs w:val="24"/>
              </w:rPr>
              <w:t>5</w:t>
            </w:r>
            <w:r>
              <w:rPr>
                <w:szCs w:val="24"/>
              </w:rPr>
              <w:t>.</w:t>
            </w:r>
            <w:r>
              <w:rPr>
                <w:rFonts w:hint="eastAsia"/>
                <w:szCs w:val="24"/>
              </w:rPr>
              <w:t>323</w:t>
            </w:r>
            <w:r>
              <w:rPr>
                <w:szCs w:val="24"/>
              </w:rPr>
              <w:t>91″、N40°37′24.</w:t>
            </w:r>
            <w:r>
              <w:rPr>
                <w:rFonts w:hint="eastAsia"/>
                <w:szCs w:val="24"/>
              </w:rPr>
              <w:t>622</w:t>
            </w:r>
            <w:r>
              <w:rPr>
                <w:szCs w:val="24"/>
              </w:rPr>
              <w:t>20″，根据2021年6月</w:t>
            </w:r>
            <w:r>
              <w:rPr>
                <w:rFonts w:hint="eastAsia"/>
                <w:szCs w:val="24"/>
              </w:rPr>
              <w:t>18</w:t>
            </w:r>
            <w:r>
              <w:rPr>
                <w:szCs w:val="24"/>
              </w:rPr>
              <w:t>日，承德市</w:t>
            </w:r>
            <w:r>
              <w:rPr>
                <w:rFonts w:hint="eastAsia"/>
                <w:szCs w:val="24"/>
              </w:rPr>
              <w:t>人民政府</w:t>
            </w:r>
            <w:r>
              <w:rPr>
                <w:szCs w:val="24"/>
              </w:rPr>
              <w:t>发布了《承德市人民政府关于加快实施“三线一单”生态环境分区管控的意见》的附件《承德市“三线一单”生态环境准入清单》可知，</w:t>
            </w:r>
            <w:r>
              <w:rPr>
                <w:rFonts w:hint="eastAsia"/>
                <w:szCs w:val="24"/>
              </w:rPr>
              <w:t>项目所在区域编号为ZH13082720003</w:t>
            </w:r>
            <w:r>
              <w:rPr>
                <w:rFonts w:hint="eastAsia"/>
              </w:rPr>
              <w:t>。</w:t>
            </w:r>
          </w:p>
          <w:p>
            <w:pPr>
              <w:pStyle w:val="45"/>
              <w:snapToGrid w:val="0"/>
              <w:ind w:firstLine="480"/>
              <w:rPr>
                <w:szCs w:val="24"/>
              </w:rPr>
            </w:pPr>
            <w:r>
              <w:rPr>
                <w:rFonts w:hint="eastAsia"/>
                <w:szCs w:val="24"/>
              </w:rPr>
              <w:t>ZH13082720003管控类型为重点管控单元，环境要素类别为：“涉及部分生态保护红线、大气环境高排放重点管控区、建设用地污染风险重点管控区、土地资源重点管控区、河北宽城经济开发区”，维度为：“空间布局约束、污染物排放管控、环境风险防控、资源利用效率”。</w:t>
            </w:r>
          </w:p>
          <w:p>
            <w:pPr>
              <w:pStyle w:val="45"/>
              <w:snapToGrid w:val="0"/>
              <w:ind w:firstLine="480"/>
              <w:rPr>
                <w:szCs w:val="24"/>
              </w:rPr>
            </w:pPr>
            <w:r>
              <w:rPr>
                <w:rFonts w:hint="eastAsia"/>
                <w:szCs w:val="24"/>
              </w:rPr>
              <w:t>项目环境管控单元准入清单符合性分析判定内容如下表所示：</w:t>
            </w:r>
          </w:p>
          <w:p>
            <w:pPr>
              <w:snapToGrid w:val="0"/>
              <w:spacing w:line="360" w:lineRule="auto"/>
              <w:jc w:val="center"/>
              <w:rPr>
                <w:b/>
                <w:bCs/>
                <w:szCs w:val="21"/>
              </w:rPr>
            </w:pPr>
            <w:r>
              <w:rPr>
                <w:rFonts w:hint="eastAsia"/>
                <w:b/>
                <w:bCs/>
                <w:szCs w:val="21"/>
              </w:rPr>
              <w:t>表1-1 环境管控单元准入清单符合性分析表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3"/>
              <w:gridCol w:w="3479"/>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Align w:val="center"/>
                </w:tcPr>
                <w:p>
                  <w:pPr>
                    <w:adjustRightInd w:val="0"/>
                    <w:snapToGrid w:val="0"/>
                    <w:jc w:val="center"/>
                    <w:rPr>
                      <w:b/>
                      <w:bCs/>
                      <w:szCs w:val="21"/>
                    </w:rPr>
                  </w:pPr>
                  <w:r>
                    <w:rPr>
                      <w:b/>
                      <w:bCs/>
                      <w:szCs w:val="21"/>
                    </w:rPr>
                    <w:t>编号</w:t>
                  </w:r>
                </w:p>
              </w:tc>
              <w:tc>
                <w:tcPr>
                  <w:tcW w:w="1204" w:type="pct"/>
                  <w:vAlign w:val="center"/>
                </w:tcPr>
                <w:p>
                  <w:pPr>
                    <w:adjustRightInd w:val="0"/>
                    <w:snapToGrid w:val="0"/>
                    <w:jc w:val="center"/>
                    <w:rPr>
                      <w:b/>
                      <w:bCs/>
                      <w:szCs w:val="21"/>
                    </w:rPr>
                  </w:pPr>
                  <w:r>
                    <w:rPr>
                      <w:b/>
                      <w:bCs/>
                      <w:szCs w:val="21"/>
                    </w:rPr>
                    <w:t>管控措施</w:t>
                  </w:r>
                </w:p>
              </w:tc>
              <w:tc>
                <w:tcPr>
                  <w:tcW w:w="2112" w:type="pct"/>
                  <w:vAlign w:val="center"/>
                </w:tcPr>
                <w:p>
                  <w:pPr>
                    <w:adjustRightInd w:val="0"/>
                    <w:snapToGrid w:val="0"/>
                    <w:jc w:val="center"/>
                    <w:rPr>
                      <w:b/>
                      <w:bCs/>
                      <w:szCs w:val="21"/>
                    </w:rPr>
                  </w:pPr>
                  <w:r>
                    <w:rPr>
                      <w:rFonts w:hint="eastAsia"/>
                      <w:b/>
                      <w:bCs/>
                      <w:szCs w:val="21"/>
                    </w:rPr>
                    <w:t>项目</w:t>
                  </w:r>
                  <w:r>
                    <w:rPr>
                      <w:b/>
                      <w:bCs/>
                      <w:szCs w:val="21"/>
                    </w:rPr>
                    <w:t>情况</w:t>
                  </w:r>
                </w:p>
              </w:tc>
              <w:tc>
                <w:tcPr>
                  <w:tcW w:w="477" w:type="pct"/>
                  <w:vAlign w:val="center"/>
                </w:tcPr>
                <w:p>
                  <w:pPr>
                    <w:adjustRightInd w:val="0"/>
                    <w:snapToGrid w:val="0"/>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restart"/>
                  <w:vAlign w:val="center"/>
                </w:tcPr>
                <w:p>
                  <w:pPr>
                    <w:adjustRightInd w:val="0"/>
                    <w:snapToGrid w:val="0"/>
                    <w:jc w:val="center"/>
                    <w:rPr>
                      <w:color w:val="FF0000"/>
                      <w:szCs w:val="21"/>
                    </w:rPr>
                  </w:pPr>
                  <w:r>
                    <w:rPr>
                      <w:rFonts w:hint="eastAsia"/>
                      <w:szCs w:val="21"/>
                    </w:rPr>
                    <w:t>ZH13082720003</w:t>
                  </w:r>
                </w:p>
              </w:tc>
              <w:tc>
                <w:tcPr>
                  <w:tcW w:w="1204" w:type="pct"/>
                  <w:vAlign w:val="center"/>
                </w:tcPr>
                <w:p>
                  <w:pPr>
                    <w:widowControl/>
                    <w:jc w:val="left"/>
                    <w:rPr>
                      <w:szCs w:val="21"/>
                    </w:rPr>
                  </w:pPr>
                  <w:r>
                    <w:rPr>
                      <w:rFonts w:hint="eastAsia" w:cs="宋体"/>
                      <w:color w:val="000000"/>
                      <w:kern w:val="0"/>
                      <w:szCs w:val="21"/>
                      <w:lang w:bidi="ar"/>
                    </w:rPr>
                    <w:t>1</w:t>
                  </w:r>
                  <w:r>
                    <w:rPr>
                      <w:rFonts w:hint="eastAsia" w:ascii="宋体" w:hAnsi="宋体" w:cs="宋体"/>
                      <w:color w:val="000000"/>
                      <w:kern w:val="0"/>
                      <w:szCs w:val="21"/>
                      <w:lang w:bidi="ar"/>
                    </w:rPr>
                    <w:t>.生态保护红线区执行承德市总体准入清单中生态保护红线准入要求</w:t>
                  </w:r>
                </w:p>
              </w:tc>
              <w:tc>
                <w:tcPr>
                  <w:tcW w:w="2112" w:type="pct"/>
                  <w:vAlign w:val="center"/>
                </w:tcPr>
                <w:p>
                  <w:pPr>
                    <w:adjustRightInd w:val="0"/>
                    <w:snapToGrid w:val="0"/>
                    <w:jc w:val="center"/>
                    <w:rPr>
                      <w:color w:val="FF0000"/>
                      <w:szCs w:val="21"/>
                    </w:rPr>
                  </w:pPr>
                  <w:r>
                    <w:rPr>
                      <w:rFonts w:ascii="宋体" w:hAnsi="宋体" w:cs="宋体"/>
                      <w:color w:val="000000"/>
                      <w:kern w:val="0"/>
                      <w:szCs w:val="21"/>
                      <w:lang w:bidi="ar"/>
                    </w:rPr>
                    <w:t>项目位于</w:t>
                  </w:r>
                  <w:r>
                    <w:rPr>
                      <w:rFonts w:hint="eastAsia" w:ascii="宋体" w:hAnsi="宋体" w:cs="宋体"/>
                      <w:color w:val="000000"/>
                      <w:kern w:val="0"/>
                      <w:szCs w:val="21"/>
                      <w:lang w:bidi="ar"/>
                    </w:rPr>
                    <w:t>宽城满族自治县龙须门镇药王庙村承德昊天硬质合金制品有限公司院内</w:t>
                  </w:r>
                  <w:r>
                    <w:rPr>
                      <w:rFonts w:ascii="宋体" w:hAnsi="宋体" w:cs="宋体"/>
                      <w:color w:val="000000"/>
                      <w:kern w:val="0"/>
                      <w:szCs w:val="21"/>
                      <w:lang w:bidi="ar"/>
                    </w:rPr>
                    <w:t>，周围无自然保护区、风景名胜区、生活饮用水源地和其它特别需要保护的环境敏感目标，项目占地不占用生态保护红线范围，</w:t>
                  </w:r>
                  <w:r>
                    <w:rPr>
                      <w:rFonts w:hint="eastAsia" w:ascii="宋体" w:hAnsi="宋体" w:cs="宋体"/>
                      <w:color w:val="000000"/>
                      <w:kern w:val="0"/>
                      <w:szCs w:val="21"/>
                      <w:lang w:bidi="ar"/>
                    </w:rPr>
                    <w:t>最近的</w:t>
                  </w:r>
                  <w:r>
                    <w:rPr>
                      <w:rFonts w:ascii="宋体" w:hAnsi="宋体" w:cs="宋体"/>
                      <w:color w:val="000000"/>
                      <w:kern w:val="0"/>
                      <w:szCs w:val="21"/>
                      <w:lang w:bidi="ar"/>
                    </w:rPr>
                    <w:t>生态保护红线</w:t>
                  </w:r>
                  <w:r>
                    <w:rPr>
                      <w:rFonts w:hint="eastAsia" w:ascii="宋体" w:hAnsi="宋体" w:cs="宋体"/>
                      <w:color w:val="000000"/>
                      <w:kern w:val="0"/>
                      <w:szCs w:val="21"/>
                      <w:lang w:bidi="ar"/>
                    </w:rPr>
                    <w:t>在项目西南侧</w:t>
                  </w:r>
                  <w:r>
                    <w:rPr>
                      <w:rFonts w:hint="eastAsia" w:cs="宋体"/>
                      <w:color w:val="000000"/>
                      <w:kern w:val="0"/>
                      <w:szCs w:val="21"/>
                      <w:lang w:bidi="ar"/>
                    </w:rPr>
                    <w:t>120</w:t>
                  </w:r>
                  <w:r>
                    <w:rPr>
                      <w:rFonts w:cs="宋体"/>
                      <w:color w:val="000000"/>
                      <w:kern w:val="0"/>
                      <w:szCs w:val="21"/>
                      <w:lang w:bidi="ar"/>
                    </w:rPr>
                    <w:t>m</w:t>
                  </w:r>
                  <w:r>
                    <w:rPr>
                      <w:rFonts w:ascii="宋体" w:hAnsi="宋体" w:cs="宋体"/>
                      <w:color w:val="000000"/>
                      <w:kern w:val="0"/>
                      <w:szCs w:val="21"/>
                      <w:lang w:bidi="ar"/>
                    </w:rPr>
                    <w:t>。</w:t>
                  </w:r>
                </w:p>
              </w:tc>
              <w:tc>
                <w:tcPr>
                  <w:tcW w:w="477" w:type="pct"/>
                  <w:vAlign w:val="center"/>
                </w:tcPr>
                <w:p>
                  <w:pPr>
                    <w:adjustRightInd w:val="0"/>
                    <w:snapToGrid w:val="0"/>
                    <w:jc w:val="center"/>
                    <w:rPr>
                      <w:color w:val="FF0000"/>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adjustRightInd w:val="0"/>
                    <w:snapToGrid w:val="0"/>
                    <w:jc w:val="center"/>
                    <w:rPr>
                      <w:szCs w:val="21"/>
                    </w:rPr>
                  </w:pPr>
                  <w:r>
                    <w:rPr>
                      <w:rFonts w:hint="eastAsia" w:cs="宋体"/>
                      <w:color w:val="000000"/>
                      <w:kern w:val="0"/>
                      <w:szCs w:val="21"/>
                      <w:lang w:bidi="ar"/>
                    </w:rPr>
                    <w:t>2</w:t>
                  </w:r>
                  <w:r>
                    <w:rPr>
                      <w:rFonts w:hint="eastAsia" w:ascii="宋体" w:hAnsi="宋体" w:cs="宋体"/>
                      <w:color w:val="000000"/>
                      <w:kern w:val="0"/>
                      <w:szCs w:val="21"/>
                      <w:lang w:bidi="ar"/>
                    </w:rPr>
                    <w:t>.新建、扩建工业企业清洁生产水平不低于国内基本水平。</w:t>
                  </w:r>
                </w:p>
              </w:tc>
              <w:tc>
                <w:tcPr>
                  <w:tcW w:w="2112" w:type="pct"/>
                  <w:vAlign w:val="center"/>
                </w:tcPr>
                <w:p>
                  <w:pPr>
                    <w:adjustRightInd w:val="0"/>
                    <w:snapToGrid w:val="0"/>
                    <w:jc w:val="center"/>
                    <w:rPr>
                      <w:szCs w:val="21"/>
                    </w:rPr>
                  </w:pPr>
                  <w:r>
                    <w:rPr>
                      <w:rFonts w:hint="eastAsia"/>
                      <w:szCs w:val="21"/>
                    </w:rPr>
                    <w:t>项目为定点医院，不涉及生产。</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3</w:t>
                  </w:r>
                  <w:r>
                    <w:rPr>
                      <w:rFonts w:hint="eastAsia" w:ascii="宋体" w:hAnsi="宋体" w:cs="宋体"/>
                      <w:color w:val="000000"/>
                      <w:kern w:val="0"/>
                      <w:szCs w:val="21"/>
                      <w:lang w:bidi="ar"/>
                    </w:rPr>
                    <w:t>.新建大气排放工业企业应配套建设污染治理措施，现状不达标工业炉窑应限期关停淘汰。</w:t>
                  </w:r>
                </w:p>
              </w:tc>
              <w:tc>
                <w:tcPr>
                  <w:tcW w:w="2112" w:type="pct"/>
                  <w:vAlign w:val="center"/>
                </w:tcPr>
                <w:p>
                  <w:pPr>
                    <w:adjustRightInd w:val="0"/>
                    <w:snapToGrid w:val="0"/>
                    <w:jc w:val="center"/>
                    <w:rPr>
                      <w:szCs w:val="21"/>
                    </w:rPr>
                  </w:pPr>
                  <w:r>
                    <w:rPr>
                      <w:rFonts w:hint="eastAsia"/>
                      <w:szCs w:val="21"/>
                    </w:rPr>
                    <w:t>项目本身不产生大气污染物，在处理医疗污水和生活污水时会产生氨、硫化氢和臭气，但项目的废水全部依托隔壁方舱医院进行处理，方舱医院配备了处理氨、硫化氢和臭气的措施。</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4</w:t>
                  </w:r>
                  <w:r>
                    <w:rPr>
                      <w:rFonts w:hint="eastAsia" w:ascii="宋体" w:hAnsi="宋体" w:cs="宋体"/>
                      <w:color w:val="000000"/>
                      <w:kern w:val="0"/>
                      <w:szCs w:val="21"/>
                      <w:lang w:bidi="ar"/>
                    </w:rPr>
                    <w:t>.规划期间内实现固体废弃物无害化、资源化和减量化，生活垃圾无害化处理率达到</w:t>
                  </w:r>
                  <w:r>
                    <w:rPr>
                      <w:rFonts w:hint="eastAsia" w:cs="宋体"/>
                      <w:color w:val="000000"/>
                      <w:kern w:val="0"/>
                      <w:szCs w:val="21"/>
                      <w:lang w:bidi="ar"/>
                    </w:rPr>
                    <w:t>100</w:t>
                  </w:r>
                  <w:r>
                    <w:rPr>
                      <w:rFonts w:hint="eastAsia" w:ascii="宋体" w:hAnsi="宋体" w:cs="宋体"/>
                      <w:color w:val="000000"/>
                      <w:kern w:val="0"/>
                      <w:szCs w:val="21"/>
                      <w:lang w:bidi="ar"/>
                    </w:rPr>
                    <w:t>%，固体废物处置处理率达到</w:t>
                  </w:r>
                  <w:r>
                    <w:rPr>
                      <w:rFonts w:hint="eastAsia" w:cs="宋体"/>
                      <w:color w:val="000000"/>
                      <w:kern w:val="0"/>
                      <w:szCs w:val="21"/>
                      <w:lang w:bidi="ar"/>
                    </w:rPr>
                    <w:t>100</w:t>
                  </w:r>
                  <w:r>
                    <w:rPr>
                      <w:rFonts w:hint="eastAsia" w:ascii="宋体" w:hAnsi="宋体" w:cs="宋体"/>
                      <w:color w:val="000000"/>
                      <w:kern w:val="0"/>
                      <w:szCs w:val="21"/>
                      <w:lang w:bidi="ar"/>
                    </w:rPr>
                    <w:t xml:space="preserve">%，妥善处置危险废物。 </w:t>
                  </w:r>
                </w:p>
              </w:tc>
              <w:tc>
                <w:tcPr>
                  <w:tcW w:w="2112" w:type="pct"/>
                  <w:vAlign w:val="center"/>
                </w:tcPr>
                <w:p>
                  <w:pPr>
                    <w:rPr>
                      <w:szCs w:val="21"/>
                    </w:rPr>
                  </w:pPr>
                  <w:r>
                    <w:rPr>
                      <w:szCs w:val="21"/>
                    </w:rPr>
                    <w:t>项目建设阶段固体废物主要为</w:t>
                  </w:r>
                  <w:r>
                    <w:rPr>
                      <w:rFonts w:hint="eastAsia"/>
                      <w:szCs w:val="21"/>
                    </w:rPr>
                    <w:t>建筑垃圾</w:t>
                  </w:r>
                  <w:r>
                    <w:rPr>
                      <w:szCs w:val="21"/>
                    </w:rPr>
                    <w:t>和生活垃圾。</w:t>
                  </w:r>
                  <w:r>
                    <w:rPr>
                      <w:rFonts w:hint="eastAsia"/>
                      <w:szCs w:val="21"/>
                    </w:rPr>
                    <w:t>建筑垃圾集中收集，运至当地政府部门指定建筑垃圾填埋场填埋处置；</w:t>
                  </w:r>
                  <w:r>
                    <w:rPr>
                      <w:szCs w:val="21"/>
                    </w:rPr>
                    <w:t>生活垃圾集中收集于固定的垃圾收集点，定期交由当地环卫部门处置。项目建设阶段固体废物最大限度的实现资源化利用，少量无回用价值的合理处置。</w:t>
                  </w:r>
                </w:p>
                <w:p>
                  <w:pPr>
                    <w:rPr>
                      <w:bCs/>
                      <w:szCs w:val="21"/>
                    </w:rPr>
                  </w:pPr>
                  <w:r>
                    <w:rPr>
                      <w:rFonts w:hint="eastAsia"/>
                      <w:bCs/>
                      <w:szCs w:val="21"/>
                    </w:rPr>
                    <w:t>项目运营期产生的固体废物主要为危险废物，包括医疗废物和感染类生活垃圾、医疗废物分类收集至相应容器，分类、分区暂存于医疗废物贮存间内，经消毒处理后，交由有资质单位处置。</w:t>
                  </w:r>
                </w:p>
                <w:p>
                  <w:pPr>
                    <w:rPr>
                      <w:szCs w:val="21"/>
                    </w:rPr>
                  </w:pPr>
                  <w:r>
                    <w:rPr>
                      <w:rFonts w:hint="eastAsia"/>
                      <w:bCs/>
                      <w:szCs w:val="21"/>
                    </w:rPr>
                    <w:t>感染类生活垃圾根据《国家卫生健康委办公厅关于做好新型冠状病毒感染的肺炎疫情期间医疗机构医疗废物管理工作的通知》（国卫办医函[2020]81号），医疗机构在诊疗新型冠状病毒感染的肺炎患者及疑似患者发热门诊和病区（房）产生的废弃物，包括医疗废物和生活垃圾，均应当按照医疗废物进行分类收集。根据《国家危险废物名录（2021年版）》感染类生活垃圾属于“HW01医疗废物”中的“841-001-01感染性废物”，收集至相应容器，分类、分区暂存于医疗废物贮存间内，经消毒处理后，定期交由有资质单位处置。</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5</w:t>
                  </w:r>
                  <w:r>
                    <w:rPr>
                      <w:rFonts w:hint="eastAsia" w:ascii="宋体" w:hAnsi="宋体" w:cs="宋体"/>
                      <w:color w:val="000000"/>
                      <w:kern w:val="0"/>
                      <w:szCs w:val="21"/>
                      <w:lang w:bidi="ar"/>
                    </w:rPr>
                    <w:t>.污水收集管网覆盖范围内除相关法律法规和标准规定必须单独设置排污口的情况外应全部纳入污水管网集中处理，现有的入河排污口应限期纳入污水管网。</w:t>
                  </w:r>
                </w:p>
              </w:tc>
              <w:tc>
                <w:tcPr>
                  <w:tcW w:w="2112" w:type="pct"/>
                  <w:vAlign w:val="center"/>
                </w:tcPr>
                <w:p>
                  <w:pPr>
                    <w:pStyle w:val="45"/>
                    <w:adjustRightInd w:val="0"/>
                    <w:snapToGrid w:val="0"/>
                    <w:spacing w:line="240" w:lineRule="auto"/>
                    <w:ind w:firstLine="0" w:firstLineChars="0"/>
                    <w:jc w:val="center"/>
                    <w:rPr>
                      <w:sz w:val="21"/>
                      <w:szCs w:val="21"/>
                    </w:rPr>
                  </w:pPr>
                  <w:r>
                    <w:rPr>
                      <w:rFonts w:hint="eastAsia"/>
                      <w:bCs/>
                      <w:sz w:val="21"/>
                      <w:szCs w:val="21"/>
                    </w:rPr>
                    <w:t>本项目运营期废水主要为医疗污水、生活污水，本项目所有废水全部由管道接到方舱医院的污水</w:t>
                  </w:r>
                  <w:r>
                    <w:rPr>
                      <w:rFonts w:hint="eastAsia"/>
                      <w:bCs/>
                      <w:sz w:val="21"/>
                      <w:szCs w:val="21"/>
                      <w:lang w:val="en-US" w:eastAsia="zh-CN"/>
                    </w:rPr>
                    <w:t>管道，和方舱医院污水一起排入方舱医院污水</w:t>
                  </w:r>
                  <w:r>
                    <w:rPr>
                      <w:rFonts w:hint="eastAsia"/>
                      <w:bCs/>
                      <w:sz w:val="21"/>
                      <w:szCs w:val="21"/>
                    </w:rPr>
                    <w:t>处理站，所有废水均不外排，废水经方舱医院内污水处理站处理后，通过城镇污水管网排入宽城碧水源环保有限公司污水处理厂进一步处理。</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6</w:t>
                  </w:r>
                  <w:r>
                    <w:rPr>
                      <w:rFonts w:hint="eastAsia" w:ascii="宋体" w:hAnsi="宋体" w:cs="宋体"/>
                      <w:color w:val="000000"/>
                      <w:kern w:val="0"/>
                      <w:szCs w:val="21"/>
                      <w:lang w:bidi="ar"/>
                    </w:rPr>
                    <w:t>.水泥灰岩行业，矿山应建有雨水截（排）水沟，地表径流经沉淀处理后污染物排放浓度不高于Ⅲ类水标准限值。</w:t>
                  </w:r>
                </w:p>
              </w:tc>
              <w:tc>
                <w:tcPr>
                  <w:tcW w:w="2112" w:type="pct"/>
                  <w:vAlign w:val="center"/>
                </w:tcPr>
                <w:p>
                  <w:pPr>
                    <w:adjustRightInd w:val="0"/>
                    <w:snapToGrid w:val="0"/>
                    <w:jc w:val="center"/>
                    <w:rPr>
                      <w:szCs w:val="21"/>
                    </w:rPr>
                  </w:pPr>
                  <w:r>
                    <w:rPr>
                      <w:rFonts w:hint="eastAsia"/>
                      <w:szCs w:val="21"/>
                    </w:rPr>
                    <w:t>项目不涉及水泥灰岩行业</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7</w:t>
                  </w:r>
                  <w:r>
                    <w:rPr>
                      <w:rFonts w:hint="eastAsia" w:ascii="宋体" w:hAnsi="宋体" w:cs="宋体"/>
                      <w:color w:val="000000"/>
                      <w:kern w:val="0"/>
                      <w:szCs w:val="21"/>
                      <w:lang w:bidi="ar"/>
                    </w:rPr>
                    <w:t>.冶金行业，矿山应单独或联合建立废水处理站，同时实现雨污分流、清污分流。矿区及贮存场应建有雨水截（排）水沟。铁矿山水污染物排放浓度不高于</w:t>
                  </w:r>
                  <w:r>
                    <w:rPr>
                      <w:rFonts w:hint="eastAsia" w:cs="宋体"/>
                      <w:color w:val="000000"/>
                      <w:kern w:val="0"/>
                      <w:szCs w:val="21"/>
                      <w:lang w:bidi="ar"/>
                    </w:rPr>
                    <w:t>GB</w:t>
                  </w:r>
                  <w:r>
                    <w:rPr>
                      <w:rFonts w:hint="eastAsia" w:ascii="宋体" w:hAnsi="宋体" w:cs="宋体"/>
                      <w:color w:val="000000"/>
                      <w:kern w:val="0"/>
                      <w:szCs w:val="21"/>
                      <w:lang w:bidi="ar"/>
                    </w:rPr>
                    <w:t xml:space="preserve"> </w:t>
                  </w:r>
                  <w:r>
                    <w:rPr>
                      <w:rFonts w:hint="eastAsia" w:cs="宋体"/>
                      <w:color w:val="000000"/>
                      <w:kern w:val="0"/>
                      <w:szCs w:val="21"/>
                      <w:lang w:bidi="ar"/>
                    </w:rPr>
                    <w:t>28661</w:t>
                  </w:r>
                  <w:r>
                    <w:rPr>
                      <w:rFonts w:hint="eastAsia" w:ascii="宋体" w:hAnsi="宋体" w:cs="宋体"/>
                      <w:color w:val="000000"/>
                      <w:kern w:val="0"/>
                      <w:szCs w:val="21"/>
                      <w:lang w:bidi="ar"/>
                    </w:rPr>
                    <w:t xml:space="preserve"> 规定的限值，排水量低于 </w:t>
                  </w:r>
                  <w:r>
                    <w:rPr>
                      <w:rFonts w:hint="eastAsia" w:cs="宋体"/>
                      <w:color w:val="000000"/>
                      <w:kern w:val="0"/>
                      <w:szCs w:val="21"/>
                      <w:lang w:bidi="ar"/>
                    </w:rPr>
                    <w:t>GB</w:t>
                  </w:r>
                  <w:r>
                    <w:rPr>
                      <w:rFonts w:hint="eastAsia" w:ascii="宋体" w:hAnsi="宋体" w:cs="宋体"/>
                      <w:color w:val="000000"/>
                      <w:kern w:val="0"/>
                      <w:szCs w:val="21"/>
                      <w:lang w:bidi="ar"/>
                    </w:rPr>
                    <w:t xml:space="preserve"> </w:t>
                  </w:r>
                  <w:r>
                    <w:rPr>
                      <w:rFonts w:hint="eastAsia" w:cs="宋体"/>
                      <w:color w:val="000000"/>
                      <w:kern w:val="0"/>
                      <w:szCs w:val="21"/>
                      <w:lang w:bidi="ar"/>
                    </w:rPr>
                    <w:t>28661</w:t>
                  </w:r>
                  <w:r>
                    <w:rPr>
                      <w:rFonts w:hint="eastAsia" w:ascii="宋体" w:hAnsi="宋体" w:cs="宋体"/>
                      <w:color w:val="000000"/>
                      <w:kern w:val="0"/>
                      <w:szCs w:val="21"/>
                      <w:lang w:bidi="ar"/>
                    </w:rPr>
                    <w:t xml:space="preserve"> 规定的产品基准排水量；锰矿和铬矿山水污染物排放浓度符合 </w:t>
                  </w:r>
                  <w:r>
                    <w:rPr>
                      <w:rFonts w:hint="eastAsia" w:cs="宋体"/>
                      <w:color w:val="000000"/>
                      <w:kern w:val="0"/>
                      <w:szCs w:val="21"/>
                      <w:lang w:bidi="ar"/>
                    </w:rPr>
                    <w:t>GB</w:t>
                  </w:r>
                  <w:r>
                    <w:rPr>
                      <w:rFonts w:hint="eastAsia" w:ascii="宋体" w:hAnsi="宋体" w:cs="宋体"/>
                      <w:color w:val="000000"/>
                      <w:kern w:val="0"/>
                      <w:szCs w:val="21"/>
                      <w:lang w:bidi="ar"/>
                    </w:rPr>
                    <w:t xml:space="preserve"> </w:t>
                  </w:r>
                  <w:r>
                    <w:rPr>
                      <w:rFonts w:hint="eastAsia" w:cs="宋体"/>
                      <w:color w:val="000000"/>
                      <w:kern w:val="0"/>
                      <w:szCs w:val="21"/>
                      <w:lang w:bidi="ar"/>
                    </w:rPr>
                    <w:t>3838</w:t>
                  </w:r>
                  <w:r>
                    <w:rPr>
                      <w:rFonts w:hint="eastAsia" w:ascii="宋体" w:hAnsi="宋体" w:cs="宋体"/>
                      <w:color w:val="000000"/>
                      <w:kern w:val="0"/>
                      <w:szCs w:val="21"/>
                      <w:lang w:bidi="ar"/>
                    </w:rPr>
                    <w:t xml:space="preserve"> 规定。 </w:t>
                  </w:r>
                </w:p>
              </w:tc>
              <w:tc>
                <w:tcPr>
                  <w:tcW w:w="2112" w:type="pct"/>
                  <w:vAlign w:val="center"/>
                </w:tcPr>
                <w:p>
                  <w:pPr>
                    <w:adjustRightInd w:val="0"/>
                    <w:snapToGrid w:val="0"/>
                    <w:jc w:val="center"/>
                    <w:rPr>
                      <w:szCs w:val="21"/>
                    </w:rPr>
                  </w:pPr>
                  <w:r>
                    <w:rPr>
                      <w:rFonts w:hint="eastAsia"/>
                      <w:szCs w:val="21"/>
                    </w:rPr>
                    <w:t>项目不涉及冶金行业</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8</w:t>
                  </w:r>
                  <w:r>
                    <w:rPr>
                      <w:rFonts w:hint="eastAsia" w:ascii="宋体" w:hAnsi="宋体" w:cs="宋体"/>
                      <w:color w:val="000000"/>
                      <w:kern w:val="0"/>
                      <w:szCs w:val="21"/>
                      <w:lang w:bidi="ar"/>
                    </w:rPr>
                    <w:t xml:space="preserve">.非金属矿行业，注重提升矿山选矿废水重复利用率，矿井水、选矿废水应采用洁净化、资源化技术和工艺合理处置。 </w:t>
                  </w:r>
                </w:p>
              </w:tc>
              <w:tc>
                <w:tcPr>
                  <w:tcW w:w="2112" w:type="pct"/>
                  <w:vAlign w:val="center"/>
                </w:tcPr>
                <w:p>
                  <w:pPr>
                    <w:adjustRightInd w:val="0"/>
                    <w:snapToGrid w:val="0"/>
                    <w:jc w:val="center"/>
                    <w:rPr>
                      <w:szCs w:val="21"/>
                    </w:rPr>
                  </w:pPr>
                  <w:r>
                    <w:rPr>
                      <w:rFonts w:hint="eastAsia"/>
                      <w:szCs w:val="21"/>
                    </w:rPr>
                    <w:t>项目不涉及非金属矿行业</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9</w:t>
                  </w:r>
                  <w:r>
                    <w:rPr>
                      <w:rFonts w:hint="eastAsia" w:ascii="宋体" w:hAnsi="宋体" w:cs="宋体"/>
                      <w:color w:val="000000"/>
                      <w:kern w:val="0"/>
                      <w:szCs w:val="21"/>
                      <w:lang w:bidi="ar"/>
                    </w:rPr>
                    <w:t xml:space="preserve">.有色金属行业，矿区应建有污水处理系统，实现雨污分、清污分流。尾矿库、排土场（废石堆场）应建有雨水截（排）水沟，淋溶水经处理后回用或达标排放。铜、镍、钴、铅、锌、锡、锑等重有色金属矿山应符合 </w:t>
                  </w:r>
                  <w:r>
                    <w:rPr>
                      <w:rFonts w:hint="eastAsia" w:cs="宋体"/>
                      <w:color w:val="000000"/>
                      <w:kern w:val="0"/>
                      <w:szCs w:val="21"/>
                      <w:lang w:bidi="ar"/>
                    </w:rPr>
                    <w:t>GB</w:t>
                  </w:r>
                  <w:r>
                    <w:rPr>
                      <w:rFonts w:hint="eastAsia" w:ascii="宋体" w:hAnsi="宋体" w:cs="宋体"/>
                      <w:color w:val="000000"/>
                      <w:kern w:val="0"/>
                      <w:szCs w:val="21"/>
                      <w:lang w:bidi="ar"/>
                    </w:rPr>
                    <w:t xml:space="preserve"> </w:t>
                  </w:r>
                  <w:r>
                    <w:rPr>
                      <w:rFonts w:hint="eastAsia" w:cs="宋体"/>
                      <w:color w:val="000000"/>
                      <w:kern w:val="0"/>
                      <w:szCs w:val="21"/>
                      <w:lang w:bidi="ar"/>
                    </w:rPr>
                    <w:t>25467</w:t>
                  </w:r>
                  <w:r>
                    <w:rPr>
                      <w:rFonts w:hint="eastAsia" w:ascii="宋体" w:hAnsi="宋体" w:cs="宋体"/>
                      <w:color w:val="000000"/>
                      <w:kern w:val="0"/>
                      <w:szCs w:val="21"/>
                      <w:lang w:bidi="ar"/>
                    </w:rPr>
                    <w:t xml:space="preserve">、 </w:t>
                  </w:r>
                </w:p>
                <w:p>
                  <w:pPr>
                    <w:widowControl/>
                    <w:jc w:val="left"/>
                    <w:rPr>
                      <w:szCs w:val="21"/>
                    </w:rPr>
                  </w:pPr>
                  <w:r>
                    <w:rPr>
                      <w:rFonts w:hint="eastAsia" w:cs="宋体"/>
                      <w:color w:val="000000"/>
                      <w:kern w:val="0"/>
                      <w:szCs w:val="21"/>
                      <w:lang w:bidi="ar"/>
                    </w:rPr>
                    <w:t>GB</w:t>
                  </w:r>
                  <w:r>
                    <w:rPr>
                      <w:rFonts w:hint="eastAsia" w:ascii="宋体" w:hAnsi="宋体" w:cs="宋体"/>
                      <w:color w:val="000000"/>
                      <w:kern w:val="0"/>
                      <w:szCs w:val="21"/>
                      <w:lang w:bidi="ar"/>
                    </w:rPr>
                    <w:t xml:space="preserve"> </w:t>
                  </w:r>
                  <w:r>
                    <w:rPr>
                      <w:rFonts w:hint="eastAsia" w:cs="宋体"/>
                      <w:color w:val="000000"/>
                      <w:kern w:val="0"/>
                      <w:szCs w:val="21"/>
                      <w:lang w:bidi="ar"/>
                    </w:rPr>
                    <w:t>25466</w:t>
                  </w:r>
                  <w:r>
                    <w:rPr>
                      <w:rFonts w:hint="eastAsia" w:ascii="宋体" w:hAnsi="宋体" w:cs="宋体"/>
                      <w:color w:val="000000"/>
                      <w:kern w:val="0"/>
                      <w:szCs w:val="21"/>
                      <w:lang w:bidi="ar"/>
                    </w:rPr>
                    <w:t>、</w:t>
                  </w:r>
                  <w:r>
                    <w:rPr>
                      <w:rFonts w:hint="eastAsia" w:cs="宋体"/>
                      <w:color w:val="000000"/>
                      <w:kern w:val="0"/>
                      <w:szCs w:val="21"/>
                      <w:lang w:bidi="ar"/>
                    </w:rPr>
                    <w:t>GB</w:t>
                  </w:r>
                  <w:r>
                    <w:rPr>
                      <w:rFonts w:hint="eastAsia" w:ascii="宋体" w:hAnsi="宋体" w:cs="宋体"/>
                      <w:color w:val="000000"/>
                      <w:kern w:val="0"/>
                      <w:szCs w:val="21"/>
                      <w:lang w:bidi="ar"/>
                    </w:rPr>
                    <w:t xml:space="preserve"> </w:t>
                  </w:r>
                  <w:r>
                    <w:rPr>
                      <w:rFonts w:hint="eastAsia" w:cs="宋体"/>
                      <w:color w:val="000000"/>
                      <w:kern w:val="0"/>
                      <w:szCs w:val="21"/>
                      <w:lang w:bidi="ar"/>
                    </w:rPr>
                    <w:t>30770</w:t>
                  </w:r>
                  <w:r>
                    <w:rPr>
                      <w:rFonts w:hint="eastAsia" w:ascii="宋体" w:hAnsi="宋体" w:cs="宋体"/>
                      <w:color w:val="000000"/>
                      <w:kern w:val="0"/>
                      <w:szCs w:val="21"/>
                      <w:lang w:bidi="ar"/>
                    </w:rPr>
                    <w:t xml:space="preserve"> 规定的要求。</w:t>
                  </w:r>
                </w:p>
              </w:tc>
              <w:tc>
                <w:tcPr>
                  <w:tcW w:w="2112" w:type="pct"/>
                  <w:vAlign w:val="center"/>
                </w:tcPr>
                <w:p>
                  <w:pPr>
                    <w:adjustRightInd w:val="0"/>
                    <w:snapToGrid w:val="0"/>
                    <w:jc w:val="center"/>
                    <w:rPr>
                      <w:szCs w:val="21"/>
                    </w:rPr>
                  </w:pPr>
                  <w:r>
                    <w:rPr>
                      <w:rFonts w:hint="eastAsia"/>
                      <w:szCs w:val="21"/>
                    </w:rPr>
                    <w:t>项目不涉及有色金属行业</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10</w:t>
                  </w:r>
                  <w:r>
                    <w:rPr>
                      <w:rFonts w:hint="eastAsia" w:ascii="宋体" w:hAnsi="宋体" w:cs="宋体"/>
                      <w:color w:val="000000"/>
                      <w:kern w:val="0"/>
                      <w:szCs w:val="21"/>
                      <w:lang w:bidi="ar"/>
                    </w:rPr>
                    <w:t>.新建和生产矿山逐步实现全面治理、全面复垦，加快推进闭坑和历史遗留矿山地质环境治理和土地复垦工程。矿山企业利用尾砂充填技术治理矿山采空区，大力推广使用符合质量标准和使用条件的尾砂综合利用产品，积极开展尾砂资源综合利用，减少尾砂排放。</w:t>
                  </w:r>
                </w:p>
              </w:tc>
              <w:tc>
                <w:tcPr>
                  <w:tcW w:w="2112" w:type="pct"/>
                  <w:vAlign w:val="center"/>
                </w:tcPr>
                <w:p>
                  <w:pPr>
                    <w:adjustRightInd w:val="0"/>
                    <w:snapToGrid w:val="0"/>
                    <w:jc w:val="center"/>
                    <w:rPr>
                      <w:szCs w:val="21"/>
                    </w:rPr>
                  </w:pPr>
                  <w:r>
                    <w:rPr>
                      <w:rFonts w:hint="eastAsia"/>
                      <w:szCs w:val="21"/>
                    </w:rPr>
                    <w:t>项目不涉及新建和生产矿山</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11</w:t>
                  </w:r>
                  <w:r>
                    <w:rPr>
                      <w:rFonts w:hint="eastAsia" w:ascii="宋体" w:hAnsi="宋体" w:cs="宋体"/>
                      <w:color w:val="000000"/>
                      <w:kern w:val="0"/>
                      <w:szCs w:val="21"/>
                      <w:lang w:bidi="ar"/>
                    </w:rPr>
                    <w:t>.严格落实规划环评及其批复文件制定的环境风险防范措施。开发区及入区企业需组织编制《环境风险应急预案》，成立应急组织机构，定期开展应急演练，提高区域环境风险防范能力。</w:t>
                  </w:r>
                </w:p>
              </w:tc>
              <w:tc>
                <w:tcPr>
                  <w:tcW w:w="2112" w:type="pct"/>
                  <w:vAlign w:val="center"/>
                </w:tcPr>
                <w:p>
                  <w:pPr>
                    <w:adjustRightInd w:val="0"/>
                    <w:snapToGrid w:val="0"/>
                    <w:jc w:val="center"/>
                    <w:rPr>
                      <w:szCs w:val="21"/>
                    </w:rPr>
                  </w:pPr>
                  <w:r>
                    <w:rPr>
                      <w:szCs w:val="21"/>
                    </w:rPr>
                    <w:t>企业</w:t>
                  </w:r>
                  <w:r>
                    <w:rPr>
                      <w:rFonts w:hint="eastAsia"/>
                      <w:szCs w:val="21"/>
                    </w:rPr>
                    <w:t>应</w:t>
                  </w:r>
                  <w:r>
                    <w:rPr>
                      <w:szCs w:val="21"/>
                    </w:rPr>
                    <w:t>按要求编制《突发环境事件应急预案》，按预案落实相关要求并定期进行应急演练</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12</w:t>
                  </w:r>
                  <w:r>
                    <w:rPr>
                      <w:rFonts w:hint="eastAsia" w:ascii="宋体" w:hAnsi="宋体" w:cs="宋体"/>
                      <w:color w:val="000000"/>
                      <w:kern w:val="0"/>
                      <w:szCs w:val="21"/>
                      <w:lang w:bidi="ar"/>
                    </w:rPr>
                    <w:t>.以尾矿库为核心风险源，切实加强矿山环境风险管控，确保流域水环境安全。鼓励采用改进破碎系统、提高干选比例，降低 选矿耗水量，减少尾矿湿排；推进尾矿干堆技术，降低溃坝风险。</w:t>
                  </w:r>
                </w:p>
              </w:tc>
              <w:tc>
                <w:tcPr>
                  <w:tcW w:w="2112" w:type="pct"/>
                  <w:vAlign w:val="center"/>
                </w:tcPr>
                <w:p>
                  <w:pPr>
                    <w:adjustRightInd w:val="0"/>
                    <w:snapToGrid w:val="0"/>
                    <w:jc w:val="center"/>
                    <w:rPr>
                      <w:szCs w:val="21"/>
                    </w:rPr>
                  </w:pPr>
                  <w:r>
                    <w:rPr>
                      <w:rFonts w:hint="eastAsia"/>
                      <w:szCs w:val="21"/>
                    </w:rPr>
                    <w:t>项目不涉及</w:t>
                  </w:r>
                  <w:r>
                    <w:rPr>
                      <w:rFonts w:hint="eastAsia" w:ascii="宋体" w:hAnsi="宋体" w:cs="宋体"/>
                      <w:color w:val="000000"/>
                      <w:kern w:val="0"/>
                      <w:szCs w:val="21"/>
                      <w:lang w:bidi="ar"/>
                    </w:rPr>
                    <w:t>以尾矿库为核心风险源</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13</w:t>
                  </w:r>
                  <w:r>
                    <w:rPr>
                      <w:rFonts w:hint="eastAsia" w:ascii="宋体" w:hAnsi="宋体" w:cs="宋体"/>
                      <w:color w:val="000000"/>
                      <w:kern w:val="0"/>
                      <w:szCs w:val="21"/>
                      <w:lang w:bidi="ar"/>
                    </w:rPr>
                    <w:t>.生产、储存危险化学品的企业事业单位，应当采取措施，防止消防废水、废液直接排入水体。</w:t>
                  </w:r>
                </w:p>
              </w:tc>
              <w:tc>
                <w:tcPr>
                  <w:tcW w:w="2112" w:type="pct"/>
                  <w:vAlign w:val="center"/>
                </w:tcPr>
                <w:p>
                  <w:pPr>
                    <w:adjustRightInd w:val="0"/>
                    <w:snapToGrid w:val="0"/>
                    <w:jc w:val="center"/>
                    <w:rPr>
                      <w:szCs w:val="21"/>
                    </w:rPr>
                  </w:pPr>
                  <w:r>
                    <w:rPr>
                      <w:rFonts w:hint="eastAsia"/>
                      <w:szCs w:val="21"/>
                    </w:rPr>
                    <w:t>项目不生产、储存危险化学品</w:t>
                  </w:r>
                </w:p>
              </w:tc>
              <w:tc>
                <w:tcPr>
                  <w:tcW w:w="477"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vMerge w:val="continue"/>
                  <w:vAlign w:val="center"/>
                </w:tcPr>
                <w:p>
                  <w:pPr>
                    <w:adjustRightInd w:val="0"/>
                    <w:snapToGrid w:val="0"/>
                    <w:jc w:val="center"/>
                    <w:rPr>
                      <w:color w:val="FF0000"/>
                      <w:szCs w:val="21"/>
                    </w:rPr>
                  </w:pPr>
                </w:p>
              </w:tc>
              <w:tc>
                <w:tcPr>
                  <w:tcW w:w="1204" w:type="pct"/>
                  <w:vAlign w:val="center"/>
                </w:tcPr>
                <w:p>
                  <w:pPr>
                    <w:widowControl/>
                    <w:jc w:val="left"/>
                    <w:rPr>
                      <w:szCs w:val="21"/>
                    </w:rPr>
                  </w:pPr>
                  <w:r>
                    <w:rPr>
                      <w:rFonts w:hint="eastAsia" w:cs="宋体"/>
                      <w:color w:val="000000"/>
                      <w:kern w:val="0"/>
                      <w:szCs w:val="21"/>
                      <w:lang w:bidi="ar"/>
                    </w:rPr>
                    <w:t>14</w:t>
                  </w:r>
                  <w:r>
                    <w:rPr>
                      <w:rFonts w:hint="eastAsia" w:ascii="宋体" w:hAnsi="宋体" w:cs="宋体"/>
                      <w:color w:val="000000"/>
                      <w:kern w:val="0"/>
                      <w:szCs w:val="21"/>
                      <w:lang w:bidi="ar"/>
                    </w:rPr>
                    <w:t>.发生突发事件可能造成土壤污染的，应当立即采取应急措施，防止土壤污染，并做好土壤污染状况监测、调查和土壤污染风险评估、风险管控、修复等工作</w:t>
                  </w:r>
                </w:p>
              </w:tc>
              <w:tc>
                <w:tcPr>
                  <w:tcW w:w="2112" w:type="pct"/>
                  <w:vAlign w:val="center"/>
                </w:tcPr>
                <w:p>
                  <w:pPr>
                    <w:adjustRightInd w:val="0"/>
                    <w:snapToGrid w:val="0"/>
                    <w:jc w:val="center"/>
                    <w:rPr>
                      <w:szCs w:val="21"/>
                    </w:rPr>
                  </w:pPr>
                  <w:r>
                    <w:rPr>
                      <w:rFonts w:hint="eastAsia"/>
                      <w:szCs w:val="21"/>
                    </w:rPr>
                    <w:t>项目发生突发事件不会造成土壤污染</w:t>
                  </w:r>
                </w:p>
              </w:tc>
              <w:tc>
                <w:tcPr>
                  <w:tcW w:w="477" w:type="pct"/>
                  <w:vAlign w:val="center"/>
                </w:tcPr>
                <w:p>
                  <w:pPr>
                    <w:adjustRightInd w:val="0"/>
                    <w:snapToGrid w:val="0"/>
                    <w:jc w:val="center"/>
                    <w:rPr>
                      <w:szCs w:val="21"/>
                    </w:rPr>
                  </w:pPr>
                  <w:r>
                    <w:rPr>
                      <w:szCs w:val="21"/>
                    </w:rPr>
                    <w:t>符合</w:t>
                  </w:r>
                </w:p>
              </w:tc>
            </w:tr>
          </w:tbl>
          <w:p>
            <w:pPr>
              <w:snapToGrid w:val="0"/>
              <w:spacing w:before="120" w:beforeLines="50" w:line="360" w:lineRule="auto"/>
              <w:ind w:firstLine="482"/>
              <w:rPr>
                <w:sz w:val="24"/>
              </w:rPr>
            </w:pPr>
            <w:r>
              <w:rPr>
                <w:rFonts w:hint="eastAsia"/>
                <w:sz w:val="24"/>
              </w:rPr>
              <w:t>承德市环境管控单元图见下图：</w:t>
            </w:r>
          </w:p>
          <w:p>
            <w:pPr>
              <w:jc w:val="center"/>
              <w:rPr>
                <w:b/>
                <w:bCs/>
                <w:kern w:val="0"/>
                <w:sz w:val="24"/>
              </w:rPr>
            </w:pPr>
            <w:r>
              <w:rPr>
                <w:rFonts w:hint="eastAsia"/>
                <w:b/>
                <w:bCs/>
                <w:kern w:val="0"/>
                <w:sz w:val="24"/>
              </w:rPr>
              <w:drawing>
                <wp:inline distT="0" distB="0" distL="114300" distR="114300">
                  <wp:extent cx="5170170" cy="3735070"/>
                  <wp:effectExtent l="0" t="0" r="11430" b="17780"/>
                  <wp:docPr id="1" name="图片 4" descr="lQLPJxaCiZWrhybNAi3NAwOwnDYRY9s8ue4C1vBYfMCiAA_771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lQLPJxaCiZWrhybNAi3NAwOwnDYRY9s8ue4C1vBYfMCiAA_771_557"/>
                          <pic:cNvPicPr>
                            <a:picLocks noChangeAspect="1"/>
                          </pic:cNvPicPr>
                        </pic:nvPicPr>
                        <pic:blipFill>
                          <a:blip r:embed="rId11"/>
                          <a:stretch>
                            <a:fillRect/>
                          </a:stretch>
                        </pic:blipFill>
                        <pic:spPr>
                          <a:xfrm>
                            <a:off x="0" y="0"/>
                            <a:ext cx="5170170" cy="3735070"/>
                          </a:xfrm>
                          <a:prstGeom prst="rect">
                            <a:avLst/>
                          </a:prstGeom>
                          <a:noFill/>
                          <a:ln>
                            <a:noFill/>
                          </a:ln>
                        </pic:spPr>
                      </pic:pic>
                    </a:graphicData>
                  </a:graphic>
                </wp:inline>
              </w:drawing>
            </w:r>
            <w:r>
              <w:rPr>
                <w:rFonts w:hint="eastAsia"/>
                <w:b/>
                <w:bCs/>
                <w:kern w:val="0"/>
                <w:sz w:val="24"/>
              </w:rPr>
              <w:drawing>
                <wp:inline distT="0" distB="0" distL="114300" distR="114300">
                  <wp:extent cx="5173980" cy="3785870"/>
                  <wp:effectExtent l="0" t="0" r="7620" b="5080"/>
                  <wp:docPr id="2" name="图片 5" descr="lQLPJxaCiZWrhvXNAi_NAvywYvQMoR3c_CEC1vBYekBaAA_764_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lQLPJxaCiZWrhvXNAi_NAvywYvQMoR3c_CEC1vBYekBaAA_764_559"/>
                          <pic:cNvPicPr>
                            <a:picLocks noChangeAspect="1"/>
                          </pic:cNvPicPr>
                        </pic:nvPicPr>
                        <pic:blipFill>
                          <a:blip r:embed="rId12"/>
                          <a:stretch>
                            <a:fillRect/>
                          </a:stretch>
                        </pic:blipFill>
                        <pic:spPr>
                          <a:xfrm>
                            <a:off x="0" y="0"/>
                            <a:ext cx="5173980" cy="3785870"/>
                          </a:xfrm>
                          <a:prstGeom prst="rect">
                            <a:avLst/>
                          </a:prstGeom>
                          <a:noFill/>
                          <a:ln>
                            <a:noFill/>
                          </a:ln>
                        </pic:spPr>
                      </pic:pic>
                    </a:graphicData>
                  </a:graphic>
                </wp:inline>
              </w:drawing>
            </w:r>
            <w:r>
              <w:rPr>
                <w:rFonts w:hint="eastAsia"/>
                <w:b/>
                <w:bCs/>
                <w:kern w:val="0"/>
                <w:sz w:val="24"/>
              </w:rPr>
              <w:drawing>
                <wp:inline distT="0" distB="0" distL="114300" distR="114300">
                  <wp:extent cx="5173980" cy="3846830"/>
                  <wp:effectExtent l="0" t="0" r="7620" b="1270"/>
                  <wp:docPr id="3" name="图片 6" descr="lQLPJxaCiZWrhw7NAjjNAvywGjfB0A9jVRQC1vBYfEBCAA_764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lQLPJxaCiZWrhw7NAjjNAvywGjfB0A9jVRQC1vBYfEBCAA_764_568"/>
                          <pic:cNvPicPr>
                            <a:picLocks noChangeAspect="1"/>
                          </pic:cNvPicPr>
                        </pic:nvPicPr>
                        <pic:blipFill>
                          <a:blip r:embed="rId13"/>
                          <a:stretch>
                            <a:fillRect/>
                          </a:stretch>
                        </pic:blipFill>
                        <pic:spPr>
                          <a:xfrm>
                            <a:off x="0" y="0"/>
                            <a:ext cx="5173980" cy="3846830"/>
                          </a:xfrm>
                          <a:prstGeom prst="rect">
                            <a:avLst/>
                          </a:prstGeom>
                          <a:noFill/>
                          <a:ln>
                            <a:noFill/>
                          </a:ln>
                        </pic:spPr>
                      </pic:pic>
                    </a:graphicData>
                  </a:graphic>
                </wp:inline>
              </w:drawing>
            </w:r>
          </w:p>
          <w:p>
            <w:pPr>
              <w:pStyle w:val="46"/>
              <w:tabs>
                <w:tab w:val="left" w:pos="0"/>
                <w:tab w:val="left" w:pos="420"/>
              </w:tabs>
              <w:spacing w:before="120" w:beforeLines="50" w:after="120" w:afterLines="50"/>
              <w:jc w:val="center"/>
              <w:rPr>
                <w:rFonts w:ascii="Times New Roman" w:cs="Times New Roman"/>
                <w:b/>
                <w:color w:val="auto"/>
                <w:sz w:val="21"/>
                <w:szCs w:val="21"/>
              </w:rPr>
            </w:pPr>
            <w:r>
              <w:rPr>
                <w:rFonts w:hint="eastAsia" w:ascii="Times New Roman" w:cs="Times New Roman"/>
                <w:b/>
                <w:color w:val="auto"/>
                <w:sz w:val="21"/>
                <w:szCs w:val="21"/>
              </w:rPr>
              <w:t>图 1-1 承德市环境管控单元图</w:t>
            </w:r>
          </w:p>
          <w:p>
            <w:pPr>
              <w:pStyle w:val="45"/>
              <w:snapToGrid w:val="0"/>
              <w:ind w:firstLine="480"/>
              <w:rPr>
                <w:szCs w:val="24"/>
              </w:rPr>
            </w:pPr>
            <w:r>
              <w:rPr>
                <w:szCs w:val="24"/>
              </w:rPr>
              <w:t>项目符合《承德市人民政府关于加快实施“三线一单”生态环境分区管控的意见》。</w:t>
            </w:r>
          </w:p>
          <w:p>
            <w:pPr>
              <w:pStyle w:val="45"/>
              <w:snapToGrid w:val="0"/>
              <w:ind w:firstLine="480"/>
              <w:rPr>
                <w:szCs w:val="24"/>
              </w:rPr>
            </w:pPr>
            <w:r>
              <w:rPr>
                <w:rFonts w:hint="eastAsia"/>
                <w:szCs w:val="24"/>
              </w:rPr>
              <w:t>（6）</w:t>
            </w:r>
            <w:r>
              <w:rPr>
                <w:szCs w:val="24"/>
              </w:rPr>
              <w:t>小结</w:t>
            </w:r>
          </w:p>
          <w:p>
            <w:pPr>
              <w:pStyle w:val="45"/>
              <w:snapToGrid w:val="0"/>
              <w:ind w:firstLine="480"/>
              <w:rPr>
                <w:szCs w:val="24"/>
              </w:rPr>
            </w:pPr>
            <w:r>
              <w:rPr>
                <w:szCs w:val="24"/>
              </w:rPr>
              <w:t>综上所述，项目符合《关于以改善环境质量为核心加强环境影响评价管理的通知》（环评[2016]150号）、《承德市人民政府关于加快实施“三线一单”生态环境分区管控的意见》（</w:t>
            </w:r>
            <w:r>
              <w:rPr>
                <w:rFonts w:hint="eastAsia"/>
                <w:szCs w:val="24"/>
              </w:rPr>
              <w:t>承德市人民政府2021年6月18发布</w:t>
            </w:r>
            <w:r>
              <w:rPr>
                <w:szCs w:val="24"/>
              </w:rPr>
              <w:t>）的环境管理要求。</w:t>
            </w:r>
          </w:p>
          <w:p>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2、</w:t>
            </w:r>
            <w:r>
              <w:rPr>
                <w:b/>
                <w:bCs/>
                <w:kern w:val="0"/>
                <w:sz w:val="24"/>
              </w:rPr>
              <w:t>产业政策符合性</w:t>
            </w:r>
          </w:p>
          <w:p>
            <w:pPr>
              <w:snapToGrid w:val="0"/>
              <w:spacing w:before="120" w:beforeLines="50" w:line="360" w:lineRule="auto"/>
              <w:ind w:firstLine="480" w:firstLineChars="200"/>
              <w:rPr>
                <w:color w:val="FF0000"/>
              </w:rPr>
            </w:pPr>
            <w:r>
              <w:rPr>
                <w:sz w:val="24"/>
              </w:rPr>
              <w:t>项目为</w:t>
            </w:r>
            <w:r>
              <w:rPr>
                <w:rFonts w:hint="eastAsia"/>
                <w:sz w:val="24"/>
              </w:rPr>
              <w:t>定点医院</w:t>
            </w:r>
            <w:r>
              <w:rPr>
                <w:sz w:val="24"/>
              </w:rPr>
              <w:t>建设项目，对照《国民经济行业分类》（GB/T4754-2017）及2019年修改单，项目的类别属于：</w:t>
            </w:r>
            <w:r>
              <w:rPr>
                <w:rFonts w:hint="eastAsia"/>
                <w:sz w:val="24"/>
              </w:rPr>
              <w:t>Q8432专科疾病防治院（所、站）</w:t>
            </w:r>
            <w:r>
              <w:rPr>
                <w:sz w:val="24"/>
              </w:rPr>
              <w:t>。项目不属于《产业结构调整指导目录（2019年本）》中的限制类和淘汰类项目，属于允许类项目。项目涉及到的生产设备及生产工艺不属于《高耗能落后机电设备（产品）淘汰目录》中的高耗能落后机电设备（产品），也不属于《部分工业行业淘汰落后生产工艺装备和产品指导目录（2010年本）》中的淘汰落后类工艺装备，同时，项目未列入《市场准入负面清单（202</w:t>
            </w:r>
            <w:r>
              <w:rPr>
                <w:rFonts w:hint="eastAsia"/>
                <w:sz w:val="24"/>
              </w:rPr>
              <w:t>2</w:t>
            </w:r>
            <w:r>
              <w:rPr>
                <w:sz w:val="24"/>
              </w:rPr>
              <w:t>年版）》。</w:t>
            </w:r>
          </w:p>
          <w:p>
            <w:pPr>
              <w:pStyle w:val="45"/>
              <w:snapToGrid w:val="0"/>
              <w:ind w:firstLine="482"/>
              <w:rPr>
                <w:b/>
                <w:bCs/>
              </w:rPr>
            </w:pPr>
            <w:r>
              <w:rPr>
                <w:rFonts w:hint="eastAsia"/>
                <w:b/>
                <w:bCs/>
              </w:rPr>
              <w:t>3、</w:t>
            </w:r>
            <w:r>
              <w:rPr>
                <w:b/>
                <w:bCs/>
              </w:rPr>
              <w:t>与相关规划符合性分析</w:t>
            </w:r>
          </w:p>
          <w:p>
            <w:pPr>
              <w:snapToGrid w:val="0"/>
              <w:spacing w:before="120" w:beforeLines="50" w:line="360" w:lineRule="auto"/>
              <w:ind w:firstLine="480" w:firstLineChars="200"/>
              <w:rPr>
                <w:sz w:val="24"/>
              </w:rPr>
            </w:pPr>
            <w:r>
              <w:rPr>
                <w:sz w:val="24"/>
              </w:rPr>
              <w:t>（1）项目与《河北生态功能区划》的相符性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sz w:val="24"/>
              </w:rPr>
              <w:t>根据《河北生态功能区划》，</w:t>
            </w:r>
            <w:r>
              <w:rPr>
                <w:rFonts w:hint="eastAsia"/>
                <w:sz w:val="24"/>
              </w:rPr>
              <w:t>生态功能区划过程中，首先按地貌、水热组合等自然条件划分出4大生态区，即坝上高原生态区、河北山地生态区、河北平原生态区、渤海海岸海域生态区。在明确生态区的基础上，按前述区划原则进一步细划为10个生态亚区，31个生态功能区，</w:t>
            </w:r>
            <w:r>
              <w:rPr>
                <w:sz w:val="24"/>
              </w:rPr>
              <w:t>项目所在地宽城县处于</w:t>
            </w:r>
            <w:r>
              <w:rPr>
                <w:rFonts w:hint="eastAsia"/>
                <w:sz w:val="24"/>
              </w:rPr>
              <w:t>河北山地生态区，冀北及燕山山地森林亚区，燕山山地南部林果与水土保持、水源涵养生态服务功能区，燕山山地南部林果与水土保持、水源涵养生态服务功能区的发展方向其中一条为：“发展生态林业、生态农业、生态旅游业及农林产品深加工业，倡导区内实施生态工业，发展循环经济，积极治理城市与工业污染，提高区域生态系统服务功能</w:t>
            </w:r>
            <w:r>
              <w:rPr>
                <w:rFonts w:hint="eastAsia"/>
                <w:sz w:val="24"/>
                <w:lang w:eastAsia="zh-CN"/>
              </w:rPr>
              <w:t>。</w:t>
            </w:r>
            <w:r>
              <w:rPr>
                <w:rFonts w:hint="eastAsia"/>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本项目为传染疾病隔离医院，可以加强对疾病的预防控制，创造健康环境，维护社会稳定，促进人民健康，间接促进生态旅游业的发展，符合该规划要求</w:t>
            </w:r>
            <w:r>
              <w:rPr>
                <w:sz w:val="24"/>
              </w:rPr>
              <w:t>。</w:t>
            </w:r>
          </w:p>
          <w:p>
            <w:pPr>
              <w:snapToGrid w:val="0"/>
              <w:spacing w:before="120" w:beforeLines="50" w:line="360" w:lineRule="auto"/>
              <w:ind w:firstLine="480" w:firstLineChars="200"/>
              <w:rPr>
                <w:sz w:val="24"/>
              </w:rPr>
            </w:pPr>
            <w:r>
              <w:rPr>
                <w:sz w:val="24"/>
              </w:rPr>
              <w:t>（2）项目与《承德市生态功能区划》的相符性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sz w:val="24"/>
              </w:rPr>
              <w:t>根据《承德市生态功能区划》（2010年4月）（承德市环境保护局），本项目位于</w:t>
            </w:r>
            <w:r>
              <w:rPr>
                <w:rFonts w:hint="eastAsia"/>
                <w:sz w:val="24"/>
              </w:rPr>
              <w:t>龙须门镇药王庙村</w:t>
            </w:r>
            <w:r>
              <w:rPr>
                <w:sz w:val="24"/>
              </w:rPr>
              <w:t>，</w:t>
            </w:r>
            <w:r>
              <w:rPr>
                <w:rFonts w:hint="eastAsia"/>
                <w:sz w:val="24"/>
              </w:rPr>
              <w:t>龙须门镇属于</w:t>
            </w:r>
            <w:r>
              <w:rPr>
                <w:sz w:val="24"/>
              </w:rPr>
              <w:t>“</w:t>
            </w:r>
            <w:r>
              <w:rPr>
                <w:rFonts w:hint="eastAsia"/>
                <w:sz w:val="24"/>
              </w:rPr>
              <w:t>冀北及燕山山地生态区（</w:t>
            </w:r>
            <w:r>
              <w:rPr>
                <w:sz w:val="24"/>
              </w:rPr>
              <w:t>Ⅱ</w:t>
            </w:r>
            <w:r>
              <w:rPr>
                <w:rFonts w:hint="eastAsia"/>
                <w:sz w:val="24"/>
              </w:rPr>
              <w:t>）—城市规划发展亚区（</w:t>
            </w:r>
            <w:r>
              <w:rPr>
                <w:sz w:val="24"/>
              </w:rPr>
              <w:t>Ⅱ-3</w:t>
            </w:r>
            <w:r>
              <w:rPr>
                <w:rFonts w:hint="eastAsia"/>
                <w:sz w:val="24"/>
              </w:rPr>
              <w:t>）—承德、平泉、宽城水源涵养、水土流失重点治理区（</w:t>
            </w:r>
            <w:r>
              <w:rPr>
                <w:sz w:val="24"/>
              </w:rPr>
              <w:t>Ⅱ-3-3</w:t>
            </w:r>
            <w:r>
              <w:rPr>
                <w:rFonts w:hint="eastAsia"/>
                <w:sz w:val="24"/>
              </w:rPr>
              <w:t>）</w:t>
            </w:r>
            <w:r>
              <w:rPr>
                <w:sz w:val="24"/>
              </w:rPr>
              <w:t>”</w:t>
            </w:r>
            <w:r>
              <w:rPr>
                <w:rFonts w:hint="eastAsia"/>
                <w:sz w:val="24"/>
              </w:rPr>
              <w:t>，生态功能区面临的生态问题为：“水土流失严重，部分农村生态环境较差，部分地区为矿山开采区，土壤侵蚀敏感性严重。”生态功能区的建设方向为：“保护现有的森林资源，开展植树造林、绿化荒山、退耕还林、恢复植被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sz w:val="24"/>
              </w:rPr>
              <w:t>项目</w:t>
            </w:r>
            <w:r>
              <w:rPr>
                <w:rFonts w:hint="eastAsia"/>
                <w:sz w:val="24"/>
                <w:lang w:val="en-US" w:eastAsia="zh-CN"/>
              </w:rPr>
              <w:t>购买</w:t>
            </w:r>
            <w:r>
              <w:rPr>
                <w:rFonts w:hint="eastAsia"/>
                <w:sz w:val="24"/>
              </w:rPr>
              <w:t>原有闲置承德昊天硬质合金制品有限公司场地进行建设</w:t>
            </w:r>
            <w:r>
              <w:rPr>
                <w:sz w:val="24"/>
              </w:rPr>
              <w:t>，</w:t>
            </w:r>
            <w:r>
              <w:rPr>
                <w:rFonts w:hint="eastAsia"/>
                <w:sz w:val="24"/>
              </w:rPr>
              <w:t>不涉及农村生态环境和矿山开采区，不会加重生态功能区原有的环境问题。项目不涉及破坏森林资源，属于保护现有的森林资源，符合生态功能区的建设方向。项目</w:t>
            </w:r>
            <w:r>
              <w:rPr>
                <w:sz w:val="24"/>
              </w:rPr>
              <w:t>符合该规划相关要求。</w:t>
            </w:r>
          </w:p>
          <w:p>
            <w:pPr>
              <w:snapToGrid w:val="0"/>
              <w:spacing w:before="120" w:beforeLines="50" w:line="360" w:lineRule="auto"/>
              <w:ind w:firstLine="480" w:firstLineChars="200"/>
              <w:rPr>
                <w:sz w:val="24"/>
              </w:rPr>
            </w:pPr>
            <w:r>
              <w:rPr>
                <w:sz w:val="24"/>
              </w:rPr>
              <w:t>（3）《</w:t>
            </w:r>
            <w:r>
              <w:rPr>
                <w:rFonts w:hint="eastAsia"/>
                <w:sz w:val="24"/>
              </w:rPr>
              <w:t>承德市重点水源涵养生态功能保护区规划</w:t>
            </w:r>
            <w:r>
              <w:rPr>
                <w:sz w:val="24"/>
              </w:rPr>
              <w:t>》</w:t>
            </w:r>
          </w:p>
          <w:p>
            <w:pPr>
              <w:snapToGrid w:val="0"/>
              <w:spacing w:before="120" w:beforeLines="50" w:line="360" w:lineRule="auto"/>
              <w:ind w:firstLine="480" w:firstLineChars="200"/>
              <w:rPr>
                <w:rFonts w:hint="eastAsia"/>
                <w:sz w:val="24"/>
              </w:rPr>
            </w:pPr>
            <w:r>
              <w:rPr>
                <w:sz w:val="24"/>
              </w:rPr>
              <w:t>根据《承德市重点水源涵养生态功能保护区规划》（2010年4月）（承德市环境保护局），项目位于宽城满族自治县</w:t>
            </w:r>
            <w:r>
              <w:rPr>
                <w:rFonts w:hint="eastAsia"/>
                <w:sz w:val="24"/>
              </w:rPr>
              <w:t>龙须门镇药王庙村</w:t>
            </w:r>
            <w:r>
              <w:rPr>
                <w:sz w:val="24"/>
              </w:rPr>
              <w:t>，</w:t>
            </w:r>
            <w:r>
              <w:rPr>
                <w:rFonts w:hint="eastAsia"/>
                <w:sz w:val="24"/>
              </w:rPr>
              <w:t>龙须门镇</w:t>
            </w:r>
            <w:r>
              <w:rPr>
                <w:sz w:val="24"/>
              </w:rPr>
              <w:t>属于承德市京津水源地水源涵养重要区</w:t>
            </w:r>
            <w:r>
              <w:rPr>
                <w:rFonts w:hint="eastAsia"/>
                <w:sz w:val="24"/>
              </w:rPr>
              <w:t>、</w:t>
            </w:r>
            <w:r>
              <w:rPr>
                <w:sz w:val="24"/>
              </w:rPr>
              <w:t>承德市燕山山地水源涵养重要区。</w:t>
            </w:r>
            <w:r>
              <w:rPr>
                <w:rFonts w:hint="eastAsia"/>
                <w:sz w:val="24"/>
              </w:rPr>
              <w:t>规划在第十一章产业结构调整，生态产业发展规划中强调：“以生态旅游业及农业观光为龙头，把服务业作为保护区一大经济增长点。积极运用现代化的经营方式和经营理念，提高服务质量。”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sz w:val="24"/>
              </w:rPr>
              <w:t>本项目为新冠疫情定点医院，可以减轻新冠疫情对社会的影响，新冠疫情尽快解决，旅游服务业才能正常发展，本项目间接促进生态旅游业的发展，符合该规划要求</w:t>
            </w:r>
            <w:r>
              <w:rPr>
                <w:sz w:val="24"/>
              </w:rPr>
              <w:t>。</w:t>
            </w:r>
          </w:p>
          <w:p>
            <w:pPr>
              <w:snapToGrid w:val="0"/>
              <w:spacing w:before="120" w:beforeLines="50" w:line="360" w:lineRule="auto"/>
              <w:ind w:firstLine="480" w:firstLineChars="200"/>
              <w:rPr>
                <w:sz w:val="24"/>
              </w:rPr>
            </w:pPr>
            <w:r>
              <w:rPr>
                <w:sz w:val="24"/>
              </w:rPr>
              <w:t>（4）《宽城满族自治县城乡总体规划（2012-2030）》</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sz w:val="24"/>
              </w:rPr>
              <w:t>项目位于承德市宽城满族自治县</w:t>
            </w:r>
            <w:r>
              <w:rPr>
                <w:rFonts w:hint="eastAsia"/>
                <w:sz w:val="24"/>
              </w:rPr>
              <w:t>龙须门镇药王庙村</w:t>
            </w:r>
            <w:r>
              <w:rPr>
                <w:sz w:val="24"/>
              </w:rPr>
              <w:t>，</w:t>
            </w:r>
            <w:r>
              <w:rPr>
                <w:rFonts w:hint="eastAsia"/>
                <w:sz w:val="24"/>
              </w:rPr>
              <w:t>位于</w:t>
            </w:r>
            <w:r>
              <w:rPr>
                <w:sz w:val="24"/>
              </w:rPr>
              <w:t>瀑河城镇带范围</w:t>
            </w:r>
            <w:r>
              <w:rPr>
                <w:rFonts w:hint="eastAsia"/>
                <w:sz w:val="24"/>
              </w:rPr>
              <w:t>内，规划中强调，“要按照合理布局，集约发展的原则，整合空间资源，完善配套设施，提升城市功能，聚集优质产业，强化精细管理，逐步把宽城县建设成为经济繁荣，生态良好，空间有序，特色鲜明的现代化城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kern w:val="0"/>
                <w:szCs w:val="21"/>
              </w:rPr>
            </w:pPr>
            <w:r>
              <w:rPr>
                <w:rFonts w:hint="eastAsia"/>
                <w:sz w:val="24"/>
              </w:rPr>
              <w:t>本项目为传染疾病隔离医院，符合完善配套设施，提升城市功能这一目标，新冠疫情定点医院对减轻新冠疫情对经济带来的负面影响有很大帮助，符合将宽城县建设成为经济繁荣这一现代化城市的目标，故本项目符合规划。</w:t>
            </w:r>
          </w:p>
        </w:tc>
      </w:tr>
    </w:tbl>
    <w:p>
      <w:pPr>
        <w:spacing w:line="360" w:lineRule="auto"/>
        <w:outlineLvl w:val="0"/>
        <w:rPr>
          <w:rFonts w:eastAsia="黑体"/>
          <w:sz w:val="30"/>
        </w:rPr>
        <w:sectPr>
          <w:footerReference r:id="rId7" w:type="default"/>
          <w:pgSz w:w="11906" w:h="16838"/>
          <w:pgMar w:top="1701" w:right="1531" w:bottom="1701" w:left="1531" w:header="851" w:footer="1077" w:gutter="0"/>
          <w:pgNumType w:start="1"/>
          <w:cols w:space="720" w:num="1"/>
          <w:docGrid w:linePitch="312" w:charSpace="0"/>
        </w:sect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vAlign w:val="center"/>
          </w:tcPr>
          <w:p>
            <w:pPr>
              <w:pStyle w:val="15"/>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161" w:type="dxa"/>
          </w:tcPr>
          <w:p>
            <w:pPr>
              <w:numPr>
                <w:ilvl w:val="0"/>
                <w:numId w:val="3"/>
              </w:numPr>
              <w:adjustRightInd w:val="0"/>
              <w:snapToGrid w:val="0"/>
              <w:spacing w:line="360" w:lineRule="auto"/>
              <w:jc w:val="left"/>
              <w:rPr>
                <w:rFonts w:ascii="宋体" w:hAnsi="宋体" w:cs="宋体"/>
                <w:b/>
                <w:sz w:val="24"/>
              </w:rPr>
            </w:pPr>
            <w:r>
              <w:rPr>
                <w:rFonts w:ascii="宋体" w:hAnsi="宋体" w:cs="宋体"/>
                <w:b/>
                <w:sz w:val="24"/>
              </w:rPr>
              <w:t>工程内容</w:t>
            </w:r>
          </w:p>
          <w:p>
            <w:pPr>
              <w:pStyle w:val="45"/>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eastAsia="宋体"/>
                <w:color w:val="FF0000"/>
                <w:lang w:val="en-US" w:eastAsia="zh-CN"/>
              </w:rPr>
            </w:pPr>
            <w:r>
              <w:rPr>
                <w:rFonts w:hint="eastAsia"/>
                <w:color w:val="FF0000"/>
                <w:lang w:val="en-US" w:eastAsia="zh-CN"/>
              </w:rPr>
              <w:t>建设进度</w:t>
            </w:r>
          </w:p>
          <w:p>
            <w:pPr>
              <w:pStyle w:val="45"/>
              <w:ind w:firstLine="480"/>
              <w:rPr>
                <w:rFonts w:hint="default" w:eastAsia="宋体"/>
                <w:color w:val="FF0000"/>
                <w:lang w:val="en-US" w:eastAsia="zh-CN"/>
              </w:rPr>
            </w:pPr>
            <w:r>
              <w:rPr>
                <w:rFonts w:hint="eastAsia"/>
                <w:color w:val="FF0000"/>
                <w:lang w:val="en-US" w:eastAsia="zh-CN"/>
              </w:rPr>
              <w:t>本项目施工期为6月1日到6月30日，报告编制期间工程除部分设备未组装外已全部完成，据“河北省生态环境厅关于做好新型肺炎疫情防控期间有关建设项目环评审批与排污许可工作的通知”(冀环环评函[2020] 104号)，医院或配套污水处理项目，可按照“特事特办”原则先行开工建设，同步办理或限期补办环评审批手续。本项目为新型冠状病毒肺炎亚（准）定点救治医院项目，环评属于“同步办理”，符合“特事特办”原则。不属于“未批先建”，无须处罚。</w:t>
            </w:r>
            <w:r>
              <w:commentReference w:id="4"/>
            </w:r>
          </w:p>
          <w:p>
            <w:pPr>
              <w:pStyle w:val="45"/>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color w:val="FF0000"/>
                <w:lang w:val="en-US" w:eastAsia="zh-CN"/>
              </w:rPr>
            </w:pPr>
            <w:r>
              <w:rPr>
                <w:rFonts w:hint="eastAsia"/>
                <w:color w:val="FF0000"/>
                <w:lang w:val="en-US" w:eastAsia="zh-CN"/>
              </w:rPr>
              <w:t>项目总体说明</w:t>
            </w:r>
          </w:p>
          <w:p>
            <w:pPr>
              <w:pStyle w:val="45"/>
              <w:ind w:firstLine="480"/>
              <w:rPr>
                <w:rFonts w:hint="eastAsia"/>
                <w:color w:val="FF0000"/>
                <w:lang w:val="en-US" w:eastAsia="zh-CN"/>
              </w:rPr>
            </w:pPr>
            <w:r>
              <w:rPr>
                <w:rFonts w:hint="default"/>
                <w:color w:val="FF0000"/>
                <w:lang w:val="en-US" w:eastAsia="zh-CN"/>
              </w:rPr>
              <w:t>近年来，突发新发传染病不断涌现，SARS、禽流感、手足口病、甲型HlNl流感、新型冠状病毒肺炎等，这些疾病的出现对传染病医院诊疗能力提出了很高的要求。新型冠状病毒肺炎疫情发生后，国家明确提出将加快健全完善突发传染病医疗应急体系建设。新型冠状病毒肺炎目前仍在全球范围内持续流行，奥密克戎为主要流行株。此毒株传染性较强，但致病力有所减弱，感染者多为临床轻型和无症状感染者。《新型冠状病毒肺炎诊疗方案（试行第九版）》指出，对病例实施分类收治，临床轻型患者和无症状感染进行集中隔离管理</w:t>
            </w:r>
            <w:r>
              <w:rPr>
                <w:rFonts w:hint="eastAsia"/>
                <w:color w:val="FF0000"/>
                <w:lang w:val="en-US" w:eastAsia="zh-CN"/>
              </w:rPr>
              <w:t>，重症患者集中管理</w:t>
            </w:r>
            <w:r>
              <w:rPr>
                <w:rFonts w:hint="default"/>
                <w:color w:val="FF0000"/>
                <w:lang w:val="en-US" w:eastAsia="zh-CN"/>
              </w:rPr>
              <w:t>。2022年3月15日，国务院联防联控机制综合组印发了《新冠肺炎方舱医院设置管理规范（试行）》(联防联控机制综发[2022]22号)；2022年3月26日，河北省新型冠状病毒肺炎疫情工作领导小组办公室印发了《河北省新冠肺炎方舱医院建设管理方案》（冀防领办[2022]60号）；2022年3月31日，承德市新型冠状病毒肺炎疫情防控工作领导小组（指挥部）办公室关于转发《河北省新型冠状病毒肺炎疫情工作领导小组办公室关于印发&lt;河北省新冠肺炎方舱医院建设管理方案&gt;的通知》（承防领办[2022]45号）。为进一步做好新冠肺炎感染者分类收治，充分发挥方舱医院在聚集性疫情中收治感染者的重要作用各省份应该根据本地疫情防控形势，结合奥密克戎变异毒株流行特点和疾病特征，提前做好方舱医院建设。</w:t>
            </w:r>
            <w:r>
              <w:rPr>
                <w:rFonts w:hint="eastAsia"/>
                <w:color w:val="FF0000"/>
                <w:lang w:val="en-US" w:eastAsia="zh-CN"/>
              </w:rPr>
              <w:t>项目作为方舱医院配套的定点医院，也应提前做好建设。</w:t>
            </w:r>
          </w:p>
          <w:p>
            <w:pPr>
              <w:pStyle w:val="45"/>
              <w:ind w:firstLine="480"/>
              <w:rPr>
                <w:rFonts w:hint="eastAsia" w:eastAsia="宋体"/>
                <w:color w:val="FF0000"/>
                <w:lang w:val="en-US" w:eastAsia="zh-CN"/>
              </w:rPr>
            </w:pPr>
            <w:r>
              <w:rPr>
                <w:rFonts w:hint="eastAsia" w:eastAsia="宋体"/>
                <w:color w:val="FF0000"/>
                <w:lang w:val="en-US" w:eastAsia="zh-CN"/>
              </w:rPr>
              <w:t>为深入贯彻落实《新型冠状病毒肺炎诊疗方案(试行第九版)》，切实做好新冠病毒感染者分类收治管理，按照《新冠肺炎亚（准）定点救治医院设置管理规范（试行）》（联防联控机制综发（2022）57号）要求，贯彻落实3月19日全国疫情防控工作电视电话会议要求和孙春兰副总理重要讲话精神，按照省委、省政府决策部署，根据奥密克戎毒株变异毒株流行病学特点和疾病特征，针对可能发生的规模性疫情，按照“政府牵头、部门协作，依法依规、各司其职，科学规范、安全有效，节约成本、快速经济”的原则，综合考虑区域人口、医疗卫生资源布局和地理交通等因素，科学设置亚（准）定点救治医院。</w:t>
            </w:r>
            <w:r>
              <w:rPr>
                <w:rFonts w:hint="default"/>
                <w:color w:val="FF0000"/>
                <w:lang w:val="en-US" w:eastAsia="zh-CN"/>
              </w:rPr>
              <w:t>为此，宽城满族自治县卫生健康局拟投资1365.19万元建设</w:t>
            </w:r>
            <w:r>
              <w:rPr>
                <w:rFonts w:hint="eastAsia"/>
                <w:color w:val="FF0000"/>
                <w:lang w:val="en-US" w:eastAsia="zh-CN"/>
              </w:rPr>
              <w:t>宽城满族自治县亚（准）定点救治医院。</w:t>
            </w:r>
          </w:p>
          <w:p>
            <w:pPr>
              <w:pStyle w:val="45"/>
              <w:ind w:firstLine="480"/>
              <w:rPr>
                <w:rFonts w:hint="eastAsia"/>
                <w:color w:val="FF0000"/>
                <w:lang w:val="en-US" w:eastAsia="zh-CN"/>
              </w:rPr>
            </w:pPr>
            <w:r>
              <w:rPr>
                <w:rFonts w:hint="eastAsia"/>
                <w:color w:val="FF0000"/>
                <w:lang w:val="en-US" w:eastAsia="zh-CN"/>
              </w:rPr>
              <w:t>2022年6月10日，宽城满族自治县人民政府对《关于建设宽城满族自治县亚（准）定点救治医院的请示》作出了批复：“宽城亚（准）定点救治医院项目</w:t>
            </w:r>
            <w:bookmarkStart w:id="7" w:name="_GoBack"/>
            <w:bookmarkEnd w:id="7"/>
            <w:r>
              <w:rPr>
                <w:rFonts w:hint="eastAsia"/>
                <w:color w:val="FF0000"/>
                <w:lang w:val="en-US" w:eastAsia="zh-CN"/>
              </w:rPr>
              <w:t>属于防疫救灾应急项目，根据河北省政府投资条例第十八条规定，经县政府研究，同意你单位在龙须沟门方舱医院院内，新建一所定点救治医院。”</w:t>
            </w:r>
          </w:p>
          <w:p>
            <w:pPr>
              <w:pStyle w:val="45"/>
              <w:ind w:firstLine="480"/>
              <w:rPr>
                <w:rFonts w:hint="default"/>
                <w:color w:val="FF0000"/>
                <w:lang w:val="en-US" w:eastAsia="zh-CN"/>
              </w:rPr>
            </w:pPr>
            <w:r>
              <w:rPr>
                <w:rFonts w:hint="eastAsia"/>
                <w:color w:val="FF0000"/>
                <w:lang w:val="en-US" w:eastAsia="zh-CN"/>
              </w:rPr>
              <w:t>2022年7月8日，宽城满族自治县行政审批局对《宽城满族自治县亚（准）定点救治医院项目可行性研究报告》作出批复：“经研究，同意该项目可行性研究报告的审批。”批复文件号为宽审批投批字[2022]83号。</w:t>
            </w:r>
            <w:r>
              <w:commentReference w:id="5"/>
            </w:r>
          </w:p>
          <w:p>
            <w:pPr>
              <w:pStyle w:val="45"/>
              <w:ind w:firstLine="480"/>
              <w:rPr>
                <w:rFonts w:hint="default"/>
                <w:color w:val="FF0000"/>
                <w:lang w:val="en-US" w:eastAsia="zh-CN"/>
              </w:rPr>
            </w:pPr>
            <w:r>
              <w:rPr>
                <w:rFonts w:hint="default"/>
                <w:color w:val="FF0000"/>
                <w:lang w:val="en-US" w:eastAsia="zh-CN"/>
              </w:rPr>
              <w:t>项目选址位于承德市宽城满族自治县龙须门镇药王庙村。总建筑面积1483.44m</w:t>
            </w:r>
            <w:r>
              <w:rPr>
                <w:rFonts w:hint="default"/>
                <w:color w:val="FF0000"/>
                <w:vertAlign w:val="superscript"/>
                <w:lang w:val="en-US" w:eastAsia="zh-CN"/>
              </w:rPr>
              <w:t>2</w:t>
            </w:r>
            <w:r>
              <w:rPr>
                <w:rFonts w:hint="default"/>
                <w:color w:val="FF0000"/>
                <w:lang w:val="en-US" w:eastAsia="zh-CN"/>
              </w:rPr>
              <w:t>。设置手术室、产房、重症病房和普通病房四个分区，共设置77张床位，其中重症监护室9个床位，普通病房和产房共68个床位</w:t>
            </w:r>
            <w:r>
              <w:rPr>
                <w:rFonts w:hint="eastAsia"/>
                <w:color w:val="FF0000"/>
                <w:lang w:val="en-US" w:eastAsia="zh-CN"/>
              </w:rPr>
              <w:t>，</w:t>
            </w:r>
            <w:r>
              <w:rPr>
                <w:rFonts w:hint="default"/>
                <w:color w:val="FF0000"/>
                <w:lang w:val="en-US" w:eastAsia="zh-CN"/>
              </w:rPr>
              <w:t>同时配套建设室外管线等附属设施。定点医院主要用于收治方舱医院及外界的重症新冠患者、年龄&gt;60岁的新冠患者和妊娠&gt;28周的新冠患者。本项目属于防控新型冠状病毒肺炎疫情临时性应急使用的定点医院建设项目，仅在当地发生疫情时启用，具体使用时间根据疫情发展情况而定。</w:t>
            </w:r>
            <w:r>
              <w:rPr>
                <w:rFonts w:hint="eastAsia"/>
                <w:color w:val="FF0000"/>
                <w:lang w:val="en-US" w:eastAsia="zh-CN"/>
              </w:rPr>
              <w:t>启用后全天24h不间断运行，每天三班，每班8h。</w:t>
            </w:r>
            <w:r>
              <w:commentReference w:id="6"/>
            </w:r>
          </w:p>
          <w:p>
            <w:pPr>
              <w:pStyle w:val="45"/>
              <w:ind w:firstLine="480"/>
            </w:pPr>
            <w:r>
              <w:t>本项目主要建设内容详见下表：</w:t>
            </w:r>
          </w:p>
          <w:p>
            <w:pPr>
              <w:adjustRightInd w:val="0"/>
              <w:snapToGrid w:val="0"/>
              <w:spacing w:line="360" w:lineRule="auto"/>
              <w:jc w:val="center"/>
              <w:rPr>
                <w:rFonts w:ascii="宋体" w:hAnsi="宋体" w:cs="宋体"/>
                <w:b/>
                <w:szCs w:val="21"/>
              </w:rPr>
            </w:pPr>
            <w:r>
              <w:rPr>
                <w:rFonts w:ascii="宋体" w:hAnsi="宋体" w:cs="宋体"/>
                <w:b/>
                <w:szCs w:val="21"/>
              </w:rPr>
              <w:t>表</w:t>
            </w:r>
            <w:r>
              <w:rPr>
                <w:rFonts w:hint="eastAsia" w:cs="宋体"/>
                <w:b/>
                <w:szCs w:val="21"/>
              </w:rPr>
              <w:t>2</w:t>
            </w:r>
            <w:r>
              <w:rPr>
                <w:rFonts w:hint="eastAsia" w:ascii="宋体" w:hAnsi="宋体" w:cs="宋体"/>
                <w:b/>
                <w:szCs w:val="21"/>
              </w:rPr>
              <w:t>-</w:t>
            </w:r>
            <w:r>
              <w:rPr>
                <w:rFonts w:hint="eastAsia" w:cs="宋体"/>
                <w:b/>
                <w:szCs w:val="21"/>
              </w:rPr>
              <w:t>1</w:t>
            </w:r>
            <w:r>
              <w:rPr>
                <w:rFonts w:ascii="宋体" w:hAnsi="宋体" w:cs="宋体"/>
                <w:b/>
                <w:szCs w:val="21"/>
              </w:rPr>
              <w:t xml:space="preserve">  主要建设内容一览表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91"/>
              <w:gridCol w:w="1056"/>
              <w:gridCol w:w="6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Align w:val="center"/>
                </w:tcPr>
                <w:p>
                  <w:pPr>
                    <w:adjustRightInd w:val="0"/>
                    <w:snapToGrid w:val="0"/>
                    <w:jc w:val="center"/>
                    <w:rPr>
                      <w:rFonts w:ascii="宋体" w:hAnsi="宋体" w:cs="宋体"/>
                      <w:b/>
                      <w:szCs w:val="21"/>
                    </w:rPr>
                  </w:pPr>
                  <w:r>
                    <w:rPr>
                      <w:rFonts w:ascii="宋体" w:hAnsi="宋体" w:cs="宋体"/>
                      <w:b/>
                      <w:szCs w:val="21"/>
                    </w:rPr>
                    <w:t>序号</w:t>
                  </w:r>
                </w:p>
              </w:tc>
              <w:tc>
                <w:tcPr>
                  <w:tcW w:w="292" w:type="pct"/>
                  <w:vAlign w:val="center"/>
                </w:tcPr>
                <w:p>
                  <w:pPr>
                    <w:adjustRightInd w:val="0"/>
                    <w:snapToGrid w:val="0"/>
                    <w:jc w:val="center"/>
                    <w:rPr>
                      <w:rFonts w:ascii="宋体" w:hAnsi="宋体" w:cs="宋体"/>
                      <w:b/>
                      <w:szCs w:val="21"/>
                    </w:rPr>
                  </w:pPr>
                  <w:r>
                    <w:rPr>
                      <w:rFonts w:ascii="宋体" w:hAnsi="宋体" w:cs="宋体"/>
                      <w:b/>
                      <w:szCs w:val="21"/>
                    </w:rPr>
                    <w:t>类别</w:t>
                  </w:r>
                </w:p>
              </w:tc>
              <w:tc>
                <w:tcPr>
                  <w:tcW w:w="628" w:type="pct"/>
                  <w:vAlign w:val="center"/>
                </w:tcPr>
                <w:p>
                  <w:pPr>
                    <w:adjustRightInd w:val="0"/>
                    <w:snapToGrid w:val="0"/>
                    <w:jc w:val="center"/>
                    <w:rPr>
                      <w:rFonts w:ascii="宋体" w:hAnsi="宋体" w:cs="宋体"/>
                      <w:b/>
                      <w:szCs w:val="21"/>
                    </w:rPr>
                  </w:pPr>
                  <w:r>
                    <w:rPr>
                      <w:rFonts w:ascii="宋体" w:hAnsi="宋体" w:cs="宋体"/>
                      <w:b/>
                      <w:szCs w:val="21"/>
                    </w:rPr>
                    <w:t>名称</w:t>
                  </w:r>
                </w:p>
              </w:tc>
              <w:tc>
                <w:tcPr>
                  <w:tcW w:w="3825" w:type="pct"/>
                  <w:vAlign w:val="center"/>
                </w:tcPr>
                <w:p>
                  <w:pPr>
                    <w:adjustRightInd w:val="0"/>
                    <w:snapToGrid w:val="0"/>
                    <w:jc w:val="center"/>
                    <w:rPr>
                      <w:rFonts w:ascii="宋体" w:hAnsi="宋体" w:cs="宋体"/>
                      <w:b/>
                      <w:szCs w:val="21"/>
                    </w:rPr>
                  </w:pPr>
                  <w:r>
                    <w:rPr>
                      <w:rFonts w:ascii="宋体" w:hAnsi="宋体" w:cs="宋体"/>
                      <w:b/>
                      <w:szCs w:val="21"/>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restart"/>
                  <w:vAlign w:val="center"/>
                </w:tcPr>
                <w:p>
                  <w:pPr>
                    <w:adjustRightInd w:val="0"/>
                    <w:snapToGrid w:val="0"/>
                    <w:jc w:val="center"/>
                    <w:rPr>
                      <w:rFonts w:ascii="宋体" w:hAnsi="宋体" w:cs="宋体"/>
                      <w:bCs/>
                      <w:szCs w:val="21"/>
                    </w:rPr>
                  </w:pPr>
                  <w:r>
                    <w:rPr>
                      <w:rFonts w:cs="宋体"/>
                      <w:bCs/>
                      <w:szCs w:val="21"/>
                    </w:rPr>
                    <w:t>1</w:t>
                  </w:r>
                </w:p>
              </w:tc>
              <w:tc>
                <w:tcPr>
                  <w:tcW w:w="292" w:type="pct"/>
                  <w:vMerge w:val="restart"/>
                  <w:vAlign w:val="center"/>
                </w:tcPr>
                <w:p>
                  <w:pPr>
                    <w:adjustRightInd w:val="0"/>
                    <w:snapToGrid w:val="0"/>
                    <w:jc w:val="center"/>
                    <w:rPr>
                      <w:rFonts w:ascii="宋体" w:hAnsi="宋体" w:cs="宋体"/>
                      <w:bCs/>
                      <w:szCs w:val="21"/>
                    </w:rPr>
                  </w:pPr>
                  <w:r>
                    <w:rPr>
                      <w:rFonts w:ascii="宋体" w:hAnsi="宋体" w:cs="宋体"/>
                      <w:bCs/>
                      <w:szCs w:val="21"/>
                    </w:rPr>
                    <w:t>主体工程</w:t>
                  </w:r>
                </w:p>
              </w:tc>
              <w:tc>
                <w:tcPr>
                  <w:tcW w:w="628" w:type="pct"/>
                  <w:vAlign w:val="center"/>
                </w:tcPr>
                <w:p>
                  <w:pPr>
                    <w:adjustRightInd w:val="0"/>
                    <w:snapToGrid w:val="0"/>
                    <w:jc w:val="center"/>
                    <w:rPr>
                      <w:rFonts w:ascii="宋体" w:hAnsi="宋体" w:cs="宋体"/>
                      <w:bCs/>
                      <w:szCs w:val="21"/>
                    </w:rPr>
                  </w:pPr>
                  <w:r>
                    <w:rPr>
                      <w:rFonts w:hint="eastAsia" w:ascii="宋体" w:hAnsi="宋体" w:cs="宋体"/>
                      <w:bCs/>
                      <w:color w:val="FF0000"/>
                      <w:szCs w:val="21"/>
                    </w:rPr>
                    <w:t>定点医院</w:t>
                  </w:r>
                  <w:r>
                    <w:commentReference w:id="7"/>
                  </w:r>
                </w:p>
              </w:tc>
              <w:tc>
                <w:tcPr>
                  <w:tcW w:w="3825" w:type="pct"/>
                  <w:vAlign w:val="center"/>
                </w:tcPr>
                <w:p>
                  <w:pPr>
                    <w:adjustRightInd w:val="0"/>
                    <w:snapToGrid w:val="0"/>
                    <w:rPr>
                      <w:rFonts w:ascii="宋体" w:hAnsi="宋体" w:eastAsia="微软雅黑" w:cs="宋体"/>
                      <w:bCs/>
                      <w:szCs w:val="21"/>
                    </w:rPr>
                  </w:pPr>
                  <w:bookmarkStart w:id="2" w:name="_Hlk96329884"/>
                  <w:r>
                    <w:rPr>
                      <w:spacing w:val="-3"/>
                      <w:szCs w:val="21"/>
                    </w:rPr>
                    <w:t>1座，</w:t>
                  </w:r>
                  <w:r>
                    <w:rPr>
                      <w:rFonts w:hint="eastAsia"/>
                      <w:spacing w:val="-3"/>
                      <w:szCs w:val="21"/>
                    </w:rPr>
                    <w:t>一层建筑，占地面积为1483.44</w:t>
                  </w:r>
                  <w:r>
                    <w:rPr>
                      <w:szCs w:val="21"/>
                    </w:rPr>
                    <w:t>m</w:t>
                  </w:r>
                  <w:r>
                    <w:rPr>
                      <w:szCs w:val="21"/>
                      <w:vertAlign w:val="superscript"/>
                    </w:rPr>
                    <w:t>2</w:t>
                  </w:r>
                  <w:r>
                    <w:rPr>
                      <w:szCs w:val="21"/>
                    </w:rPr>
                    <w:t>，</w:t>
                  </w:r>
                  <w:r>
                    <w:rPr>
                      <w:rFonts w:hint="eastAsia"/>
                      <w:szCs w:val="21"/>
                    </w:rPr>
                    <w:t>建筑整体呈L形，长76.5m、宽27.48m，收治方舱医院和外界的重症新冠患者，设置手术室、产房、重症病房和普通病房四个分区，共设置77张床位</w:t>
                  </w:r>
                  <w:bookmarkEnd w:id="2"/>
                  <w:r>
                    <w:rPr>
                      <w:rFonts w:hint="eastAsia"/>
                      <w:szCs w:val="21"/>
                    </w:rPr>
                    <w:t>，其中重症监护室9个床位，普通病房和产房共68个床位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手术室</w:t>
                  </w:r>
                </w:p>
              </w:tc>
              <w:tc>
                <w:tcPr>
                  <w:tcW w:w="3825" w:type="pct"/>
                  <w:vAlign w:val="center"/>
                </w:tcPr>
                <w:p>
                  <w:pPr>
                    <w:adjustRightInd w:val="0"/>
                    <w:snapToGrid w:val="0"/>
                    <w:rPr>
                      <w:spacing w:val="-3"/>
                      <w:szCs w:val="21"/>
                    </w:rPr>
                  </w:pPr>
                  <w:r>
                    <w:rPr>
                      <w:rFonts w:hint="eastAsia"/>
                      <w:spacing w:val="-3"/>
                      <w:szCs w:val="21"/>
                    </w:rPr>
                    <w:t>位于定点医院内部东南侧，面积为56.4m</w:t>
                  </w:r>
                  <w:r>
                    <w:rPr>
                      <w:rFonts w:hint="eastAsia"/>
                      <w:spacing w:val="-3"/>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产房</w:t>
                  </w:r>
                </w:p>
              </w:tc>
              <w:tc>
                <w:tcPr>
                  <w:tcW w:w="3825" w:type="pct"/>
                  <w:vAlign w:val="center"/>
                </w:tcPr>
                <w:p>
                  <w:pPr>
                    <w:adjustRightInd w:val="0"/>
                    <w:snapToGrid w:val="0"/>
                    <w:rPr>
                      <w:spacing w:val="-3"/>
                      <w:szCs w:val="21"/>
                    </w:rPr>
                  </w:pPr>
                  <w:r>
                    <w:rPr>
                      <w:rFonts w:hint="eastAsia"/>
                      <w:spacing w:val="-3"/>
                      <w:szCs w:val="21"/>
                    </w:rPr>
                    <w:t>位于手术室内部西北侧，紧挨着手术室，面积为27m</w:t>
                  </w:r>
                  <w:r>
                    <w:rPr>
                      <w:rFonts w:hint="eastAsia"/>
                      <w:spacing w:val="-3"/>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重症病房</w:t>
                  </w:r>
                </w:p>
              </w:tc>
              <w:tc>
                <w:tcPr>
                  <w:tcW w:w="3825" w:type="pct"/>
                  <w:vAlign w:val="center"/>
                </w:tcPr>
                <w:p>
                  <w:pPr>
                    <w:adjustRightInd w:val="0"/>
                    <w:snapToGrid w:val="0"/>
                  </w:pPr>
                  <w:r>
                    <w:rPr>
                      <w:rFonts w:hint="eastAsia"/>
                    </w:rPr>
                    <w:t>重症病房面积180m</w:t>
                  </w:r>
                  <w:r>
                    <w:rPr>
                      <w:rFonts w:hint="eastAsia"/>
                      <w:vertAlign w:val="superscript"/>
                    </w:rPr>
                    <w:t>2</w:t>
                  </w:r>
                  <w:r>
                    <w:rPr>
                      <w:rFonts w:hint="eastAsia"/>
                    </w:rPr>
                    <w:t>，里面设置9张病床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普通病房</w:t>
                  </w:r>
                </w:p>
              </w:tc>
              <w:tc>
                <w:tcPr>
                  <w:tcW w:w="3825" w:type="pct"/>
                  <w:vAlign w:val="center"/>
                </w:tcPr>
                <w:p>
                  <w:pPr>
                    <w:adjustRightInd w:val="0"/>
                    <w:snapToGrid w:val="0"/>
                    <w:rPr>
                      <w:spacing w:val="-3"/>
                      <w:szCs w:val="21"/>
                    </w:rPr>
                  </w:pPr>
                  <w:r>
                    <w:rPr>
                      <w:rFonts w:hint="eastAsia"/>
                      <w:spacing w:val="-3"/>
                      <w:szCs w:val="21"/>
                    </w:rPr>
                    <w:t>总面积432m</w:t>
                  </w:r>
                  <w:r>
                    <w:rPr>
                      <w:rFonts w:hint="eastAsia"/>
                      <w:spacing w:val="-3"/>
                      <w:szCs w:val="21"/>
                      <w:vertAlign w:val="superscript"/>
                    </w:rPr>
                    <w:t>2</w:t>
                  </w:r>
                  <w:r>
                    <w:rPr>
                      <w:rFonts w:hint="eastAsia"/>
                      <w:spacing w:val="-3"/>
                      <w:szCs w:val="21"/>
                    </w:rPr>
                    <w:t>，普通病房共有6间，其中5间每间11个床位，1间7张床位，总计62张床位。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医疗废物暂存间</w:t>
                  </w:r>
                </w:p>
              </w:tc>
              <w:tc>
                <w:tcPr>
                  <w:tcW w:w="3825" w:type="pct"/>
                  <w:vAlign w:val="center"/>
                </w:tcPr>
                <w:p>
                  <w:pPr>
                    <w:adjustRightInd w:val="0"/>
                    <w:snapToGrid w:val="0"/>
                    <w:rPr>
                      <w:spacing w:val="-3"/>
                      <w:szCs w:val="21"/>
                    </w:rPr>
                  </w:pPr>
                  <w:r>
                    <w:rPr>
                      <w:rFonts w:hint="eastAsia" w:ascii="宋体" w:hAnsi="宋体" w:cs="宋体"/>
                      <w:bCs/>
                      <w:szCs w:val="21"/>
                    </w:rPr>
                    <w:t>医疗废物暂存间位于定点医院楼内，</w:t>
                  </w:r>
                  <w:r>
                    <w:rPr>
                      <w:rFonts w:hint="eastAsia" w:ascii="宋体" w:hAnsi="宋体" w:cs="宋体"/>
                      <w:bCs/>
                      <w:szCs w:val="21"/>
                      <w:lang w:val="en-US" w:eastAsia="zh-CN"/>
                    </w:rPr>
                    <w:t>在定点医院北侧，</w:t>
                  </w:r>
                  <w:r>
                    <w:rPr>
                      <w:rFonts w:hint="eastAsia" w:ascii="宋体" w:hAnsi="宋体" w:cs="宋体"/>
                      <w:bCs/>
                      <w:szCs w:val="21"/>
                    </w:rPr>
                    <w:t>建筑面积</w:t>
                  </w:r>
                  <w:r>
                    <w:rPr>
                      <w:rFonts w:hint="eastAsia" w:cs="宋体"/>
                      <w:bCs/>
                      <w:szCs w:val="21"/>
                    </w:rPr>
                    <w:t>17m</w:t>
                  </w:r>
                  <w:r>
                    <w:rPr>
                      <w:rFonts w:hint="eastAsia" w:cs="宋体"/>
                      <w:bCs/>
                      <w:szCs w:val="21"/>
                      <w:vertAlign w:val="superscript"/>
                    </w:rPr>
                    <w:t>2</w:t>
                  </w:r>
                  <w:r>
                    <w:rPr>
                      <w:rFonts w:hint="eastAsia" w:ascii="宋体" w:hAnsi="宋体" w:cs="宋体"/>
                      <w:bCs/>
                      <w:szCs w:val="21"/>
                    </w:rPr>
                    <w:t>，主要用于医院运营过程中产生医疗废物的暂存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254" w:type="pct"/>
                  <w:vMerge w:val="restart"/>
                  <w:vAlign w:val="center"/>
                </w:tcPr>
                <w:p>
                  <w:pPr>
                    <w:adjustRightInd w:val="0"/>
                    <w:snapToGrid w:val="0"/>
                    <w:jc w:val="center"/>
                    <w:rPr>
                      <w:rFonts w:cs="宋体"/>
                      <w:bCs/>
                      <w:szCs w:val="21"/>
                    </w:rPr>
                  </w:pPr>
                  <w:r>
                    <w:rPr>
                      <w:rFonts w:hint="eastAsia" w:cs="宋体"/>
                      <w:bCs/>
                      <w:szCs w:val="21"/>
                    </w:rPr>
                    <w:t>2</w:t>
                  </w:r>
                </w:p>
              </w:tc>
              <w:tc>
                <w:tcPr>
                  <w:tcW w:w="292" w:type="pct"/>
                  <w:vMerge w:val="restart"/>
                  <w:vAlign w:val="center"/>
                </w:tcPr>
                <w:p>
                  <w:pPr>
                    <w:adjustRightInd w:val="0"/>
                    <w:snapToGrid w:val="0"/>
                    <w:jc w:val="center"/>
                    <w:rPr>
                      <w:rFonts w:ascii="宋体" w:hAnsi="宋体" w:cs="宋体"/>
                      <w:bCs/>
                      <w:szCs w:val="21"/>
                    </w:rPr>
                  </w:pPr>
                  <w:r>
                    <w:rPr>
                      <w:rFonts w:hint="eastAsia" w:ascii="宋体" w:hAnsi="宋体" w:cs="宋体"/>
                      <w:bCs/>
                      <w:szCs w:val="21"/>
                    </w:rPr>
                    <w:t>辅助工程</w:t>
                  </w: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卫生间</w:t>
                  </w:r>
                </w:p>
              </w:tc>
              <w:tc>
                <w:tcPr>
                  <w:tcW w:w="3825" w:type="pct"/>
                  <w:vAlign w:val="center"/>
                </w:tcPr>
                <w:p>
                  <w:pPr>
                    <w:adjustRightInd w:val="0"/>
                    <w:snapToGrid w:val="0"/>
                  </w:pPr>
                  <w:r>
                    <w:rPr>
                      <w:rFonts w:hint="eastAsia"/>
                    </w:rPr>
                    <w:t>共有3间卫生间，重症病房内1个，普通病房内1个，医护人员办公室内1个，总计面积92m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药品室</w:t>
                  </w:r>
                </w:p>
              </w:tc>
              <w:tc>
                <w:tcPr>
                  <w:tcW w:w="3825" w:type="pct"/>
                  <w:vAlign w:val="center"/>
                </w:tcPr>
                <w:p>
                  <w:pPr>
                    <w:adjustRightInd w:val="0"/>
                    <w:snapToGrid w:val="0"/>
                  </w:pPr>
                  <w:r>
                    <w:rPr>
                      <w:rFonts w:hint="eastAsia"/>
                    </w:rPr>
                    <w:t>2间药品室，重症病房内1个，普通病房内1个，总计面积10m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办公室</w:t>
                  </w:r>
                </w:p>
              </w:tc>
              <w:tc>
                <w:tcPr>
                  <w:tcW w:w="3825" w:type="pct"/>
                  <w:vAlign w:val="center"/>
                </w:tcPr>
                <w:p>
                  <w:pPr>
                    <w:adjustRightInd w:val="0"/>
                    <w:snapToGrid w:val="0"/>
                  </w:pPr>
                  <w:r>
                    <w:rPr>
                      <w:rFonts w:hint="eastAsia"/>
                    </w:rPr>
                    <w:t>1间办公室，面积21m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电气间</w:t>
                  </w:r>
                </w:p>
              </w:tc>
              <w:tc>
                <w:tcPr>
                  <w:tcW w:w="3825" w:type="pct"/>
                  <w:vAlign w:val="center"/>
                </w:tcPr>
                <w:p>
                  <w:pPr>
                    <w:adjustRightInd w:val="0"/>
                    <w:snapToGrid w:val="0"/>
                  </w:pPr>
                  <w:r>
                    <w:rPr>
                      <w:rFonts w:hint="eastAsia"/>
                    </w:rPr>
                    <w:t>1间电气间，面积12m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送风机房</w:t>
                  </w:r>
                </w:p>
              </w:tc>
              <w:tc>
                <w:tcPr>
                  <w:tcW w:w="3825" w:type="pct"/>
                  <w:vAlign w:val="center"/>
                </w:tcPr>
                <w:p>
                  <w:pPr>
                    <w:adjustRightInd w:val="0"/>
                    <w:snapToGrid w:val="0"/>
                  </w:pPr>
                  <w:r>
                    <w:rPr>
                      <w:rFonts w:hint="eastAsia"/>
                    </w:rPr>
                    <w:t>设置在定点医院主楼南侧，紧贴定点医院主楼，里面放置一组送风机组，面积28m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54" w:type="pct"/>
                  <w:vMerge w:val="continue"/>
                  <w:vAlign w:val="center"/>
                </w:tcPr>
                <w:p>
                  <w:pPr>
                    <w:adjustRightInd w:val="0"/>
                    <w:snapToGrid w:val="0"/>
                    <w:jc w:val="center"/>
                    <w:rPr>
                      <w:rFonts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排风机房</w:t>
                  </w:r>
                </w:p>
              </w:tc>
              <w:tc>
                <w:tcPr>
                  <w:tcW w:w="3825" w:type="pct"/>
                  <w:vAlign w:val="center"/>
                </w:tcPr>
                <w:p>
                  <w:pPr>
                    <w:adjustRightInd w:val="0"/>
                    <w:snapToGrid w:val="0"/>
                  </w:pPr>
                  <w:r>
                    <w:rPr>
                      <w:rFonts w:hint="eastAsia"/>
                    </w:rPr>
                    <w:t>设置在定点医院主楼东侧，紧贴定点医院主楼，里面放置一组排</w:t>
                  </w:r>
                  <w:r>
                    <w:rPr>
                      <w:rFonts w:hint="eastAsia"/>
                      <w:lang w:val="en-US" w:eastAsia="zh-CN"/>
                    </w:rPr>
                    <w:t>风</w:t>
                  </w:r>
                  <w:r>
                    <w:rPr>
                      <w:rFonts w:hint="eastAsia"/>
                    </w:rPr>
                    <w:t>机组，面积28m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restart"/>
                  <w:vAlign w:val="center"/>
                </w:tcPr>
                <w:p>
                  <w:pPr>
                    <w:adjustRightInd w:val="0"/>
                    <w:snapToGrid w:val="0"/>
                    <w:jc w:val="center"/>
                    <w:rPr>
                      <w:rFonts w:ascii="宋体" w:hAnsi="宋体" w:cs="宋体"/>
                      <w:bCs/>
                      <w:szCs w:val="21"/>
                    </w:rPr>
                  </w:pPr>
                  <w:r>
                    <w:rPr>
                      <w:rFonts w:hint="eastAsia" w:cs="宋体"/>
                      <w:bCs/>
                      <w:szCs w:val="21"/>
                    </w:rPr>
                    <w:t>3</w:t>
                  </w:r>
                </w:p>
              </w:tc>
              <w:tc>
                <w:tcPr>
                  <w:tcW w:w="292" w:type="pct"/>
                  <w:vMerge w:val="restart"/>
                  <w:vAlign w:val="center"/>
                </w:tcPr>
                <w:p>
                  <w:pPr>
                    <w:adjustRightInd w:val="0"/>
                    <w:snapToGrid w:val="0"/>
                    <w:jc w:val="center"/>
                    <w:rPr>
                      <w:rFonts w:ascii="宋体" w:hAnsi="宋体" w:cs="宋体"/>
                      <w:bCs/>
                      <w:szCs w:val="21"/>
                    </w:rPr>
                  </w:pPr>
                  <w:r>
                    <w:rPr>
                      <w:rFonts w:ascii="宋体" w:hAnsi="宋体" w:cs="宋体"/>
                      <w:bCs/>
                      <w:szCs w:val="21"/>
                    </w:rPr>
                    <w:t>公用工程</w:t>
                  </w:r>
                </w:p>
              </w:tc>
              <w:tc>
                <w:tcPr>
                  <w:tcW w:w="628" w:type="pct"/>
                  <w:vAlign w:val="center"/>
                </w:tcPr>
                <w:p>
                  <w:pPr>
                    <w:adjustRightInd w:val="0"/>
                    <w:snapToGrid w:val="0"/>
                    <w:jc w:val="center"/>
                    <w:rPr>
                      <w:rFonts w:ascii="宋体" w:hAnsi="宋体" w:cs="宋体"/>
                      <w:bCs/>
                      <w:szCs w:val="21"/>
                    </w:rPr>
                  </w:pPr>
                  <w:r>
                    <w:rPr>
                      <w:rFonts w:ascii="宋体" w:hAnsi="宋体" w:cs="宋体"/>
                      <w:bCs/>
                      <w:szCs w:val="21"/>
                    </w:rPr>
                    <w:t>给水</w:t>
                  </w:r>
                </w:p>
              </w:tc>
              <w:tc>
                <w:tcPr>
                  <w:tcW w:w="3825" w:type="pct"/>
                  <w:vAlign w:val="center"/>
                </w:tcPr>
                <w:p>
                  <w:pPr>
                    <w:adjustRightInd w:val="0"/>
                    <w:snapToGrid w:val="0"/>
                    <w:rPr>
                      <w:rFonts w:ascii="宋体" w:hAnsi="宋体" w:cs="宋体"/>
                      <w:bCs/>
                      <w:szCs w:val="21"/>
                    </w:rPr>
                  </w:pPr>
                  <w:r>
                    <w:rPr>
                      <w:szCs w:val="21"/>
                    </w:rPr>
                    <w:t>用水由市政供水管网供水</w:t>
                  </w:r>
                  <w:r>
                    <w:rPr>
                      <w:rFonts w:hint="eastAsia"/>
                      <w:szCs w:val="21"/>
                    </w:rPr>
                    <w:t>，用水主要为医疗用水、生活用水。医疗用水量为</w:t>
                  </w:r>
                  <w:r>
                    <w:rPr>
                      <w:rFonts w:hint="eastAsia"/>
                    </w:rPr>
                    <w:t>19.25</w:t>
                  </w:r>
                  <w:r>
                    <w:t>m</w:t>
                  </w:r>
                  <w:r>
                    <w:rPr>
                      <w:vertAlign w:val="superscript"/>
                    </w:rPr>
                    <w:t>3</w:t>
                  </w:r>
                  <w:r>
                    <w:t>/d</w:t>
                  </w:r>
                  <w:r>
                    <w:rPr>
                      <w:rFonts w:hint="eastAsia"/>
                    </w:rPr>
                    <w:t>（7026.25</w:t>
                  </w:r>
                  <w:r>
                    <w:t>m</w:t>
                  </w:r>
                  <w:r>
                    <w:rPr>
                      <w:vertAlign w:val="superscript"/>
                    </w:rPr>
                    <w:t>3</w:t>
                  </w:r>
                  <w:r>
                    <w:t>/</w:t>
                  </w:r>
                  <w:r>
                    <w:rPr>
                      <w:rFonts w:hint="eastAsia"/>
                    </w:rPr>
                    <w:t>a），生活用水量为28.5</w:t>
                  </w:r>
                  <w:r>
                    <w:t>m</w:t>
                  </w:r>
                  <w:r>
                    <w:rPr>
                      <w:vertAlign w:val="superscript"/>
                    </w:rPr>
                    <w:t>3</w:t>
                  </w:r>
                  <w:r>
                    <w:t>/d</w:t>
                  </w:r>
                  <w:r>
                    <w:rPr>
                      <w:rFonts w:hint="eastAsia"/>
                    </w:rPr>
                    <w:t>（10402.5</w:t>
                  </w:r>
                  <w:r>
                    <w:t>m</w:t>
                  </w:r>
                  <w:r>
                    <w:rPr>
                      <w:vertAlign w:val="superscript"/>
                    </w:rPr>
                    <w:t>3</w:t>
                  </w:r>
                  <w:r>
                    <w:t>/</w:t>
                  </w:r>
                  <w:r>
                    <w:rPr>
                      <w:rFonts w:hint="eastAsia"/>
                    </w:rPr>
                    <w:t>a），总用水量为47.75</w:t>
                  </w:r>
                  <w:r>
                    <w:t>m</w:t>
                  </w:r>
                  <w:r>
                    <w:rPr>
                      <w:vertAlign w:val="superscript"/>
                    </w:rPr>
                    <w:t>3</w:t>
                  </w:r>
                  <w:r>
                    <w:t>/d</w:t>
                  </w:r>
                  <w:r>
                    <w:rPr>
                      <w:rFonts w:hint="eastAsia"/>
                    </w:rPr>
                    <w:t>（17428.75</w:t>
                  </w:r>
                  <w:r>
                    <w:t>m</w:t>
                  </w:r>
                  <w:r>
                    <w:rPr>
                      <w:vertAlign w:val="superscript"/>
                    </w:rPr>
                    <w:t>3</w:t>
                  </w:r>
                  <w:r>
                    <w:t>/</w:t>
                  </w: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continue"/>
                  <w:vAlign w:val="center"/>
                </w:tcPr>
                <w:p>
                  <w:pPr>
                    <w:adjustRightInd w:val="0"/>
                    <w:snapToGrid w:val="0"/>
                    <w:jc w:val="center"/>
                    <w:rPr>
                      <w:rFonts w:ascii="宋体" w:hAnsi="宋体"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ascii="宋体" w:hAnsi="宋体" w:cs="宋体"/>
                      <w:bCs/>
                      <w:szCs w:val="21"/>
                    </w:rPr>
                    <w:t>排水</w:t>
                  </w:r>
                </w:p>
              </w:tc>
              <w:tc>
                <w:tcPr>
                  <w:tcW w:w="3825" w:type="pct"/>
                  <w:vAlign w:val="center"/>
                </w:tcPr>
                <w:p>
                  <w:pPr>
                    <w:adjustRightInd w:val="0"/>
                    <w:snapToGrid w:val="0"/>
                    <w:rPr>
                      <w:rFonts w:ascii="宋体" w:hAnsi="宋体" w:cs="宋体"/>
                      <w:bCs/>
                      <w:szCs w:val="21"/>
                    </w:rPr>
                  </w:pPr>
                  <w:r>
                    <w:rPr>
                      <w:rFonts w:hint="eastAsia"/>
                    </w:rPr>
                    <w:t>本项目废水为医疗污水、生活污水，产生量按用水量的80%计，则医疗污水产生量为15.4</w:t>
                  </w:r>
                  <w:r>
                    <w:t>m</w:t>
                  </w:r>
                  <w:r>
                    <w:rPr>
                      <w:vertAlign w:val="superscript"/>
                    </w:rPr>
                    <w:t>3</w:t>
                  </w:r>
                  <w:r>
                    <w:t>/d</w:t>
                  </w:r>
                  <w:r>
                    <w:rPr>
                      <w:rFonts w:hint="eastAsia"/>
                    </w:rPr>
                    <w:t>（5621</w:t>
                  </w:r>
                  <w:r>
                    <w:t>m</w:t>
                  </w:r>
                  <w:r>
                    <w:rPr>
                      <w:vertAlign w:val="superscript"/>
                    </w:rPr>
                    <w:t>3</w:t>
                  </w:r>
                  <w:r>
                    <w:t>/</w:t>
                  </w:r>
                  <w:r>
                    <w:rPr>
                      <w:rFonts w:hint="eastAsia"/>
                    </w:rPr>
                    <w:t>a），生活污水产生量为22.8</w:t>
                  </w:r>
                  <w:r>
                    <w:t>m</w:t>
                  </w:r>
                  <w:r>
                    <w:rPr>
                      <w:vertAlign w:val="superscript"/>
                    </w:rPr>
                    <w:t>3</w:t>
                  </w:r>
                  <w:r>
                    <w:t>/d</w:t>
                  </w:r>
                  <w:r>
                    <w:rPr>
                      <w:rFonts w:hint="eastAsia"/>
                    </w:rPr>
                    <w:t>（8322</w:t>
                  </w:r>
                  <w:r>
                    <w:t>m</w:t>
                  </w:r>
                  <w:r>
                    <w:rPr>
                      <w:vertAlign w:val="superscript"/>
                    </w:rPr>
                    <w:t>3</w:t>
                  </w:r>
                  <w:r>
                    <w:t>/</w:t>
                  </w:r>
                  <w:r>
                    <w:rPr>
                      <w:rFonts w:hint="eastAsia"/>
                    </w:rPr>
                    <w:t>a）。综上，本项目废水产生总量为38.2</w:t>
                  </w:r>
                  <w:r>
                    <w:t>m</w:t>
                  </w:r>
                  <w:r>
                    <w:rPr>
                      <w:vertAlign w:val="superscript"/>
                    </w:rPr>
                    <w:t>3</w:t>
                  </w:r>
                  <w:r>
                    <w:t>/d</w:t>
                  </w:r>
                  <w:r>
                    <w:rPr>
                      <w:rFonts w:hint="eastAsia"/>
                    </w:rPr>
                    <w:t>（13943</w:t>
                  </w:r>
                  <w:r>
                    <w:t>m</w:t>
                  </w:r>
                  <w:r>
                    <w:rPr>
                      <w:vertAlign w:val="superscript"/>
                    </w:rPr>
                    <w:t>3</w:t>
                  </w:r>
                  <w:r>
                    <w:t>/</w:t>
                  </w:r>
                  <w:r>
                    <w:rPr>
                      <w:rFonts w:hint="eastAsia"/>
                    </w:rPr>
                    <w:t>a）。定点医院</w:t>
                  </w:r>
                  <w:r>
                    <w:rPr>
                      <w:rFonts w:hint="eastAsia"/>
                      <w:lang w:val="zh-CN"/>
                    </w:rPr>
                    <w:t>排水系统采用重力流排水系统，污废合流。</w:t>
                  </w:r>
                  <w:r>
                    <w:rPr>
                      <w:rFonts w:hint="eastAsia"/>
                      <w:szCs w:val="21"/>
                    </w:rPr>
                    <w:t>生活污水和医疗污水合流，定点医院污水排水管连通方舱医院污水排水管，依靠重力自流排入隔壁方舱医院的污水管网，再和方舱医院污水一起流入方舱医院污水处理站，污水经方舱医院院区内污水处理站处理后</w:t>
                  </w:r>
                  <w:r>
                    <w:rPr>
                      <w:szCs w:val="21"/>
                    </w:rPr>
                    <w:t>，</w:t>
                  </w:r>
                  <w:r>
                    <w:rPr>
                      <w:rFonts w:hint="eastAsia"/>
                      <w:szCs w:val="21"/>
                    </w:rPr>
                    <w:t>出水满足《医疗机构水污染物排放标准》（GB18466-2005）表1中传染病、结核病医疗机构水污染物排放限值要求，同时满足宽城碧水源环保有限公司污水处理厂进水水质指标要求，</w:t>
                  </w:r>
                  <w:r>
                    <w:rPr>
                      <w:szCs w:val="21"/>
                    </w:rPr>
                    <w:t>通过城镇污水管网排入</w:t>
                  </w:r>
                  <w:r>
                    <w:rPr>
                      <w:rFonts w:hint="eastAsia"/>
                      <w:szCs w:val="21"/>
                    </w:rPr>
                    <w:t>宽城碧水源环保有限公司污水处理厂</w:t>
                  </w:r>
                  <w:r>
                    <w:rPr>
                      <w:szCs w:val="21"/>
                    </w:rPr>
                    <w:t>进一步处理</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continue"/>
                  <w:vAlign w:val="center"/>
                </w:tcPr>
                <w:p>
                  <w:pPr>
                    <w:adjustRightInd w:val="0"/>
                    <w:snapToGrid w:val="0"/>
                    <w:jc w:val="center"/>
                    <w:rPr>
                      <w:rFonts w:ascii="宋体" w:hAnsi="宋体"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ascii="宋体" w:hAnsi="宋体" w:cs="宋体"/>
                      <w:bCs/>
                      <w:szCs w:val="21"/>
                    </w:rPr>
                    <w:t>供电</w:t>
                  </w:r>
                </w:p>
              </w:tc>
              <w:tc>
                <w:tcPr>
                  <w:tcW w:w="3825" w:type="pct"/>
                  <w:vAlign w:val="center"/>
                </w:tcPr>
                <w:p>
                  <w:pPr>
                    <w:adjustRightInd w:val="0"/>
                    <w:snapToGrid w:val="0"/>
                    <w:rPr>
                      <w:rFonts w:ascii="宋体" w:hAnsi="宋体" w:cs="宋体"/>
                      <w:bCs/>
                      <w:szCs w:val="21"/>
                    </w:rPr>
                  </w:pPr>
                  <w:bookmarkStart w:id="3" w:name="_Hlk91257348"/>
                  <w:r>
                    <w:rPr>
                      <w:szCs w:val="21"/>
                    </w:rPr>
                    <w:t>由市政电网供电</w:t>
                  </w:r>
                  <w:bookmarkEnd w:id="3"/>
                  <w:r>
                    <w:rPr>
                      <w:rFonts w:hint="eastAsia"/>
                      <w:szCs w:val="21"/>
                    </w:rPr>
                    <w:t>。年用电量</w:t>
                  </w:r>
                  <w:r>
                    <w:rPr>
                      <w:rFonts w:hint="eastAsia" w:cs="宋体"/>
                      <w:bCs/>
                      <w:szCs w:val="21"/>
                    </w:rPr>
                    <w:t>30万KW</w:t>
                  </w:r>
                  <w:r>
                    <w:rPr>
                      <w:rFonts w:hint="eastAsia" w:ascii="宋体" w:hAnsi="宋体" w:cs="宋体"/>
                      <w:bCs/>
                      <w:szCs w:val="21"/>
                    </w:rPr>
                    <w:t>·</w:t>
                  </w:r>
                  <w:r>
                    <w:rPr>
                      <w:rFonts w:cs="宋体"/>
                      <w:bCs/>
                      <w:szCs w:val="21"/>
                    </w:rPr>
                    <w:t>h</w:t>
                  </w:r>
                  <w:r>
                    <w:rPr>
                      <w:rFonts w:hint="eastAsia" w:cs="宋体"/>
                      <w:bCs/>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continue"/>
                  <w:vAlign w:val="center"/>
                </w:tcPr>
                <w:p>
                  <w:pPr>
                    <w:adjustRightInd w:val="0"/>
                    <w:snapToGrid w:val="0"/>
                    <w:jc w:val="center"/>
                    <w:rPr>
                      <w:rFonts w:ascii="宋体" w:hAnsi="宋体"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ascii="宋体" w:hAnsi="宋体" w:cs="宋体"/>
                      <w:bCs/>
                      <w:szCs w:val="21"/>
                    </w:rPr>
                    <w:t>供暖</w:t>
                  </w:r>
                </w:p>
              </w:tc>
              <w:tc>
                <w:tcPr>
                  <w:tcW w:w="3825" w:type="pct"/>
                  <w:vAlign w:val="center"/>
                </w:tcPr>
                <w:p>
                  <w:pPr>
                    <w:adjustRightInd w:val="0"/>
                    <w:snapToGrid w:val="0"/>
                    <w:rPr>
                      <w:rFonts w:ascii="宋体" w:hAnsi="宋体" w:cs="宋体"/>
                      <w:bCs/>
                      <w:szCs w:val="21"/>
                    </w:rPr>
                  </w:pPr>
                  <w:r>
                    <w:rPr>
                      <w:rFonts w:hint="eastAsia"/>
                      <w:szCs w:val="21"/>
                    </w:rPr>
                    <w:t>采用电暖气供暖。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continue"/>
                  <w:vAlign w:val="center"/>
                </w:tcPr>
                <w:p>
                  <w:pPr>
                    <w:adjustRightInd w:val="0"/>
                    <w:snapToGrid w:val="0"/>
                    <w:jc w:val="center"/>
                    <w:rPr>
                      <w:rFonts w:ascii="宋体" w:hAnsi="宋体"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通风</w:t>
                  </w:r>
                </w:p>
              </w:tc>
              <w:tc>
                <w:tcPr>
                  <w:tcW w:w="3825" w:type="pct"/>
                  <w:vAlign w:val="center"/>
                </w:tcPr>
                <w:p>
                  <w:pPr>
                    <w:adjustRightInd w:val="0"/>
                    <w:snapToGrid w:val="0"/>
                    <w:rPr>
                      <w:szCs w:val="21"/>
                    </w:rPr>
                  </w:pPr>
                  <w:r>
                    <w:rPr>
                      <w:rFonts w:hint="eastAsia"/>
                      <w:szCs w:val="21"/>
                    </w:rPr>
                    <w:t>①污染区、相对清洁区均用排风系统维持负压，气流流向安照清洁区-污染区的方向流动。气流排风量按150m</w:t>
                  </w:r>
                  <w:r>
                    <w:rPr>
                      <w:rFonts w:hint="eastAsia"/>
                      <w:szCs w:val="21"/>
                      <w:vertAlign w:val="superscript"/>
                    </w:rPr>
                    <w:t>3</w:t>
                  </w:r>
                  <w:r>
                    <w:rPr>
                      <w:rFonts w:hint="eastAsia"/>
                      <w:szCs w:val="21"/>
                    </w:rPr>
                    <w:t>/(h*p)设计。排风系统设置高效过滤器，排风经过滤器后由立管高空排放。</w:t>
                  </w:r>
                </w:p>
                <w:p>
                  <w:pPr>
                    <w:adjustRightInd w:val="0"/>
                    <w:snapToGrid w:val="0"/>
                    <w:rPr>
                      <w:szCs w:val="21"/>
                    </w:rPr>
                  </w:pPr>
                  <w:r>
                    <w:rPr>
                      <w:rFonts w:hint="eastAsia"/>
                      <w:szCs w:val="21"/>
                    </w:rPr>
                    <w:t>②污染区卫生间、污物间、医疗废物暂存间设置机械排风。卫生间和污物间换气次数10次/h，医疗废物暂存间换气次数20次/h。</w:t>
                  </w:r>
                </w:p>
                <w:p>
                  <w:pPr>
                    <w:adjustRightInd w:val="0"/>
                    <w:snapToGrid w:val="0"/>
                    <w:rPr>
                      <w:szCs w:val="21"/>
                    </w:rPr>
                  </w:pPr>
                  <w:r>
                    <w:rPr>
                      <w:rFonts w:hint="eastAsia"/>
                      <w:szCs w:val="21"/>
                    </w:rPr>
                    <w:t>③卫生通道设置送、排风系统。穿衣部的一更设送风口。送风量按35次/h设计，一更、二更、穿防护服区域之间的隔墙设置300*300短管，使气流由一更流向二更、穿防护服间。脱衣部的脱隔离服间设排风口。排风量按30次/h设计，脱制服、脱防护服、脱隔离服之间的隔墙上设洞口和风管，使气流从清洁区流向污染区。脱制服、脱防护服之间的风管采用镀锌钢板制作、厚度为0.5mm。</w:t>
                  </w:r>
                </w:p>
                <w:p>
                  <w:pPr>
                    <w:adjustRightInd w:val="0"/>
                    <w:snapToGrid w:val="0"/>
                    <w:rPr>
                      <w:rFonts w:hint="default"/>
                      <w:color w:val="FF0000"/>
                      <w:szCs w:val="21"/>
                      <w:lang w:val="en-US"/>
                    </w:rPr>
                  </w:pPr>
                  <w:r>
                    <w:rPr>
                      <w:rFonts w:hint="eastAsia"/>
                      <w:color w:val="FF0000"/>
                      <w:szCs w:val="21"/>
                    </w:rPr>
                    <w:t>④</w:t>
                  </w:r>
                  <w:r>
                    <w:commentReference w:id="8"/>
                  </w:r>
                  <w:r>
                    <w:rPr>
                      <w:rFonts w:hint="eastAsia"/>
                      <w:color w:val="FF0000"/>
                      <w:szCs w:val="21"/>
                      <w:lang w:val="en-US" w:eastAsia="zh-CN"/>
                    </w:rPr>
                    <w:t>排风机组和送风机组均内置高效过滤器，送风机组除高效过滤器外，还内置了中效过滤器和低效过滤器。</w:t>
                  </w:r>
                </w:p>
                <w:p>
                  <w:pPr>
                    <w:adjustRightInd w:val="0"/>
                    <w:snapToGrid w:val="0"/>
                    <w:rPr>
                      <w:szCs w:val="21"/>
                    </w:rPr>
                  </w:pPr>
                  <w:r>
                    <w:rPr>
                      <w:rFonts w:hint="eastAsia"/>
                      <w:szCs w:val="21"/>
                    </w:rPr>
                    <w:t>⑤清洁区应先启动送风机，再启动排风机；隔离区应先启动排风机，再启动送风机；各区之间风机启动先后顺序应为污染区、清洁区；关闭时，先关闭送风机，后关闭排风机。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restart"/>
                  <w:vAlign w:val="center"/>
                </w:tcPr>
                <w:p>
                  <w:pPr>
                    <w:adjustRightInd w:val="0"/>
                    <w:snapToGrid w:val="0"/>
                    <w:jc w:val="center"/>
                    <w:rPr>
                      <w:rFonts w:ascii="宋体" w:hAnsi="宋体" w:cs="宋体"/>
                      <w:bCs/>
                      <w:szCs w:val="21"/>
                    </w:rPr>
                  </w:pPr>
                  <w:r>
                    <w:rPr>
                      <w:rFonts w:hint="eastAsia" w:cs="宋体"/>
                      <w:bCs/>
                      <w:szCs w:val="21"/>
                    </w:rPr>
                    <w:t>4</w:t>
                  </w:r>
                </w:p>
              </w:tc>
              <w:tc>
                <w:tcPr>
                  <w:tcW w:w="292" w:type="pct"/>
                  <w:vMerge w:val="restart"/>
                  <w:vAlign w:val="center"/>
                </w:tcPr>
                <w:p>
                  <w:pPr>
                    <w:adjustRightInd w:val="0"/>
                    <w:snapToGrid w:val="0"/>
                    <w:jc w:val="center"/>
                    <w:rPr>
                      <w:rFonts w:ascii="宋体" w:hAnsi="宋体" w:cs="宋体"/>
                      <w:bCs/>
                      <w:szCs w:val="21"/>
                    </w:rPr>
                  </w:pPr>
                  <w:r>
                    <w:rPr>
                      <w:rFonts w:hint="eastAsia" w:ascii="宋体" w:hAnsi="宋体" w:cs="宋体"/>
                      <w:bCs/>
                      <w:szCs w:val="21"/>
                    </w:rPr>
                    <w:t>环保工程</w:t>
                  </w: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废气</w:t>
                  </w:r>
                </w:p>
              </w:tc>
              <w:tc>
                <w:tcPr>
                  <w:tcW w:w="3825" w:type="pct"/>
                  <w:vAlign w:val="center"/>
                </w:tcPr>
                <w:p>
                  <w:pPr>
                    <w:pStyle w:val="5"/>
                    <w:ind w:firstLine="0"/>
                    <w:rPr>
                      <w:rFonts w:ascii="宋体" w:hAnsi="宋体" w:cs="宋体"/>
                      <w:bCs/>
                      <w:sz w:val="21"/>
                      <w:szCs w:val="21"/>
                    </w:rPr>
                  </w:pPr>
                  <w:r>
                    <w:rPr>
                      <w:rFonts w:hint="eastAsia"/>
                      <w:sz w:val="21"/>
                      <w:szCs w:val="21"/>
                    </w:rPr>
                    <w:t>项目不产生废气。项目污水处理完全依托隔壁的方舱医院污水处理站处理，方舱医院污水处理站污水处理时会产生臭气等气体，方舱医院的污水处理站化粪池、调节池均为地埋池体，一体化污水处理设备为封闭装置置于封闭设备间内，采取定期喷洒除臭药剂进行除臭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continue"/>
                  <w:vAlign w:val="center"/>
                </w:tcPr>
                <w:p>
                  <w:pPr>
                    <w:adjustRightInd w:val="0"/>
                    <w:snapToGrid w:val="0"/>
                    <w:jc w:val="center"/>
                    <w:rPr>
                      <w:rFonts w:ascii="宋体" w:hAnsi="宋体"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噪声</w:t>
                  </w:r>
                </w:p>
              </w:tc>
              <w:tc>
                <w:tcPr>
                  <w:tcW w:w="3825" w:type="pct"/>
                  <w:vAlign w:val="center"/>
                </w:tcPr>
                <w:p>
                  <w:pPr>
                    <w:adjustRightInd w:val="0"/>
                    <w:snapToGrid w:val="0"/>
                    <w:rPr>
                      <w:rFonts w:ascii="宋体" w:hAnsi="宋体" w:cs="宋体"/>
                      <w:bCs/>
                      <w:szCs w:val="21"/>
                    </w:rPr>
                  </w:pPr>
                  <w:r>
                    <w:rPr>
                      <w:rFonts w:hint="eastAsia"/>
                      <w:szCs w:val="21"/>
                    </w:rPr>
                    <w:t>设备间封闭、使用低噪声设备、设备基础减振、合理布局等措施。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Merge w:val="continue"/>
                  <w:vAlign w:val="center"/>
                </w:tcPr>
                <w:p>
                  <w:pPr>
                    <w:adjustRightInd w:val="0"/>
                    <w:snapToGrid w:val="0"/>
                    <w:jc w:val="center"/>
                    <w:rPr>
                      <w:rFonts w:ascii="宋体" w:hAnsi="宋体" w:cs="宋体"/>
                      <w:bCs/>
                      <w:szCs w:val="21"/>
                    </w:rPr>
                  </w:pPr>
                </w:p>
              </w:tc>
              <w:tc>
                <w:tcPr>
                  <w:tcW w:w="292" w:type="pct"/>
                  <w:vMerge w:val="continue"/>
                  <w:vAlign w:val="center"/>
                </w:tcPr>
                <w:p>
                  <w:pPr>
                    <w:adjustRightInd w:val="0"/>
                    <w:snapToGrid w:val="0"/>
                    <w:jc w:val="center"/>
                    <w:rPr>
                      <w:rFonts w:ascii="宋体" w:hAnsi="宋体" w:cs="宋体"/>
                      <w:bCs/>
                      <w:szCs w:val="21"/>
                    </w:rPr>
                  </w:pPr>
                </w:p>
              </w:tc>
              <w:tc>
                <w:tcPr>
                  <w:tcW w:w="628" w:type="pct"/>
                  <w:vAlign w:val="center"/>
                </w:tcPr>
                <w:p>
                  <w:pPr>
                    <w:adjustRightInd w:val="0"/>
                    <w:snapToGrid w:val="0"/>
                    <w:jc w:val="center"/>
                    <w:rPr>
                      <w:rFonts w:ascii="宋体" w:hAnsi="宋体" w:cs="宋体"/>
                      <w:bCs/>
                      <w:szCs w:val="21"/>
                    </w:rPr>
                  </w:pPr>
                  <w:r>
                    <w:rPr>
                      <w:rFonts w:hint="eastAsia" w:ascii="宋体" w:hAnsi="宋体" w:cs="宋体"/>
                      <w:bCs/>
                      <w:szCs w:val="21"/>
                    </w:rPr>
                    <w:t>固体废物</w:t>
                  </w:r>
                </w:p>
              </w:tc>
              <w:tc>
                <w:tcPr>
                  <w:tcW w:w="3825" w:type="pct"/>
                  <w:vAlign w:val="center"/>
                </w:tcPr>
                <w:p>
                  <w:pPr>
                    <w:adjustRightInd w:val="0"/>
                    <w:snapToGrid w:val="0"/>
                    <w:rPr>
                      <w:szCs w:val="21"/>
                    </w:rPr>
                  </w:pPr>
                  <w:r>
                    <w:rPr>
                      <w:rFonts w:hint="eastAsia"/>
                      <w:bCs/>
                      <w:szCs w:val="21"/>
                    </w:rPr>
                    <w:t>根据《国家卫生健康委办公厅关于做好新型冠状病毒感染的肺炎疫情期间医疗机构医疗废物管理工作的通知》（国卫办医函[2020]81号），医疗机构在诊疗新型冠状病毒感染的肺炎患者及疑似患者发热门诊和病区（房）产生的废弃物，包括医疗废物和生活垃圾，均应当按照医疗废物进行分类收集。收集后</w:t>
                  </w:r>
                  <w:r>
                    <w:rPr>
                      <w:rFonts w:hint="eastAsia"/>
                      <w:szCs w:val="21"/>
                    </w:rPr>
                    <w:t>暂存于医疗废物贮存间，定期委托有资质单位处置。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 w:type="pct"/>
                  <w:vAlign w:val="center"/>
                </w:tcPr>
                <w:p>
                  <w:pPr>
                    <w:adjustRightInd w:val="0"/>
                    <w:snapToGrid w:val="0"/>
                    <w:jc w:val="center"/>
                    <w:rPr>
                      <w:rFonts w:ascii="宋体" w:hAnsi="宋体" w:cs="宋体"/>
                      <w:bCs/>
                      <w:szCs w:val="21"/>
                    </w:rPr>
                  </w:pPr>
                  <w:r>
                    <w:rPr>
                      <w:rFonts w:hint="eastAsia" w:cs="宋体"/>
                      <w:bCs/>
                      <w:szCs w:val="21"/>
                    </w:rPr>
                    <w:t>5</w:t>
                  </w:r>
                </w:p>
              </w:tc>
              <w:tc>
                <w:tcPr>
                  <w:tcW w:w="292" w:type="pct"/>
                  <w:vAlign w:val="center"/>
                </w:tcPr>
                <w:p>
                  <w:pPr>
                    <w:adjustRightInd w:val="0"/>
                    <w:snapToGrid w:val="0"/>
                    <w:jc w:val="center"/>
                    <w:rPr>
                      <w:rFonts w:ascii="宋体" w:hAnsi="宋体" w:cs="宋体"/>
                      <w:bCs/>
                      <w:szCs w:val="21"/>
                    </w:rPr>
                  </w:pPr>
                  <w:r>
                    <w:rPr>
                      <w:rFonts w:hint="eastAsia" w:ascii="宋体" w:hAnsi="宋体" w:cs="宋体"/>
                      <w:bCs/>
                      <w:szCs w:val="21"/>
                    </w:rPr>
                    <w:t>依托工程</w:t>
                  </w:r>
                </w:p>
              </w:tc>
              <w:tc>
                <w:tcPr>
                  <w:tcW w:w="628" w:type="pct"/>
                  <w:vAlign w:val="center"/>
                </w:tcPr>
                <w:p>
                  <w:pPr>
                    <w:adjustRightInd w:val="0"/>
                    <w:snapToGrid w:val="0"/>
                    <w:jc w:val="center"/>
                    <w:rPr>
                      <w:rFonts w:hint="default" w:ascii="宋体" w:hAnsi="宋体" w:cs="宋体"/>
                      <w:bCs/>
                      <w:szCs w:val="21"/>
                      <w:lang w:val="en-US"/>
                    </w:rPr>
                  </w:pPr>
                  <w:r>
                    <w:rPr>
                      <w:rFonts w:hint="eastAsia" w:ascii="宋体" w:hAnsi="宋体" w:cs="宋体"/>
                      <w:bCs/>
                      <w:szCs w:val="21"/>
                      <w:lang w:val="en-US" w:eastAsia="zh-CN"/>
                    </w:rPr>
                    <w:t>污水处理工程</w:t>
                  </w:r>
                </w:p>
              </w:tc>
              <w:tc>
                <w:tcPr>
                  <w:tcW w:w="3825" w:type="pct"/>
                  <w:vAlign w:val="center"/>
                </w:tcPr>
                <w:p>
                  <w:pPr>
                    <w:adjustRightInd w:val="0"/>
                    <w:snapToGrid w:val="0"/>
                    <w:rPr>
                      <w:bCs/>
                      <w:szCs w:val="21"/>
                    </w:rPr>
                  </w:pPr>
                  <w:r>
                    <w:rPr>
                      <w:rFonts w:hint="eastAsia"/>
                      <w:szCs w:val="21"/>
                    </w:rPr>
                    <w:t>项目污水处理完全依托隔壁的方舱医院污水处理站处理，方舱医院院区内建设</w:t>
                  </w:r>
                  <w:r>
                    <w:rPr>
                      <w:szCs w:val="21"/>
                    </w:rPr>
                    <w:t>1座</w:t>
                  </w:r>
                  <w:r>
                    <w:rPr>
                      <w:rFonts w:hint="eastAsia"/>
                      <w:szCs w:val="21"/>
                    </w:rPr>
                    <w:t>污水处理站，位于院区南侧，主要工程内容为1座化粪池、1座调节池和1台一体化污水处理设备，其中化粪池、调节池均位于地下，一体化污水处理设备位于封闭设备间内，化粪池为玻璃钢结构，直径为3.2m、长度为13m，容积为33.28m</w:t>
                  </w:r>
                  <w:r>
                    <w:rPr>
                      <w:rFonts w:hint="eastAsia"/>
                      <w:szCs w:val="21"/>
                      <w:vertAlign w:val="superscript"/>
                    </w:rPr>
                    <w:t>3</w:t>
                  </w:r>
                  <w:r>
                    <w:rPr>
                      <w:rFonts w:hint="eastAsia"/>
                      <w:szCs w:val="21"/>
                    </w:rPr>
                    <w:t>；调节池玻璃钢结构，直径为3.2m、长度为13m，容积为33.28m</w:t>
                  </w:r>
                  <w:r>
                    <w:rPr>
                      <w:rFonts w:hint="eastAsia"/>
                      <w:szCs w:val="21"/>
                      <w:vertAlign w:val="superscript"/>
                    </w:rPr>
                    <w:t>3</w:t>
                  </w:r>
                  <w:r>
                    <w:rPr>
                      <w:szCs w:val="21"/>
                    </w:rPr>
                    <w:t>，</w:t>
                  </w:r>
                  <w:r>
                    <w:rPr>
                      <w:rFonts w:hint="eastAsia"/>
                      <w:szCs w:val="21"/>
                    </w:rPr>
                    <w:t>设备间占地面积为105m</w:t>
                  </w:r>
                  <w:r>
                    <w:rPr>
                      <w:rFonts w:hint="eastAsia"/>
                      <w:szCs w:val="21"/>
                      <w:vertAlign w:val="superscript"/>
                    </w:rPr>
                    <w:t>2</w:t>
                  </w:r>
                  <w:r>
                    <w:rPr>
                      <w:rFonts w:hint="eastAsia"/>
                      <w:szCs w:val="21"/>
                    </w:rPr>
                    <w:t>（15m</w:t>
                  </w:r>
                  <w:r>
                    <w:rPr>
                      <w:szCs w:val="21"/>
                    </w:rPr>
                    <w:t>×</w:t>
                  </w:r>
                  <w:r>
                    <w:rPr>
                      <w:rFonts w:hint="eastAsia"/>
                      <w:szCs w:val="21"/>
                    </w:rPr>
                    <w:t>7</w:t>
                  </w:r>
                  <w:r>
                    <w:rPr>
                      <w:szCs w:val="21"/>
                    </w:rPr>
                    <w:t>m）</w:t>
                  </w:r>
                  <w:r>
                    <w:rPr>
                      <w:rFonts w:hint="eastAsia"/>
                      <w:szCs w:val="21"/>
                    </w:rPr>
                    <w:t>，污水</w:t>
                  </w:r>
                  <w:r>
                    <w:rPr>
                      <w:szCs w:val="21"/>
                    </w:rPr>
                    <w:t>处理能力为200m</w:t>
                  </w:r>
                  <w:r>
                    <w:rPr>
                      <w:szCs w:val="21"/>
                      <w:vertAlign w:val="superscript"/>
                    </w:rPr>
                    <w:t>3</w:t>
                  </w:r>
                  <w:r>
                    <w:rPr>
                      <w:szCs w:val="21"/>
                    </w:rPr>
                    <w:t>/d，污水处理工艺采用</w:t>
                  </w:r>
                  <w:r>
                    <w:rPr>
                      <w:rFonts w:hint="eastAsia"/>
                      <w:szCs w:val="21"/>
                    </w:rPr>
                    <w:t>AO</w:t>
                  </w:r>
                  <w:r>
                    <w:rPr>
                      <w:szCs w:val="21"/>
                    </w:rPr>
                    <w:t>。污水经院</w:t>
                  </w:r>
                  <w:r>
                    <w:rPr>
                      <w:rFonts w:hint="eastAsia"/>
                      <w:szCs w:val="21"/>
                    </w:rPr>
                    <w:t>区内污水处理站处理后</w:t>
                  </w:r>
                  <w:r>
                    <w:rPr>
                      <w:szCs w:val="21"/>
                    </w:rPr>
                    <w:t>，</w:t>
                  </w:r>
                  <w:r>
                    <w:rPr>
                      <w:rFonts w:hint="eastAsia"/>
                      <w:szCs w:val="21"/>
                    </w:rPr>
                    <w:t>出水满足《医疗机构水污染物排放标准》（GB18466-2005）表1中传染病、结核病医疗机构水污染物排放限值要求，同时满足宽城碧水源环保有限公司污水处理厂进水水质指标要求，通过城镇污水管网排入宽城碧水源环保有限公司污水处理厂进一步处理。</w:t>
                  </w:r>
                </w:p>
              </w:tc>
            </w:tr>
          </w:tbl>
          <w:p>
            <w:pPr>
              <w:numPr>
                <w:ilvl w:val="0"/>
                <w:numId w:val="3"/>
              </w:numPr>
              <w:adjustRightInd w:val="0"/>
              <w:snapToGrid w:val="0"/>
              <w:spacing w:line="360" w:lineRule="auto"/>
              <w:jc w:val="left"/>
              <w:rPr>
                <w:rFonts w:ascii="宋体" w:hAnsi="宋体" w:cs="宋体"/>
                <w:b/>
                <w:sz w:val="24"/>
              </w:rPr>
            </w:pPr>
            <w:r>
              <w:rPr>
                <w:rFonts w:ascii="宋体" w:hAnsi="宋体" w:cs="宋体"/>
                <w:b/>
                <w:sz w:val="24"/>
              </w:rPr>
              <w:t>原辅材料及能源消耗：</w:t>
            </w:r>
          </w:p>
          <w:p>
            <w:pPr>
              <w:pStyle w:val="45"/>
              <w:ind w:firstLine="480"/>
            </w:pPr>
            <w:r>
              <w:rPr>
                <w:rFonts w:hint="eastAsia"/>
              </w:rPr>
              <w:t>项目运营期主要原辅材料</w:t>
            </w:r>
            <w:r>
              <w:t>如下表所示。</w:t>
            </w:r>
          </w:p>
          <w:p>
            <w:pPr>
              <w:adjustRightInd w:val="0"/>
              <w:snapToGrid w:val="0"/>
              <w:spacing w:line="360" w:lineRule="auto"/>
              <w:jc w:val="center"/>
              <w:rPr>
                <w:rFonts w:ascii="宋体" w:hAnsi="宋体" w:cs="宋体"/>
                <w:b/>
                <w:szCs w:val="21"/>
              </w:rPr>
            </w:pPr>
            <w:r>
              <w:rPr>
                <w:rFonts w:ascii="宋体" w:hAnsi="宋体" w:cs="宋体"/>
                <w:b/>
                <w:szCs w:val="21"/>
              </w:rPr>
              <w:t>表</w:t>
            </w:r>
            <w:r>
              <w:rPr>
                <w:rFonts w:hint="eastAsia" w:cs="宋体"/>
                <w:b/>
                <w:szCs w:val="21"/>
              </w:rPr>
              <w:t>2</w:t>
            </w:r>
            <w:r>
              <w:rPr>
                <w:rFonts w:hint="eastAsia" w:ascii="宋体" w:hAnsi="宋体" w:cs="宋体"/>
                <w:b/>
                <w:szCs w:val="21"/>
              </w:rPr>
              <w:t>-</w:t>
            </w:r>
            <w:r>
              <w:rPr>
                <w:rFonts w:hint="eastAsia" w:cs="宋体"/>
                <w:b/>
                <w:szCs w:val="21"/>
              </w:rPr>
              <w:t>2</w:t>
            </w:r>
            <w:r>
              <w:rPr>
                <w:rFonts w:ascii="宋体" w:hAnsi="宋体" w:cs="宋体"/>
                <w:b/>
                <w:szCs w:val="21"/>
              </w:rPr>
              <w:t xml:space="preserve">  原辅材料及能源消耗表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041"/>
              <w:gridCol w:w="1759"/>
              <w:gridCol w:w="1401"/>
              <w:gridCol w:w="140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widowControl/>
                    <w:spacing w:line="240" w:lineRule="atLeast"/>
                    <w:jc w:val="center"/>
                    <w:textAlignment w:val="center"/>
                    <w:rPr>
                      <w:szCs w:val="21"/>
                    </w:rPr>
                  </w:pPr>
                  <w:r>
                    <w:rPr>
                      <w:b/>
                      <w:bCs/>
                      <w:kern w:val="0"/>
                      <w:szCs w:val="21"/>
                      <w:lang w:bidi="ar"/>
                    </w:rPr>
                    <w:t>类别</w:t>
                  </w:r>
                </w:p>
              </w:tc>
              <w:tc>
                <w:tcPr>
                  <w:tcW w:w="619" w:type="pct"/>
                  <w:vAlign w:val="center"/>
                </w:tcPr>
                <w:p>
                  <w:pPr>
                    <w:widowControl/>
                    <w:spacing w:line="240" w:lineRule="atLeast"/>
                    <w:jc w:val="center"/>
                    <w:textAlignment w:val="center"/>
                    <w:rPr>
                      <w:szCs w:val="21"/>
                    </w:rPr>
                  </w:pPr>
                  <w:r>
                    <w:rPr>
                      <w:b/>
                      <w:bCs/>
                      <w:kern w:val="0"/>
                      <w:szCs w:val="21"/>
                      <w:lang w:bidi="ar"/>
                    </w:rPr>
                    <w:t>序号</w:t>
                  </w:r>
                </w:p>
              </w:tc>
              <w:tc>
                <w:tcPr>
                  <w:tcW w:w="1046" w:type="pct"/>
                  <w:vAlign w:val="center"/>
                </w:tcPr>
                <w:p>
                  <w:pPr>
                    <w:widowControl/>
                    <w:spacing w:line="240" w:lineRule="atLeast"/>
                    <w:jc w:val="center"/>
                    <w:textAlignment w:val="center"/>
                    <w:rPr>
                      <w:szCs w:val="21"/>
                    </w:rPr>
                  </w:pPr>
                  <w:r>
                    <w:rPr>
                      <w:b/>
                      <w:bCs/>
                      <w:kern w:val="0"/>
                      <w:szCs w:val="21"/>
                      <w:lang w:bidi="ar"/>
                    </w:rPr>
                    <w:t>名称</w:t>
                  </w:r>
                </w:p>
              </w:tc>
              <w:tc>
                <w:tcPr>
                  <w:tcW w:w="833" w:type="pct"/>
                  <w:vAlign w:val="center"/>
                </w:tcPr>
                <w:p>
                  <w:pPr>
                    <w:widowControl/>
                    <w:spacing w:line="240" w:lineRule="atLeast"/>
                    <w:jc w:val="center"/>
                    <w:textAlignment w:val="center"/>
                    <w:rPr>
                      <w:szCs w:val="21"/>
                    </w:rPr>
                  </w:pPr>
                  <w:r>
                    <w:rPr>
                      <w:b/>
                      <w:bCs/>
                      <w:kern w:val="0"/>
                      <w:szCs w:val="21"/>
                      <w:lang w:bidi="ar"/>
                    </w:rPr>
                    <w:t>计量单位</w:t>
                  </w:r>
                </w:p>
              </w:tc>
              <w:tc>
                <w:tcPr>
                  <w:tcW w:w="833" w:type="pct"/>
                  <w:vAlign w:val="center"/>
                </w:tcPr>
                <w:p>
                  <w:pPr>
                    <w:widowControl/>
                    <w:spacing w:line="240" w:lineRule="atLeast"/>
                    <w:jc w:val="center"/>
                    <w:textAlignment w:val="center"/>
                    <w:rPr>
                      <w:szCs w:val="21"/>
                    </w:rPr>
                  </w:pPr>
                  <w:r>
                    <w:rPr>
                      <w:b/>
                      <w:bCs/>
                      <w:kern w:val="0"/>
                      <w:szCs w:val="21"/>
                      <w:lang w:bidi="ar"/>
                    </w:rPr>
                    <w:t>数量</w:t>
                  </w:r>
                </w:p>
              </w:tc>
              <w:tc>
                <w:tcPr>
                  <w:tcW w:w="833" w:type="pct"/>
                  <w:vAlign w:val="center"/>
                </w:tcPr>
                <w:p>
                  <w:pPr>
                    <w:widowControl/>
                    <w:spacing w:line="240" w:lineRule="atLeast"/>
                    <w:jc w:val="center"/>
                    <w:textAlignment w:val="center"/>
                    <w:rPr>
                      <w:szCs w:val="21"/>
                    </w:rPr>
                  </w:pPr>
                  <w:r>
                    <w:rPr>
                      <w:b/>
                      <w:bCs/>
                      <w:kern w:val="0"/>
                      <w:szCs w:val="21"/>
                      <w:lang w:bidi="ar"/>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restart"/>
                  <w:vAlign w:val="center"/>
                </w:tcPr>
                <w:p>
                  <w:pPr>
                    <w:widowControl/>
                    <w:spacing w:line="240" w:lineRule="atLeast"/>
                    <w:jc w:val="center"/>
                    <w:textAlignment w:val="center"/>
                    <w:rPr>
                      <w:kern w:val="0"/>
                      <w:szCs w:val="21"/>
                      <w:lang w:bidi="ar"/>
                    </w:rPr>
                  </w:pPr>
                  <w:r>
                    <w:rPr>
                      <w:kern w:val="0"/>
                      <w:szCs w:val="21"/>
                      <w:lang w:bidi="ar"/>
                    </w:rPr>
                    <w:t>医用防护</w:t>
                  </w:r>
                </w:p>
                <w:p>
                  <w:pPr>
                    <w:widowControl/>
                    <w:spacing w:line="240" w:lineRule="atLeast"/>
                    <w:jc w:val="center"/>
                    <w:textAlignment w:val="center"/>
                    <w:rPr>
                      <w:szCs w:val="21"/>
                    </w:rPr>
                  </w:pPr>
                  <w:r>
                    <w:rPr>
                      <w:kern w:val="0"/>
                      <w:szCs w:val="21"/>
                      <w:lang w:bidi="ar"/>
                    </w:rPr>
                    <w:t>用品</w:t>
                  </w:r>
                </w:p>
              </w:tc>
              <w:tc>
                <w:tcPr>
                  <w:tcW w:w="619" w:type="pct"/>
                  <w:vAlign w:val="center"/>
                </w:tcPr>
                <w:p>
                  <w:pPr>
                    <w:widowControl/>
                    <w:spacing w:line="240" w:lineRule="atLeast"/>
                    <w:jc w:val="center"/>
                    <w:textAlignment w:val="center"/>
                    <w:rPr>
                      <w:szCs w:val="21"/>
                    </w:rPr>
                  </w:pPr>
                  <w:r>
                    <w:rPr>
                      <w:kern w:val="0"/>
                      <w:szCs w:val="21"/>
                      <w:lang w:bidi="ar"/>
                    </w:rPr>
                    <w:t>1</w:t>
                  </w:r>
                </w:p>
              </w:tc>
              <w:tc>
                <w:tcPr>
                  <w:tcW w:w="1046" w:type="pct"/>
                  <w:vAlign w:val="center"/>
                </w:tcPr>
                <w:p>
                  <w:pPr>
                    <w:widowControl/>
                    <w:spacing w:line="240" w:lineRule="atLeast"/>
                    <w:jc w:val="center"/>
                    <w:textAlignment w:val="center"/>
                    <w:rPr>
                      <w:szCs w:val="21"/>
                    </w:rPr>
                  </w:pPr>
                  <w:r>
                    <w:rPr>
                      <w:kern w:val="0"/>
                      <w:szCs w:val="21"/>
                      <w:lang w:bidi="ar"/>
                    </w:rPr>
                    <w:t>医用防护服</w:t>
                  </w:r>
                </w:p>
              </w:tc>
              <w:tc>
                <w:tcPr>
                  <w:tcW w:w="833" w:type="pct"/>
                  <w:vAlign w:val="center"/>
                </w:tcPr>
                <w:p>
                  <w:pPr>
                    <w:widowControl/>
                    <w:spacing w:line="240" w:lineRule="atLeast"/>
                    <w:jc w:val="center"/>
                    <w:textAlignment w:val="center"/>
                    <w:rPr>
                      <w:szCs w:val="21"/>
                    </w:rPr>
                  </w:pPr>
                  <w:r>
                    <w:rPr>
                      <w:kern w:val="0"/>
                      <w:szCs w:val="21"/>
                      <w:lang w:bidi="ar"/>
                    </w:rPr>
                    <w:t>套</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360</w:t>
                  </w:r>
                </w:p>
              </w:tc>
              <w:tc>
                <w:tcPr>
                  <w:tcW w:w="833" w:type="pct"/>
                  <w:vAlign w:val="center"/>
                </w:tcPr>
                <w:p>
                  <w:pPr>
                    <w:widowControl/>
                    <w:spacing w:line="240" w:lineRule="atLeast"/>
                    <w:jc w:val="center"/>
                    <w:textAlignment w:val="center"/>
                    <w:rPr>
                      <w:szCs w:val="21"/>
                    </w:rPr>
                  </w:pPr>
                  <w:r>
                    <w:rPr>
                      <w:kern w:val="0"/>
                      <w:szCs w:val="21"/>
                      <w:lang w:bidi="ar"/>
                    </w:rPr>
                    <w:t>符合医疗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2</w:t>
                  </w:r>
                </w:p>
              </w:tc>
              <w:tc>
                <w:tcPr>
                  <w:tcW w:w="1046" w:type="pct"/>
                  <w:vAlign w:val="center"/>
                </w:tcPr>
                <w:p>
                  <w:pPr>
                    <w:widowControl/>
                    <w:spacing w:line="240" w:lineRule="atLeast"/>
                    <w:jc w:val="center"/>
                    <w:textAlignment w:val="center"/>
                    <w:rPr>
                      <w:szCs w:val="21"/>
                    </w:rPr>
                  </w:pPr>
                  <w:r>
                    <w:rPr>
                      <w:kern w:val="0"/>
                      <w:szCs w:val="21"/>
                      <w:lang w:bidi="ar"/>
                    </w:rPr>
                    <w:t>医用N95口罩</w:t>
                  </w:r>
                </w:p>
              </w:tc>
              <w:tc>
                <w:tcPr>
                  <w:tcW w:w="833" w:type="pct"/>
                  <w:vAlign w:val="center"/>
                </w:tcPr>
                <w:p>
                  <w:pPr>
                    <w:widowControl/>
                    <w:spacing w:line="240" w:lineRule="atLeast"/>
                    <w:jc w:val="center"/>
                    <w:textAlignment w:val="center"/>
                    <w:rPr>
                      <w:szCs w:val="21"/>
                    </w:rPr>
                  </w:pPr>
                  <w:r>
                    <w:rPr>
                      <w:kern w:val="0"/>
                      <w:szCs w:val="21"/>
                      <w:lang w:bidi="ar"/>
                    </w:rPr>
                    <w:t>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1200</w:t>
                  </w:r>
                </w:p>
              </w:tc>
              <w:tc>
                <w:tcPr>
                  <w:tcW w:w="833" w:type="pct"/>
                  <w:vAlign w:val="center"/>
                </w:tcPr>
                <w:p>
                  <w:pPr>
                    <w:widowControl/>
                    <w:spacing w:line="240" w:lineRule="atLeast"/>
                    <w:jc w:val="center"/>
                    <w:textAlignment w:val="center"/>
                    <w:rPr>
                      <w:szCs w:val="21"/>
                    </w:rPr>
                  </w:pPr>
                  <w:r>
                    <w:rPr>
                      <w:kern w:val="0"/>
                      <w:szCs w:val="21"/>
                      <w:lang w:bidi="ar"/>
                    </w:rPr>
                    <w:t>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3</w:t>
                  </w:r>
                </w:p>
              </w:tc>
              <w:tc>
                <w:tcPr>
                  <w:tcW w:w="1046" w:type="pct"/>
                  <w:vAlign w:val="center"/>
                </w:tcPr>
                <w:p>
                  <w:pPr>
                    <w:widowControl/>
                    <w:spacing w:line="240" w:lineRule="atLeast"/>
                    <w:jc w:val="center"/>
                    <w:textAlignment w:val="center"/>
                    <w:rPr>
                      <w:szCs w:val="21"/>
                    </w:rPr>
                  </w:pPr>
                  <w:r>
                    <w:rPr>
                      <w:kern w:val="0"/>
                      <w:szCs w:val="21"/>
                      <w:lang w:bidi="ar"/>
                    </w:rPr>
                    <w:t>医用隔离面罩</w:t>
                  </w:r>
                </w:p>
              </w:tc>
              <w:tc>
                <w:tcPr>
                  <w:tcW w:w="833" w:type="pct"/>
                  <w:vAlign w:val="center"/>
                </w:tcPr>
                <w:p>
                  <w:pPr>
                    <w:widowControl/>
                    <w:spacing w:line="240" w:lineRule="atLeast"/>
                    <w:jc w:val="center"/>
                    <w:textAlignment w:val="center"/>
                    <w:rPr>
                      <w:szCs w:val="21"/>
                    </w:rPr>
                  </w:pPr>
                  <w:r>
                    <w:rPr>
                      <w:kern w:val="0"/>
                      <w:szCs w:val="21"/>
                      <w:lang w:bidi="ar"/>
                    </w:rPr>
                    <w:t>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1200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4</w:t>
                  </w:r>
                </w:p>
              </w:tc>
              <w:tc>
                <w:tcPr>
                  <w:tcW w:w="1046" w:type="pct"/>
                  <w:vAlign w:val="center"/>
                </w:tcPr>
                <w:p>
                  <w:pPr>
                    <w:widowControl/>
                    <w:spacing w:line="240" w:lineRule="atLeast"/>
                    <w:jc w:val="center"/>
                    <w:textAlignment w:val="center"/>
                    <w:rPr>
                      <w:szCs w:val="21"/>
                    </w:rPr>
                  </w:pPr>
                  <w:r>
                    <w:rPr>
                      <w:kern w:val="0"/>
                      <w:szCs w:val="21"/>
                      <w:lang w:bidi="ar"/>
                    </w:rPr>
                    <w:t>医用隔离眼罩</w:t>
                  </w:r>
                </w:p>
              </w:tc>
              <w:tc>
                <w:tcPr>
                  <w:tcW w:w="833" w:type="pct"/>
                  <w:vAlign w:val="center"/>
                </w:tcPr>
                <w:p>
                  <w:pPr>
                    <w:widowControl/>
                    <w:spacing w:line="240" w:lineRule="atLeast"/>
                    <w:jc w:val="center"/>
                    <w:textAlignment w:val="center"/>
                    <w:rPr>
                      <w:szCs w:val="21"/>
                    </w:rPr>
                  </w:pPr>
                  <w:r>
                    <w:rPr>
                      <w:kern w:val="0"/>
                      <w:szCs w:val="21"/>
                      <w:lang w:bidi="ar"/>
                    </w:rPr>
                    <w:t>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1200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5</w:t>
                  </w:r>
                </w:p>
              </w:tc>
              <w:tc>
                <w:tcPr>
                  <w:tcW w:w="1046" w:type="pct"/>
                  <w:vAlign w:val="center"/>
                </w:tcPr>
                <w:p>
                  <w:pPr>
                    <w:widowControl/>
                    <w:spacing w:line="240" w:lineRule="atLeast"/>
                    <w:jc w:val="center"/>
                    <w:textAlignment w:val="center"/>
                    <w:rPr>
                      <w:szCs w:val="21"/>
                    </w:rPr>
                  </w:pPr>
                  <w:r>
                    <w:rPr>
                      <w:kern w:val="0"/>
                      <w:szCs w:val="21"/>
                      <w:lang w:bidi="ar"/>
                    </w:rPr>
                    <w:t>医用外科口罩</w:t>
                  </w:r>
                </w:p>
              </w:tc>
              <w:tc>
                <w:tcPr>
                  <w:tcW w:w="833" w:type="pct"/>
                  <w:vAlign w:val="center"/>
                </w:tcPr>
                <w:p>
                  <w:pPr>
                    <w:widowControl/>
                    <w:spacing w:line="240" w:lineRule="atLeast"/>
                    <w:jc w:val="center"/>
                    <w:textAlignment w:val="center"/>
                    <w:rPr>
                      <w:szCs w:val="21"/>
                    </w:rPr>
                  </w:pPr>
                  <w:r>
                    <w:rPr>
                      <w:kern w:val="0"/>
                      <w:szCs w:val="21"/>
                      <w:lang w:bidi="ar"/>
                    </w:rPr>
                    <w:t>只</w:t>
                  </w:r>
                </w:p>
              </w:tc>
              <w:tc>
                <w:tcPr>
                  <w:tcW w:w="1402" w:type="dxa"/>
                  <w:vAlign w:val="center"/>
                </w:tcPr>
                <w:p>
                  <w:pPr>
                    <w:widowControl/>
                    <w:spacing w:line="240" w:lineRule="atLeast"/>
                    <w:jc w:val="center"/>
                    <w:textAlignment w:val="center"/>
                    <w:rPr>
                      <w:szCs w:val="21"/>
                    </w:rPr>
                  </w:pPr>
                  <w:r>
                    <w:rPr>
                      <w:kern w:val="0"/>
                      <w:szCs w:val="21"/>
                      <w:lang w:bidi="ar"/>
                    </w:rPr>
                    <w:t>2000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6</w:t>
                  </w:r>
                </w:p>
              </w:tc>
              <w:tc>
                <w:tcPr>
                  <w:tcW w:w="1046" w:type="pct"/>
                  <w:vAlign w:val="center"/>
                </w:tcPr>
                <w:p>
                  <w:pPr>
                    <w:widowControl/>
                    <w:spacing w:line="240" w:lineRule="atLeast"/>
                    <w:jc w:val="center"/>
                    <w:textAlignment w:val="center"/>
                    <w:rPr>
                      <w:szCs w:val="21"/>
                    </w:rPr>
                  </w:pPr>
                  <w:r>
                    <w:rPr>
                      <w:kern w:val="0"/>
                      <w:szCs w:val="21"/>
                      <w:lang w:bidi="ar"/>
                    </w:rPr>
                    <w:t>一次性医用隔离衣</w:t>
                  </w:r>
                </w:p>
              </w:tc>
              <w:tc>
                <w:tcPr>
                  <w:tcW w:w="833" w:type="pct"/>
                  <w:vAlign w:val="center"/>
                </w:tcPr>
                <w:p>
                  <w:pPr>
                    <w:widowControl/>
                    <w:spacing w:line="240" w:lineRule="atLeast"/>
                    <w:jc w:val="center"/>
                    <w:textAlignment w:val="center"/>
                    <w:rPr>
                      <w:szCs w:val="21"/>
                    </w:rPr>
                  </w:pPr>
                  <w:r>
                    <w:rPr>
                      <w:kern w:val="0"/>
                      <w:szCs w:val="21"/>
                      <w:lang w:bidi="ar"/>
                    </w:rPr>
                    <w:t>套</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7</w:t>
                  </w:r>
                </w:p>
              </w:tc>
              <w:tc>
                <w:tcPr>
                  <w:tcW w:w="1046" w:type="pct"/>
                  <w:vAlign w:val="center"/>
                </w:tcPr>
                <w:p>
                  <w:pPr>
                    <w:widowControl/>
                    <w:spacing w:line="240" w:lineRule="atLeast"/>
                    <w:jc w:val="center"/>
                    <w:textAlignment w:val="center"/>
                    <w:rPr>
                      <w:szCs w:val="21"/>
                    </w:rPr>
                  </w:pPr>
                  <w:r>
                    <w:rPr>
                      <w:kern w:val="0"/>
                      <w:szCs w:val="21"/>
                      <w:lang w:bidi="ar"/>
                    </w:rPr>
                    <w:t>一次性医用工作帽</w:t>
                  </w:r>
                </w:p>
              </w:tc>
              <w:tc>
                <w:tcPr>
                  <w:tcW w:w="833" w:type="pct"/>
                  <w:vAlign w:val="center"/>
                </w:tcPr>
                <w:p>
                  <w:pPr>
                    <w:widowControl/>
                    <w:spacing w:line="240" w:lineRule="atLeast"/>
                    <w:jc w:val="center"/>
                    <w:textAlignment w:val="center"/>
                    <w:rPr>
                      <w:szCs w:val="21"/>
                    </w:rPr>
                  </w:pPr>
                  <w:r>
                    <w:rPr>
                      <w:kern w:val="0"/>
                      <w:szCs w:val="21"/>
                      <w:lang w:bidi="ar"/>
                    </w:rPr>
                    <w:t>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8</w:t>
                  </w:r>
                </w:p>
              </w:tc>
              <w:tc>
                <w:tcPr>
                  <w:tcW w:w="1046" w:type="pct"/>
                  <w:vAlign w:val="center"/>
                </w:tcPr>
                <w:p>
                  <w:pPr>
                    <w:widowControl/>
                    <w:spacing w:line="240" w:lineRule="atLeast"/>
                    <w:jc w:val="center"/>
                    <w:textAlignment w:val="center"/>
                    <w:rPr>
                      <w:szCs w:val="21"/>
                    </w:rPr>
                  </w:pPr>
                  <w:r>
                    <w:rPr>
                      <w:kern w:val="0"/>
                      <w:szCs w:val="21"/>
                      <w:lang w:bidi="ar"/>
                    </w:rPr>
                    <w:t>一次性乳胶手套</w:t>
                  </w:r>
                </w:p>
              </w:tc>
              <w:tc>
                <w:tcPr>
                  <w:tcW w:w="833" w:type="pct"/>
                  <w:vAlign w:val="center"/>
                </w:tcPr>
                <w:p>
                  <w:pPr>
                    <w:widowControl/>
                    <w:spacing w:line="240" w:lineRule="atLeast"/>
                    <w:jc w:val="center"/>
                    <w:textAlignment w:val="center"/>
                    <w:rPr>
                      <w:szCs w:val="21"/>
                    </w:rPr>
                  </w:pPr>
                  <w:r>
                    <w:rPr>
                      <w:kern w:val="0"/>
                      <w:szCs w:val="21"/>
                      <w:lang w:bidi="ar"/>
                    </w:rPr>
                    <w:t>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9</w:t>
                  </w:r>
                </w:p>
              </w:tc>
              <w:tc>
                <w:tcPr>
                  <w:tcW w:w="1046" w:type="pct"/>
                  <w:vAlign w:val="center"/>
                </w:tcPr>
                <w:p>
                  <w:pPr>
                    <w:widowControl/>
                    <w:spacing w:line="240" w:lineRule="atLeast"/>
                    <w:jc w:val="center"/>
                    <w:textAlignment w:val="center"/>
                    <w:rPr>
                      <w:szCs w:val="21"/>
                    </w:rPr>
                  </w:pPr>
                  <w:r>
                    <w:rPr>
                      <w:kern w:val="0"/>
                      <w:szCs w:val="21"/>
                      <w:lang w:bidi="ar"/>
                    </w:rPr>
                    <w:t>一次性鞋套</w:t>
                  </w:r>
                </w:p>
              </w:tc>
              <w:tc>
                <w:tcPr>
                  <w:tcW w:w="833" w:type="pct"/>
                  <w:vAlign w:val="center"/>
                </w:tcPr>
                <w:p>
                  <w:pPr>
                    <w:widowControl/>
                    <w:spacing w:line="240" w:lineRule="atLeast"/>
                    <w:jc w:val="center"/>
                    <w:textAlignment w:val="center"/>
                    <w:rPr>
                      <w:szCs w:val="21"/>
                    </w:rPr>
                  </w:pPr>
                  <w:r>
                    <w:rPr>
                      <w:kern w:val="0"/>
                      <w:szCs w:val="21"/>
                      <w:lang w:bidi="ar"/>
                    </w:rPr>
                    <w:t>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10</w:t>
                  </w:r>
                </w:p>
              </w:tc>
              <w:tc>
                <w:tcPr>
                  <w:tcW w:w="1046" w:type="pct"/>
                  <w:vAlign w:val="center"/>
                </w:tcPr>
                <w:p>
                  <w:pPr>
                    <w:widowControl/>
                    <w:spacing w:line="240" w:lineRule="atLeast"/>
                    <w:jc w:val="center"/>
                    <w:textAlignment w:val="center"/>
                    <w:rPr>
                      <w:szCs w:val="21"/>
                    </w:rPr>
                  </w:pPr>
                  <w:r>
                    <w:rPr>
                      <w:kern w:val="0"/>
                      <w:szCs w:val="21"/>
                      <w:lang w:bidi="ar"/>
                    </w:rPr>
                    <w:t>医用靴套</w:t>
                  </w:r>
                </w:p>
              </w:tc>
              <w:tc>
                <w:tcPr>
                  <w:tcW w:w="833" w:type="pct"/>
                  <w:vAlign w:val="center"/>
                </w:tcPr>
                <w:p>
                  <w:pPr>
                    <w:widowControl/>
                    <w:spacing w:line="240" w:lineRule="atLeast"/>
                    <w:jc w:val="center"/>
                    <w:textAlignment w:val="center"/>
                    <w:rPr>
                      <w:szCs w:val="21"/>
                    </w:rPr>
                  </w:pPr>
                  <w:r>
                    <w:rPr>
                      <w:kern w:val="0"/>
                      <w:szCs w:val="21"/>
                      <w:lang w:bidi="ar"/>
                    </w:rPr>
                    <w:t>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widowControl/>
                    <w:spacing w:line="240" w:lineRule="atLeast"/>
                    <w:jc w:val="center"/>
                    <w:textAlignment w:val="center"/>
                    <w:rPr>
                      <w:szCs w:val="21"/>
                    </w:rPr>
                  </w:pPr>
                  <w:r>
                    <w:rPr>
                      <w:kern w:val="0"/>
                      <w:szCs w:val="21"/>
                      <w:lang w:bidi="ar"/>
                    </w:rPr>
                    <w:t>核酸检测</w:t>
                  </w:r>
                </w:p>
              </w:tc>
              <w:tc>
                <w:tcPr>
                  <w:tcW w:w="619" w:type="pct"/>
                  <w:vAlign w:val="center"/>
                </w:tcPr>
                <w:p>
                  <w:pPr>
                    <w:widowControl/>
                    <w:spacing w:line="240" w:lineRule="atLeast"/>
                    <w:jc w:val="center"/>
                    <w:textAlignment w:val="center"/>
                    <w:rPr>
                      <w:szCs w:val="21"/>
                    </w:rPr>
                  </w:pPr>
                  <w:r>
                    <w:rPr>
                      <w:kern w:val="0"/>
                      <w:szCs w:val="21"/>
                      <w:lang w:bidi="ar"/>
                    </w:rPr>
                    <w:t>11</w:t>
                  </w:r>
                </w:p>
              </w:tc>
              <w:tc>
                <w:tcPr>
                  <w:tcW w:w="1046" w:type="pct"/>
                  <w:vAlign w:val="center"/>
                </w:tcPr>
                <w:p>
                  <w:pPr>
                    <w:widowControl/>
                    <w:spacing w:line="240" w:lineRule="atLeast"/>
                    <w:jc w:val="center"/>
                    <w:textAlignment w:val="center"/>
                    <w:rPr>
                      <w:szCs w:val="21"/>
                    </w:rPr>
                  </w:pPr>
                  <w:r>
                    <w:rPr>
                      <w:kern w:val="0"/>
                      <w:szCs w:val="21"/>
                      <w:lang w:bidi="ar"/>
                    </w:rPr>
                    <w:t>核酸检测试剂</w:t>
                  </w:r>
                </w:p>
              </w:tc>
              <w:tc>
                <w:tcPr>
                  <w:tcW w:w="833" w:type="pct"/>
                  <w:vAlign w:val="center"/>
                </w:tcPr>
                <w:p>
                  <w:pPr>
                    <w:widowControl/>
                    <w:spacing w:line="240" w:lineRule="atLeast"/>
                    <w:jc w:val="center"/>
                    <w:textAlignment w:val="center"/>
                    <w:rPr>
                      <w:szCs w:val="21"/>
                    </w:rPr>
                  </w:pPr>
                  <w:r>
                    <w:rPr>
                      <w:kern w:val="0"/>
                      <w:szCs w:val="21"/>
                      <w:lang w:bidi="ar"/>
                    </w:rPr>
                    <w:t>份</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12</w:t>
                  </w:r>
                </w:p>
              </w:tc>
              <w:tc>
                <w:tcPr>
                  <w:tcW w:w="1046" w:type="pct"/>
                  <w:vAlign w:val="center"/>
                </w:tcPr>
                <w:p>
                  <w:pPr>
                    <w:widowControl/>
                    <w:spacing w:line="240" w:lineRule="atLeast"/>
                    <w:jc w:val="center"/>
                    <w:textAlignment w:val="center"/>
                    <w:rPr>
                      <w:szCs w:val="21"/>
                    </w:rPr>
                  </w:pPr>
                  <w:r>
                    <w:rPr>
                      <w:kern w:val="0"/>
                      <w:szCs w:val="21"/>
                      <w:lang w:bidi="ar"/>
                    </w:rPr>
                    <w:t>核酸抗原检测试剂盒</w:t>
                  </w:r>
                </w:p>
              </w:tc>
              <w:tc>
                <w:tcPr>
                  <w:tcW w:w="833" w:type="pct"/>
                  <w:vAlign w:val="center"/>
                </w:tcPr>
                <w:p>
                  <w:pPr>
                    <w:widowControl/>
                    <w:spacing w:line="240" w:lineRule="atLeast"/>
                    <w:jc w:val="center"/>
                    <w:textAlignment w:val="center"/>
                    <w:rPr>
                      <w:szCs w:val="21"/>
                    </w:rPr>
                  </w:pPr>
                  <w:r>
                    <w:rPr>
                      <w:kern w:val="0"/>
                      <w:szCs w:val="21"/>
                      <w:lang w:bidi="ar"/>
                    </w:rPr>
                    <w:t>份</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rPr>
                      <w:szCs w:val="21"/>
                    </w:rPr>
                  </w:pPr>
                </w:p>
              </w:tc>
              <w:tc>
                <w:tcPr>
                  <w:tcW w:w="619" w:type="pct"/>
                  <w:vAlign w:val="center"/>
                </w:tcPr>
                <w:p>
                  <w:pPr>
                    <w:widowControl/>
                    <w:spacing w:line="240" w:lineRule="atLeast"/>
                    <w:jc w:val="center"/>
                    <w:textAlignment w:val="center"/>
                    <w:rPr>
                      <w:szCs w:val="21"/>
                    </w:rPr>
                  </w:pPr>
                  <w:r>
                    <w:rPr>
                      <w:kern w:val="0"/>
                      <w:szCs w:val="21"/>
                      <w:lang w:bidi="ar"/>
                    </w:rPr>
                    <w:t>13</w:t>
                  </w:r>
                </w:p>
              </w:tc>
              <w:tc>
                <w:tcPr>
                  <w:tcW w:w="1046" w:type="pct"/>
                  <w:vAlign w:val="center"/>
                </w:tcPr>
                <w:p>
                  <w:pPr>
                    <w:widowControl/>
                    <w:spacing w:line="240" w:lineRule="atLeast"/>
                    <w:jc w:val="center"/>
                    <w:textAlignment w:val="center"/>
                    <w:rPr>
                      <w:szCs w:val="21"/>
                    </w:rPr>
                  </w:pPr>
                  <w:r>
                    <w:rPr>
                      <w:kern w:val="0"/>
                      <w:szCs w:val="21"/>
                      <w:lang w:bidi="ar"/>
                    </w:rPr>
                    <w:t>核酸提取试剂</w:t>
                  </w:r>
                </w:p>
              </w:tc>
              <w:tc>
                <w:tcPr>
                  <w:tcW w:w="833" w:type="pct"/>
                  <w:vAlign w:val="center"/>
                </w:tcPr>
                <w:p>
                  <w:pPr>
                    <w:widowControl/>
                    <w:spacing w:line="240" w:lineRule="atLeast"/>
                    <w:jc w:val="center"/>
                    <w:textAlignment w:val="center"/>
                    <w:rPr>
                      <w:szCs w:val="21"/>
                    </w:rPr>
                  </w:pPr>
                  <w:r>
                    <w:rPr>
                      <w:kern w:val="0"/>
                      <w:szCs w:val="21"/>
                      <w:lang w:bidi="ar"/>
                    </w:rPr>
                    <w:t>份</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Pr>
                <w:p>
                  <w:pPr>
                    <w:pStyle w:val="26"/>
                    <w:ind w:left="420"/>
                    <w:rPr>
                      <w:sz w:val="21"/>
                      <w:szCs w:val="21"/>
                    </w:rPr>
                  </w:pPr>
                </w:p>
              </w:tc>
              <w:tc>
                <w:tcPr>
                  <w:tcW w:w="619" w:type="pct"/>
                  <w:vAlign w:val="center"/>
                </w:tcPr>
                <w:p>
                  <w:pPr>
                    <w:widowControl/>
                    <w:spacing w:line="240" w:lineRule="atLeast"/>
                    <w:jc w:val="center"/>
                    <w:textAlignment w:val="center"/>
                    <w:rPr>
                      <w:szCs w:val="21"/>
                    </w:rPr>
                  </w:pPr>
                  <w:r>
                    <w:rPr>
                      <w:kern w:val="0"/>
                      <w:szCs w:val="21"/>
                      <w:lang w:bidi="ar"/>
                    </w:rPr>
                    <w:t>14</w:t>
                  </w:r>
                </w:p>
              </w:tc>
              <w:tc>
                <w:tcPr>
                  <w:tcW w:w="1046" w:type="pct"/>
                  <w:vAlign w:val="center"/>
                </w:tcPr>
                <w:p>
                  <w:pPr>
                    <w:widowControl/>
                    <w:spacing w:line="240" w:lineRule="atLeast"/>
                    <w:jc w:val="center"/>
                    <w:textAlignment w:val="center"/>
                    <w:rPr>
                      <w:szCs w:val="21"/>
                    </w:rPr>
                  </w:pPr>
                  <w:r>
                    <w:rPr>
                      <w:kern w:val="0"/>
                      <w:szCs w:val="21"/>
                      <w:lang w:bidi="ar"/>
                    </w:rPr>
                    <w:t>病毒采样管</w:t>
                  </w:r>
                </w:p>
              </w:tc>
              <w:tc>
                <w:tcPr>
                  <w:tcW w:w="833" w:type="pct"/>
                  <w:vAlign w:val="center"/>
                </w:tcPr>
                <w:p>
                  <w:pPr>
                    <w:widowControl/>
                    <w:spacing w:line="240" w:lineRule="atLeast"/>
                    <w:jc w:val="center"/>
                    <w:textAlignment w:val="center"/>
                    <w:rPr>
                      <w:szCs w:val="21"/>
                    </w:rPr>
                  </w:pPr>
                  <w:r>
                    <w:rPr>
                      <w:kern w:val="0"/>
                      <w:szCs w:val="21"/>
                      <w:lang w:bidi="ar"/>
                    </w:rPr>
                    <w:t>单管(支）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restart"/>
                  <w:vAlign w:val="center"/>
                </w:tcPr>
                <w:p>
                  <w:pPr>
                    <w:widowControl/>
                    <w:spacing w:line="240" w:lineRule="atLeast"/>
                    <w:jc w:val="center"/>
                    <w:textAlignment w:val="center"/>
                    <w:rPr>
                      <w:kern w:val="0"/>
                      <w:szCs w:val="21"/>
                      <w:lang w:bidi="ar"/>
                    </w:rPr>
                  </w:pPr>
                  <w:r>
                    <w:rPr>
                      <w:kern w:val="0"/>
                      <w:szCs w:val="21"/>
                      <w:lang w:bidi="ar"/>
                    </w:rPr>
                    <w:t>一次性耗材</w:t>
                  </w:r>
                </w:p>
              </w:tc>
              <w:tc>
                <w:tcPr>
                  <w:tcW w:w="619" w:type="pct"/>
                  <w:vAlign w:val="center"/>
                </w:tcPr>
                <w:p>
                  <w:pPr>
                    <w:widowControl/>
                    <w:spacing w:line="240" w:lineRule="atLeast"/>
                    <w:jc w:val="center"/>
                    <w:textAlignment w:val="center"/>
                    <w:rPr>
                      <w:szCs w:val="21"/>
                    </w:rPr>
                  </w:pPr>
                  <w:r>
                    <w:rPr>
                      <w:kern w:val="0"/>
                      <w:szCs w:val="21"/>
                      <w:lang w:bidi="ar"/>
                    </w:rPr>
                    <w:t>15</w:t>
                  </w:r>
                </w:p>
              </w:tc>
              <w:tc>
                <w:tcPr>
                  <w:tcW w:w="1046" w:type="pct"/>
                  <w:vAlign w:val="center"/>
                </w:tcPr>
                <w:p>
                  <w:pPr>
                    <w:widowControl/>
                    <w:spacing w:line="240" w:lineRule="atLeast"/>
                    <w:jc w:val="center"/>
                    <w:textAlignment w:val="center"/>
                    <w:rPr>
                      <w:szCs w:val="21"/>
                    </w:rPr>
                  </w:pPr>
                  <w:r>
                    <w:rPr>
                      <w:kern w:val="0"/>
                      <w:szCs w:val="21"/>
                      <w:lang w:bidi="ar"/>
                    </w:rPr>
                    <w:t>CT胶片</w:t>
                  </w:r>
                </w:p>
              </w:tc>
              <w:tc>
                <w:tcPr>
                  <w:tcW w:w="833" w:type="pct"/>
                  <w:vAlign w:val="center"/>
                </w:tcPr>
                <w:p>
                  <w:pPr>
                    <w:widowControl/>
                    <w:spacing w:line="240" w:lineRule="atLeast"/>
                    <w:jc w:val="center"/>
                    <w:textAlignment w:val="center"/>
                    <w:rPr>
                      <w:szCs w:val="21"/>
                    </w:rPr>
                  </w:pPr>
                  <w:r>
                    <w:rPr>
                      <w:kern w:val="0"/>
                      <w:szCs w:val="21"/>
                      <w:lang w:bidi="ar"/>
                    </w:rPr>
                    <w:t>张</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16</w:t>
                  </w:r>
                </w:p>
              </w:tc>
              <w:tc>
                <w:tcPr>
                  <w:tcW w:w="1046" w:type="pct"/>
                  <w:vAlign w:val="center"/>
                </w:tcPr>
                <w:p>
                  <w:pPr>
                    <w:widowControl/>
                    <w:spacing w:line="240" w:lineRule="atLeast"/>
                    <w:jc w:val="center"/>
                    <w:textAlignment w:val="center"/>
                    <w:rPr>
                      <w:szCs w:val="21"/>
                    </w:rPr>
                  </w:pPr>
                  <w:r>
                    <w:rPr>
                      <w:kern w:val="0"/>
                      <w:szCs w:val="21"/>
                      <w:lang w:bidi="ar"/>
                    </w:rPr>
                    <w:t>一次性输液器</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textAlignment w:val="center"/>
                    <w:rPr>
                      <w:szCs w:val="21"/>
                    </w:rPr>
                  </w:pPr>
                  <w:r>
                    <w:rPr>
                      <w:kern w:val="0"/>
                      <w:szCs w:val="21"/>
                      <w:lang w:bidi="ar"/>
                    </w:rPr>
                    <w:t>7#带贴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17</w:t>
                  </w:r>
                </w:p>
              </w:tc>
              <w:tc>
                <w:tcPr>
                  <w:tcW w:w="1046" w:type="pct"/>
                  <w:vAlign w:val="center"/>
                </w:tcPr>
                <w:p>
                  <w:pPr>
                    <w:widowControl/>
                    <w:spacing w:line="240" w:lineRule="atLeast"/>
                    <w:jc w:val="center"/>
                    <w:textAlignment w:val="center"/>
                    <w:rPr>
                      <w:szCs w:val="21"/>
                    </w:rPr>
                  </w:pPr>
                  <w:r>
                    <w:rPr>
                      <w:kern w:val="0"/>
                      <w:szCs w:val="21"/>
                      <w:lang w:bidi="ar"/>
                    </w:rPr>
                    <w:t>一次性溶药器（20ml）</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18</w:t>
                  </w:r>
                </w:p>
              </w:tc>
              <w:tc>
                <w:tcPr>
                  <w:tcW w:w="1046" w:type="pct"/>
                  <w:vAlign w:val="center"/>
                </w:tcPr>
                <w:p>
                  <w:pPr>
                    <w:widowControl/>
                    <w:spacing w:line="240" w:lineRule="atLeast"/>
                    <w:jc w:val="center"/>
                    <w:textAlignment w:val="center"/>
                    <w:rPr>
                      <w:szCs w:val="21"/>
                    </w:rPr>
                  </w:pPr>
                  <w:r>
                    <w:rPr>
                      <w:kern w:val="0"/>
                      <w:szCs w:val="21"/>
                      <w:lang w:bidi="ar"/>
                    </w:rPr>
                    <w:t>一次性注射器（1ml）</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19</w:t>
                  </w:r>
                </w:p>
              </w:tc>
              <w:tc>
                <w:tcPr>
                  <w:tcW w:w="1046" w:type="pct"/>
                  <w:vAlign w:val="center"/>
                </w:tcPr>
                <w:p>
                  <w:pPr>
                    <w:widowControl/>
                    <w:spacing w:line="240" w:lineRule="atLeast"/>
                    <w:jc w:val="center"/>
                    <w:textAlignment w:val="center"/>
                    <w:rPr>
                      <w:szCs w:val="21"/>
                    </w:rPr>
                  </w:pPr>
                  <w:r>
                    <w:rPr>
                      <w:kern w:val="0"/>
                      <w:szCs w:val="21"/>
                      <w:lang w:bidi="ar"/>
                    </w:rPr>
                    <w:t>一次性注射器（5ml）</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20</w:t>
                  </w:r>
                </w:p>
              </w:tc>
              <w:tc>
                <w:tcPr>
                  <w:tcW w:w="1046" w:type="pct"/>
                  <w:vAlign w:val="center"/>
                </w:tcPr>
                <w:p>
                  <w:pPr>
                    <w:widowControl/>
                    <w:spacing w:line="240" w:lineRule="atLeast"/>
                    <w:jc w:val="center"/>
                    <w:textAlignment w:val="center"/>
                    <w:rPr>
                      <w:szCs w:val="21"/>
                    </w:rPr>
                  </w:pPr>
                  <w:r>
                    <w:rPr>
                      <w:kern w:val="0"/>
                      <w:szCs w:val="21"/>
                      <w:lang w:bidi="ar"/>
                    </w:rPr>
                    <w:t>一次性注射器（10ml）</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21</w:t>
                  </w:r>
                </w:p>
              </w:tc>
              <w:tc>
                <w:tcPr>
                  <w:tcW w:w="1046" w:type="pct"/>
                  <w:vAlign w:val="center"/>
                </w:tcPr>
                <w:p>
                  <w:pPr>
                    <w:widowControl/>
                    <w:spacing w:line="240" w:lineRule="atLeast"/>
                    <w:jc w:val="center"/>
                    <w:textAlignment w:val="center"/>
                    <w:rPr>
                      <w:szCs w:val="21"/>
                    </w:rPr>
                  </w:pPr>
                  <w:r>
                    <w:rPr>
                      <w:kern w:val="0"/>
                      <w:szCs w:val="21"/>
                      <w:lang w:bidi="ar"/>
                    </w:rPr>
                    <w:t>一次性采血管（绿色）</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22</w:t>
                  </w:r>
                </w:p>
              </w:tc>
              <w:tc>
                <w:tcPr>
                  <w:tcW w:w="1046" w:type="pct"/>
                  <w:vAlign w:val="center"/>
                </w:tcPr>
                <w:p>
                  <w:pPr>
                    <w:widowControl/>
                    <w:spacing w:line="240" w:lineRule="atLeast"/>
                    <w:jc w:val="center"/>
                    <w:textAlignment w:val="center"/>
                    <w:rPr>
                      <w:szCs w:val="21"/>
                    </w:rPr>
                  </w:pPr>
                  <w:r>
                    <w:rPr>
                      <w:kern w:val="0"/>
                      <w:szCs w:val="21"/>
                      <w:lang w:bidi="ar"/>
                    </w:rPr>
                    <w:t>一次性采血管（紫色）</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23</w:t>
                  </w:r>
                </w:p>
              </w:tc>
              <w:tc>
                <w:tcPr>
                  <w:tcW w:w="1046" w:type="pct"/>
                  <w:vAlign w:val="center"/>
                </w:tcPr>
                <w:p>
                  <w:pPr>
                    <w:widowControl/>
                    <w:spacing w:line="240" w:lineRule="atLeast"/>
                    <w:jc w:val="center"/>
                    <w:textAlignment w:val="center"/>
                    <w:rPr>
                      <w:szCs w:val="21"/>
                    </w:rPr>
                  </w:pPr>
                  <w:r>
                    <w:rPr>
                      <w:kern w:val="0"/>
                      <w:szCs w:val="21"/>
                      <w:lang w:bidi="ar"/>
                    </w:rPr>
                    <w:t>一次性正压静脉留置针</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200</w:t>
                  </w:r>
                </w:p>
              </w:tc>
              <w:tc>
                <w:tcPr>
                  <w:tcW w:w="833" w:type="pct"/>
                  <w:vAlign w:val="center"/>
                </w:tcPr>
                <w:p>
                  <w:pPr>
                    <w:widowControl/>
                    <w:spacing w:line="240" w:lineRule="atLeast"/>
                    <w:jc w:val="center"/>
                    <w:textAlignment w:val="center"/>
                    <w:rPr>
                      <w:szCs w:val="21"/>
                    </w:rPr>
                  </w:pPr>
                  <w:r>
                    <w:rPr>
                      <w:kern w:val="0"/>
                      <w:szCs w:val="21"/>
                      <w:lang w:bidi="ar"/>
                    </w:rPr>
                    <w:t>20G、22G、24G、26G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24</w:t>
                  </w:r>
                </w:p>
              </w:tc>
              <w:tc>
                <w:tcPr>
                  <w:tcW w:w="1046" w:type="pct"/>
                  <w:vAlign w:val="center"/>
                </w:tcPr>
                <w:p>
                  <w:pPr>
                    <w:widowControl/>
                    <w:spacing w:line="240" w:lineRule="atLeast"/>
                    <w:jc w:val="center"/>
                    <w:textAlignment w:val="center"/>
                    <w:rPr>
                      <w:szCs w:val="21"/>
                    </w:rPr>
                  </w:pPr>
                  <w:r>
                    <w:rPr>
                      <w:kern w:val="0"/>
                      <w:szCs w:val="21"/>
                      <w:lang w:bidi="ar"/>
                    </w:rPr>
                    <w:t>治疗盘</w:t>
                  </w:r>
                </w:p>
              </w:tc>
              <w:tc>
                <w:tcPr>
                  <w:tcW w:w="833" w:type="pct"/>
                  <w:vAlign w:val="center"/>
                </w:tcPr>
                <w:p>
                  <w:pPr>
                    <w:widowControl/>
                    <w:spacing w:line="240" w:lineRule="atLeast"/>
                    <w:jc w:val="center"/>
                    <w:textAlignment w:val="center"/>
                    <w:rPr>
                      <w:szCs w:val="21"/>
                    </w:rPr>
                  </w:pPr>
                  <w:r>
                    <w:rPr>
                      <w:kern w:val="0"/>
                      <w:szCs w:val="21"/>
                      <w:lang w:bidi="ar"/>
                    </w:rPr>
                    <w:t>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r>
                    <w:rPr>
                      <w:rFonts w:hint="eastAsia"/>
                      <w:kern w:val="0"/>
                      <w:szCs w:val="21"/>
                      <w:lang w:bidi="ar"/>
                    </w:rPr>
                    <w:t>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25</w:t>
                  </w:r>
                </w:p>
              </w:tc>
              <w:tc>
                <w:tcPr>
                  <w:tcW w:w="1046" w:type="pct"/>
                  <w:vAlign w:val="center"/>
                </w:tcPr>
                <w:p>
                  <w:pPr>
                    <w:widowControl/>
                    <w:spacing w:line="240" w:lineRule="atLeast"/>
                    <w:jc w:val="center"/>
                    <w:textAlignment w:val="center"/>
                    <w:rPr>
                      <w:szCs w:val="21"/>
                    </w:rPr>
                  </w:pPr>
                  <w:r>
                    <w:rPr>
                      <w:kern w:val="0"/>
                      <w:szCs w:val="21"/>
                      <w:lang w:bidi="ar"/>
                    </w:rPr>
                    <w:t>医用棉签</w:t>
                  </w:r>
                </w:p>
              </w:tc>
              <w:tc>
                <w:tcPr>
                  <w:tcW w:w="833" w:type="pct"/>
                  <w:vAlign w:val="center"/>
                </w:tcPr>
                <w:p>
                  <w:pPr>
                    <w:widowControl/>
                    <w:spacing w:line="240" w:lineRule="atLeast"/>
                    <w:jc w:val="center"/>
                    <w:textAlignment w:val="center"/>
                    <w:rPr>
                      <w:szCs w:val="21"/>
                    </w:rPr>
                  </w:pPr>
                  <w:r>
                    <w:rPr>
                      <w:kern w:val="0"/>
                      <w:szCs w:val="21"/>
                      <w:lang w:bidi="ar"/>
                    </w:rPr>
                    <w:t>包</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200</w:t>
                  </w:r>
                </w:p>
              </w:tc>
              <w:tc>
                <w:tcPr>
                  <w:tcW w:w="833" w:type="pct"/>
                  <w:vAlign w:val="center"/>
                </w:tcPr>
                <w:p>
                  <w:pPr>
                    <w:widowControl/>
                    <w:spacing w:line="240" w:lineRule="atLeast"/>
                    <w:jc w:val="center"/>
                    <w:textAlignment w:val="center"/>
                    <w:rPr>
                      <w:szCs w:val="21"/>
                    </w:rPr>
                  </w:pPr>
                  <w:r>
                    <w:rPr>
                      <w:kern w:val="0"/>
                      <w:szCs w:val="21"/>
                      <w:lang w:bidi="ar"/>
                    </w:rPr>
                    <w:t>50支/包、10支/包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26</w:t>
                  </w:r>
                </w:p>
              </w:tc>
              <w:tc>
                <w:tcPr>
                  <w:tcW w:w="1046" w:type="pct"/>
                  <w:vAlign w:val="center"/>
                </w:tcPr>
                <w:p>
                  <w:pPr>
                    <w:widowControl/>
                    <w:spacing w:line="240" w:lineRule="atLeast"/>
                    <w:jc w:val="center"/>
                    <w:textAlignment w:val="center"/>
                    <w:rPr>
                      <w:szCs w:val="21"/>
                    </w:rPr>
                  </w:pPr>
                  <w:r>
                    <w:rPr>
                      <w:kern w:val="0"/>
                      <w:szCs w:val="21"/>
                      <w:lang w:bidi="ar"/>
                    </w:rPr>
                    <w:t>压舌板</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27</w:t>
                  </w:r>
                </w:p>
              </w:tc>
              <w:tc>
                <w:tcPr>
                  <w:tcW w:w="1046" w:type="pct"/>
                  <w:vAlign w:val="center"/>
                </w:tcPr>
                <w:p>
                  <w:pPr>
                    <w:widowControl/>
                    <w:spacing w:line="240" w:lineRule="atLeast"/>
                    <w:jc w:val="center"/>
                    <w:textAlignment w:val="center"/>
                    <w:rPr>
                      <w:szCs w:val="21"/>
                    </w:rPr>
                  </w:pPr>
                  <w:r>
                    <w:rPr>
                      <w:kern w:val="0"/>
                      <w:szCs w:val="21"/>
                      <w:lang w:bidi="ar"/>
                    </w:rPr>
                    <w:t>病历夹车</w:t>
                  </w:r>
                </w:p>
              </w:tc>
              <w:tc>
                <w:tcPr>
                  <w:tcW w:w="833" w:type="pct"/>
                  <w:vAlign w:val="center"/>
                </w:tcPr>
                <w:p>
                  <w:pPr>
                    <w:widowControl/>
                    <w:spacing w:line="240" w:lineRule="atLeast"/>
                    <w:jc w:val="center"/>
                    <w:textAlignment w:val="center"/>
                    <w:rPr>
                      <w:szCs w:val="21"/>
                    </w:rPr>
                  </w:pPr>
                  <w:r>
                    <w:rPr>
                      <w:kern w:val="0"/>
                      <w:szCs w:val="21"/>
                      <w:lang w:bidi="ar"/>
                    </w:rPr>
                    <w:t>台</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28</w:t>
                  </w:r>
                </w:p>
              </w:tc>
              <w:tc>
                <w:tcPr>
                  <w:tcW w:w="1046" w:type="pct"/>
                  <w:vAlign w:val="center"/>
                </w:tcPr>
                <w:p>
                  <w:pPr>
                    <w:widowControl/>
                    <w:spacing w:line="240" w:lineRule="atLeast"/>
                    <w:jc w:val="center"/>
                    <w:textAlignment w:val="center"/>
                    <w:rPr>
                      <w:szCs w:val="21"/>
                    </w:rPr>
                  </w:pPr>
                  <w:r>
                    <w:rPr>
                      <w:kern w:val="0"/>
                      <w:szCs w:val="21"/>
                      <w:lang w:bidi="ar"/>
                    </w:rPr>
                    <w:t>病历夹</w:t>
                  </w:r>
                </w:p>
              </w:tc>
              <w:tc>
                <w:tcPr>
                  <w:tcW w:w="833" w:type="pct"/>
                  <w:vAlign w:val="center"/>
                </w:tcPr>
                <w:p>
                  <w:pPr>
                    <w:widowControl/>
                    <w:spacing w:line="240" w:lineRule="atLeast"/>
                    <w:jc w:val="center"/>
                    <w:textAlignment w:val="center"/>
                    <w:rPr>
                      <w:szCs w:val="21"/>
                    </w:rPr>
                  </w:pPr>
                  <w:r>
                    <w:rPr>
                      <w:kern w:val="0"/>
                      <w:szCs w:val="21"/>
                      <w:lang w:bidi="ar"/>
                    </w:rPr>
                    <w:t>个</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rFonts w:hint="eastAsia"/>
                      <w:szCs w:val="21"/>
                    </w:rPr>
                    <w:t>100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29</w:t>
                  </w:r>
                </w:p>
              </w:tc>
              <w:tc>
                <w:tcPr>
                  <w:tcW w:w="1046" w:type="pct"/>
                  <w:vAlign w:val="center"/>
                </w:tcPr>
                <w:p>
                  <w:pPr>
                    <w:widowControl/>
                    <w:spacing w:line="240" w:lineRule="atLeast"/>
                    <w:jc w:val="center"/>
                    <w:textAlignment w:val="center"/>
                    <w:rPr>
                      <w:szCs w:val="21"/>
                    </w:rPr>
                  </w:pPr>
                  <w:r>
                    <w:rPr>
                      <w:kern w:val="0"/>
                      <w:szCs w:val="21"/>
                      <w:lang w:bidi="ar"/>
                    </w:rPr>
                    <w:t>吸氧管</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30</w:t>
                  </w:r>
                </w:p>
              </w:tc>
              <w:tc>
                <w:tcPr>
                  <w:tcW w:w="1046" w:type="pct"/>
                  <w:vAlign w:val="center"/>
                </w:tcPr>
                <w:p>
                  <w:pPr>
                    <w:widowControl/>
                    <w:spacing w:line="240" w:lineRule="atLeast"/>
                    <w:jc w:val="center"/>
                    <w:textAlignment w:val="center"/>
                    <w:rPr>
                      <w:szCs w:val="21"/>
                    </w:rPr>
                  </w:pPr>
                  <w:r>
                    <w:rPr>
                      <w:kern w:val="0"/>
                      <w:szCs w:val="21"/>
                      <w:lang w:bidi="ar"/>
                    </w:rPr>
                    <w:t>吸痰管</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31</w:t>
                  </w:r>
                </w:p>
              </w:tc>
              <w:tc>
                <w:tcPr>
                  <w:tcW w:w="1046" w:type="pct"/>
                  <w:vAlign w:val="center"/>
                </w:tcPr>
                <w:p>
                  <w:pPr>
                    <w:widowControl/>
                    <w:spacing w:line="240" w:lineRule="atLeast"/>
                    <w:jc w:val="center"/>
                    <w:textAlignment w:val="center"/>
                    <w:rPr>
                      <w:szCs w:val="21"/>
                    </w:rPr>
                  </w:pPr>
                  <w:r>
                    <w:rPr>
                      <w:kern w:val="0"/>
                      <w:szCs w:val="21"/>
                      <w:lang w:bidi="ar"/>
                    </w:rPr>
                    <w:t>氧气湿化瓶</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32</w:t>
                  </w:r>
                </w:p>
              </w:tc>
              <w:tc>
                <w:tcPr>
                  <w:tcW w:w="1046" w:type="pct"/>
                  <w:vAlign w:val="center"/>
                </w:tcPr>
                <w:p>
                  <w:pPr>
                    <w:widowControl/>
                    <w:spacing w:line="240" w:lineRule="atLeast"/>
                    <w:jc w:val="center"/>
                    <w:textAlignment w:val="center"/>
                    <w:rPr>
                      <w:szCs w:val="21"/>
                    </w:rPr>
                  </w:pPr>
                  <w:r>
                    <w:rPr>
                      <w:kern w:val="0"/>
                      <w:szCs w:val="21"/>
                      <w:lang w:bidi="ar"/>
                    </w:rPr>
                    <w:t>心电极片</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33</w:t>
                  </w:r>
                </w:p>
              </w:tc>
              <w:tc>
                <w:tcPr>
                  <w:tcW w:w="1046" w:type="pct"/>
                  <w:vAlign w:val="center"/>
                </w:tcPr>
                <w:p>
                  <w:pPr>
                    <w:widowControl/>
                    <w:spacing w:line="240" w:lineRule="atLeast"/>
                    <w:jc w:val="center"/>
                    <w:textAlignment w:val="center"/>
                    <w:rPr>
                      <w:szCs w:val="21"/>
                    </w:rPr>
                  </w:pPr>
                  <w:r>
                    <w:rPr>
                      <w:kern w:val="0"/>
                      <w:szCs w:val="21"/>
                      <w:lang w:bidi="ar"/>
                    </w:rPr>
                    <w:t>水银体温计</w:t>
                  </w:r>
                </w:p>
              </w:tc>
              <w:tc>
                <w:tcPr>
                  <w:tcW w:w="833" w:type="pct"/>
                  <w:vAlign w:val="center"/>
                </w:tcPr>
                <w:p>
                  <w:pPr>
                    <w:widowControl/>
                    <w:spacing w:line="240" w:lineRule="atLeast"/>
                    <w:jc w:val="center"/>
                    <w:textAlignment w:val="center"/>
                    <w:rPr>
                      <w:szCs w:val="21"/>
                    </w:rPr>
                  </w:pPr>
                  <w:r>
                    <w:rPr>
                      <w:kern w:val="0"/>
                      <w:szCs w:val="21"/>
                      <w:lang w:bidi="ar"/>
                    </w:rPr>
                    <w:t>支</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34</w:t>
                  </w:r>
                </w:p>
              </w:tc>
              <w:tc>
                <w:tcPr>
                  <w:tcW w:w="1046" w:type="pct"/>
                  <w:vAlign w:val="center"/>
                </w:tcPr>
                <w:p>
                  <w:pPr>
                    <w:widowControl/>
                    <w:spacing w:line="240" w:lineRule="atLeast"/>
                    <w:jc w:val="center"/>
                    <w:textAlignment w:val="center"/>
                    <w:rPr>
                      <w:szCs w:val="21"/>
                    </w:rPr>
                  </w:pPr>
                  <w:r>
                    <w:rPr>
                      <w:kern w:val="0"/>
                      <w:szCs w:val="21"/>
                      <w:lang w:bidi="ar"/>
                    </w:rPr>
                    <w:t>血糖试纸</w:t>
                  </w:r>
                </w:p>
              </w:tc>
              <w:tc>
                <w:tcPr>
                  <w:tcW w:w="833" w:type="pct"/>
                  <w:vAlign w:val="center"/>
                </w:tcPr>
                <w:p>
                  <w:pPr>
                    <w:widowControl/>
                    <w:spacing w:line="240" w:lineRule="atLeast"/>
                    <w:jc w:val="center"/>
                    <w:textAlignment w:val="center"/>
                    <w:rPr>
                      <w:szCs w:val="21"/>
                    </w:rPr>
                  </w:pPr>
                  <w:r>
                    <w:rPr>
                      <w:kern w:val="0"/>
                      <w:szCs w:val="21"/>
                      <w:lang w:bidi="ar"/>
                    </w:rPr>
                    <w:t>盒</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35</w:t>
                  </w:r>
                </w:p>
              </w:tc>
              <w:tc>
                <w:tcPr>
                  <w:tcW w:w="1046" w:type="pct"/>
                  <w:vAlign w:val="center"/>
                </w:tcPr>
                <w:p>
                  <w:pPr>
                    <w:widowControl/>
                    <w:spacing w:line="240" w:lineRule="atLeast"/>
                    <w:jc w:val="center"/>
                    <w:textAlignment w:val="center"/>
                    <w:rPr>
                      <w:szCs w:val="21"/>
                    </w:rPr>
                  </w:pPr>
                  <w:r>
                    <w:rPr>
                      <w:kern w:val="0"/>
                      <w:szCs w:val="21"/>
                      <w:lang w:bidi="ar"/>
                    </w:rPr>
                    <w:t>紫外线灯车</w:t>
                  </w:r>
                </w:p>
              </w:tc>
              <w:tc>
                <w:tcPr>
                  <w:tcW w:w="833" w:type="pct"/>
                  <w:vAlign w:val="center"/>
                </w:tcPr>
                <w:p>
                  <w:pPr>
                    <w:widowControl/>
                    <w:spacing w:line="240" w:lineRule="atLeast"/>
                    <w:jc w:val="center"/>
                    <w:textAlignment w:val="center"/>
                    <w:rPr>
                      <w:szCs w:val="21"/>
                    </w:rPr>
                  </w:pPr>
                  <w:r>
                    <w:rPr>
                      <w:kern w:val="0"/>
                      <w:szCs w:val="21"/>
                      <w:lang w:bidi="ar"/>
                    </w:rPr>
                    <w:t>台</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36</w:t>
                  </w:r>
                </w:p>
              </w:tc>
              <w:tc>
                <w:tcPr>
                  <w:tcW w:w="1046" w:type="pct"/>
                  <w:vAlign w:val="center"/>
                </w:tcPr>
                <w:p>
                  <w:pPr>
                    <w:widowControl/>
                    <w:spacing w:line="240" w:lineRule="atLeast"/>
                    <w:jc w:val="center"/>
                    <w:textAlignment w:val="center"/>
                    <w:rPr>
                      <w:szCs w:val="21"/>
                    </w:rPr>
                  </w:pPr>
                  <w:r>
                    <w:rPr>
                      <w:kern w:val="0"/>
                      <w:szCs w:val="21"/>
                      <w:lang w:bidi="ar"/>
                    </w:rPr>
                    <w:t>止血带</w:t>
                  </w:r>
                </w:p>
              </w:tc>
              <w:tc>
                <w:tcPr>
                  <w:tcW w:w="833" w:type="pct"/>
                  <w:vAlign w:val="center"/>
                </w:tcPr>
                <w:p>
                  <w:pPr>
                    <w:widowControl/>
                    <w:spacing w:line="240" w:lineRule="atLeast"/>
                    <w:jc w:val="center"/>
                    <w:textAlignment w:val="center"/>
                    <w:rPr>
                      <w:szCs w:val="21"/>
                    </w:rPr>
                  </w:pPr>
                  <w:r>
                    <w:rPr>
                      <w:kern w:val="0"/>
                      <w:szCs w:val="21"/>
                      <w:lang w:bidi="ar"/>
                    </w:rPr>
                    <w:t>盒</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37</w:t>
                  </w:r>
                </w:p>
              </w:tc>
              <w:tc>
                <w:tcPr>
                  <w:tcW w:w="1046" w:type="pct"/>
                  <w:vAlign w:val="center"/>
                </w:tcPr>
                <w:p>
                  <w:pPr>
                    <w:widowControl/>
                    <w:spacing w:line="240" w:lineRule="atLeast"/>
                    <w:jc w:val="center"/>
                    <w:textAlignment w:val="center"/>
                    <w:rPr>
                      <w:szCs w:val="21"/>
                    </w:rPr>
                  </w:pPr>
                  <w:r>
                    <w:rPr>
                      <w:kern w:val="0"/>
                      <w:szCs w:val="21"/>
                      <w:lang w:bidi="ar"/>
                    </w:rPr>
                    <w:t>避光输液器</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38</w:t>
                  </w:r>
                </w:p>
              </w:tc>
              <w:tc>
                <w:tcPr>
                  <w:tcW w:w="1046" w:type="pct"/>
                  <w:vAlign w:val="center"/>
                </w:tcPr>
                <w:p>
                  <w:pPr>
                    <w:widowControl/>
                    <w:spacing w:line="240" w:lineRule="atLeast"/>
                    <w:jc w:val="center"/>
                    <w:textAlignment w:val="center"/>
                    <w:rPr>
                      <w:szCs w:val="21"/>
                    </w:rPr>
                  </w:pPr>
                  <w:r>
                    <w:rPr>
                      <w:kern w:val="0"/>
                      <w:szCs w:val="21"/>
                      <w:lang w:bidi="ar"/>
                    </w:rPr>
                    <w:t>输血器</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39</w:t>
                  </w:r>
                </w:p>
              </w:tc>
              <w:tc>
                <w:tcPr>
                  <w:tcW w:w="1046" w:type="pct"/>
                  <w:vAlign w:val="center"/>
                </w:tcPr>
                <w:p>
                  <w:pPr>
                    <w:widowControl/>
                    <w:spacing w:line="240" w:lineRule="atLeast"/>
                    <w:jc w:val="center"/>
                    <w:textAlignment w:val="center"/>
                    <w:rPr>
                      <w:szCs w:val="21"/>
                    </w:rPr>
                  </w:pPr>
                  <w:r>
                    <w:rPr>
                      <w:kern w:val="0"/>
                      <w:szCs w:val="21"/>
                      <w:lang w:bidi="ar"/>
                    </w:rPr>
                    <w:t>导尿管</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40</w:t>
                  </w:r>
                </w:p>
              </w:tc>
              <w:tc>
                <w:tcPr>
                  <w:tcW w:w="1046" w:type="pct"/>
                  <w:vAlign w:val="center"/>
                </w:tcPr>
                <w:p>
                  <w:pPr>
                    <w:widowControl/>
                    <w:spacing w:line="240" w:lineRule="atLeast"/>
                    <w:jc w:val="center"/>
                    <w:textAlignment w:val="center"/>
                    <w:rPr>
                      <w:szCs w:val="21"/>
                    </w:rPr>
                  </w:pPr>
                  <w:r>
                    <w:rPr>
                      <w:kern w:val="0"/>
                      <w:szCs w:val="21"/>
                      <w:lang w:bidi="ar"/>
                    </w:rPr>
                    <w:t>灌肠袋</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41</w:t>
                  </w:r>
                </w:p>
              </w:tc>
              <w:tc>
                <w:tcPr>
                  <w:tcW w:w="1046" w:type="pct"/>
                  <w:vAlign w:val="center"/>
                </w:tcPr>
                <w:p>
                  <w:pPr>
                    <w:widowControl/>
                    <w:spacing w:line="240" w:lineRule="atLeast"/>
                    <w:jc w:val="center"/>
                    <w:textAlignment w:val="center"/>
                    <w:rPr>
                      <w:szCs w:val="21"/>
                    </w:rPr>
                  </w:pPr>
                  <w:r>
                    <w:rPr>
                      <w:kern w:val="0"/>
                      <w:szCs w:val="21"/>
                      <w:lang w:bidi="ar"/>
                    </w:rPr>
                    <w:t>软皂</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42</w:t>
                  </w:r>
                </w:p>
              </w:tc>
              <w:tc>
                <w:tcPr>
                  <w:tcW w:w="1046" w:type="pct"/>
                  <w:vAlign w:val="center"/>
                </w:tcPr>
                <w:p>
                  <w:pPr>
                    <w:widowControl/>
                    <w:spacing w:line="240" w:lineRule="atLeast"/>
                    <w:jc w:val="center"/>
                    <w:textAlignment w:val="center"/>
                    <w:rPr>
                      <w:szCs w:val="21"/>
                    </w:rPr>
                  </w:pPr>
                  <w:r>
                    <w:rPr>
                      <w:kern w:val="0"/>
                      <w:szCs w:val="21"/>
                      <w:lang w:bidi="ar"/>
                    </w:rPr>
                    <w:t>引流袋</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43</w:t>
                  </w:r>
                </w:p>
              </w:tc>
              <w:tc>
                <w:tcPr>
                  <w:tcW w:w="1046" w:type="pct"/>
                  <w:vAlign w:val="center"/>
                </w:tcPr>
                <w:p>
                  <w:pPr>
                    <w:widowControl/>
                    <w:spacing w:line="240" w:lineRule="atLeast"/>
                    <w:jc w:val="center"/>
                    <w:textAlignment w:val="center"/>
                    <w:rPr>
                      <w:szCs w:val="21"/>
                    </w:rPr>
                  </w:pPr>
                  <w:r>
                    <w:rPr>
                      <w:kern w:val="0"/>
                      <w:szCs w:val="21"/>
                      <w:lang w:bidi="ar"/>
                    </w:rPr>
                    <w:t>换药包</w:t>
                  </w:r>
                </w:p>
              </w:tc>
              <w:tc>
                <w:tcPr>
                  <w:tcW w:w="833" w:type="pct"/>
                  <w:vAlign w:val="center"/>
                </w:tcPr>
                <w:p>
                  <w:pPr>
                    <w:widowControl/>
                    <w:spacing w:line="240" w:lineRule="atLeast"/>
                    <w:jc w:val="center"/>
                    <w:textAlignment w:val="center"/>
                    <w:rPr>
                      <w:szCs w:val="21"/>
                    </w:rPr>
                  </w:pPr>
                  <w:r>
                    <w:rPr>
                      <w:kern w:val="0"/>
                      <w:szCs w:val="21"/>
                      <w:lang w:bidi="ar"/>
                    </w:rPr>
                    <w:t>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2</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44</w:t>
                  </w:r>
                </w:p>
              </w:tc>
              <w:tc>
                <w:tcPr>
                  <w:tcW w:w="1046" w:type="pct"/>
                  <w:vAlign w:val="center"/>
                </w:tcPr>
                <w:p>
                  <w:pPr>
                    <w:widowControl/>
                    <w:spacing w:line="240" w:lineRule="atLeast"/>
                    <w:jc w:val="center"/>
                    <w:textAlignment w:val="center"/>
                    <w:rPr>
                      <w:szCs w:val="21"/>
                    </w:rPr>
                  </w:pPr>
                  <w:r>
                    <w:rPr>
                      <w:kern w:val="0"/>
                      <w:szCs w:val="21"/>
                      <w:lang w:bidi="ar"/>
                    </w:rPr>
                    <w:t>12导心电图纸</w:t>
                  </w:r>
                </w:p>
              </w:tc>
              <w:tc>
                <w:tcPr>
                  <w:tcW w:w="833" w:type="pct"/>
                  <w:vAlign w:val="center"/>
                </w:tcPr>
                <w:p>
                  <w:pPr>
                    <w:widowControl/>
                    <w:spacing w:line="240" w:lineRule="atLeast"/>
                    <w:jc w:val="center"/>
                    <w:textAlignment w:val="center"/>
                    <w:rPr>
                      <w:szCs w:val="21"/>
                    </w:rPr>
                  </w:pPr>
                  <w:r>
                    <w:rPr>
                      <w:kern w:val="0"/>
                      <w:szCs w:val="21"/>
                      <w:lang w:bidi="ar"/>
                    </w:rPr>
                    <w:t>本</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100</w:t>
                  </w:r>
                </w:p>
              </w:tc>
              <w:tc>
                <w:tcPr>
                  <w:tcW w:w="833" w:type="pct"/>
                  <w:vAlign w:val="center"/>
                </w:tcPr>
                <w:p>
                  <w:pPr>
                    <w:widowControl/>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widowControl/>
                    <w:spacing w:line="240" w:lineRule="atLeast"/>
                    <w:jc w:val="center"/>
                    <w:textAlignment w:val="center"/>
                    <w:rPr>
                      <w:kern w:val="0"/>
                      <w:szCs w:val="21"/>
                      <w:lang w:bidi="ar"/>
                    </w:rPr>
                  </w:pPr>
                  <w:r>
                    <w:rPr>
                      <w:kern w:val="0"/>
                      <w:szCs w:val="21"/>
                      <w:lang w:bidi="ar"/>
                    </w:rPr>
                    <w:t>消杀用品</w:t>
                  </w:r>
                </w:p>
              </w:tc>
              <w:tc>
                <w:tcPr>
                  <w:tcW w:w="619" w:type="pct"/>
                  <w:vAlign w:val="center"/>
                </w:tcPr>
                <w:p>
                  <w:pPr>
                    <w:widowControl/>
                    <w:spacing w:line="240" w:lineRule="atLeast"/>
                    <w:jc w:val="center"/>
                    <w:textAlignment w:val="center"/>
                    <w:rPr>
                      <w:szCs w:val="21"/>
                    </w:rPr>
                  </w:pPr>
                  <w:r>
                    <w:rPr>
                      <w:kern w:val="0"/>
                      <w:szCs w:val="21"/>
                      <w:lang w:bidi="ar"/>
                    </w:rPr>
                    <w:t>45</w:t>
                  </w:r>
                </w:p>
              </w:tc>
              <w:tc>
                <w:tcPr>
                  <w:tcW w:w="1046" w:type="pct"/>
                  <w:vAlign w:val="center"/>
                </w:tcPr>
                <w:p>
                  <w:pPr>
                    <w:widowControl/>
                    <w:spacing w:line="240" w:lineRule="atLeast"/>
                    <w:jc w:val="center"/>
                    <w:textAlignment w:val="center"/>
                    <w:rPr>
                      <w:szCs w:val="21"/>
                    </w:rPr>
                  </w:pPr>
                  <w:r>
                    <w:rPr>
                      <w:kern w:val="0"/>
                      <w:szCs w:val="21"/>
                      <w:lang w:bidi="ar"/>
                    </w:rPr>
                    <w:t>碘伏消毒液</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w:t>
                  </w:r>
                </w:p>
              </w:tc>
              <w:tc>
                <w:tcPr>
                  <w:tcW w:w="833" w:type="pct"/>
                  <w:vAlign w:val="center"/>
                </w:tcPr>
                <w:p>
                  <w:pPr>
                    <w:widowControl/>
                    <w:spacing w:line="240" w:lineRule="atLeast"/>
                    <w:jc w:val="center"/>
                    <w:textAlignment w:val="center"/>
                    <w:rPr>
                      <w:szCs w:val="21"/>
                    </w:rPr>
                  </w:pPr>
                  <w:r>
                    <w:rPr>
                      <w:kern w:val="0"/>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46</w:t>
                  </w:r>
                </w:p>
              </w:tc>
              <w:tc>
                <w:tcPr>
                  <w:tcW w:w="1046" w:type="pct"/>
                  <w:vAlign w:val="center"/>
                </w:tcPr>
                <w:p>
                  <w:pPr>
                    <w:widowControl/>
                    <w:spacing w:line="240" w:lineRule="atLeast"/>
                    <w:jc w:val="center"/>
                    <w:textAlignment w:val="center"/>
                    <w:rPr>
                      <w:szCs w:val="21"/>
                    </w:rPr>
                  </w:pPr>
                  <w:r>
                    <w:rPr>
                      <w:kern w:val="0"/>
                      <w:szCs w:val="21"/>
                      <w:lang w:bidi="ar"/>
                    </w:rPr>
                    <w:t>碘伏消毒液</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w:t>
                  </w:r>
                </w:p>
              </w:tc>
              <w:tc>
                <w:tcPr>
                  <w:tcW w:w="833" w:type="pct"/>
                  <w:vAlign w:val="center"/>
                </w:tcPr>
                <w:p>
                  <w:pPr>
                    <w:widowControl/>
                    <w:spacing w:line="240" w:lineRule="atLeast"/>
                    <w:jc w:val="center"/>
                    <w:textAlignment w:val="center"/>
                    <w:rPr>
                      <w:szCs w:val="21"/>
                    </w:rPr>
                  </w:pPr>
                  <w:r>
                    <w:rPr>
                      <w:kern w:val="0"/>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47</w:t>
                  </w:r>
                </w:p>
              </w:tc>
              <w:tc>
                <w:tcPr>
                  <w:tcW w:w="1046" w:type="pct"/>
                  <w:vAlign w:val="center"/>
                </w:tcPr>
                <w:p>
                  <w:pPr>
                    <w:widowControl/>
                    <w:spacing w:line="240" w:lineRule="atLeast"/>
                    <w:jc w:val="center"/>
                    <w:textAlignment w:val="center"/>
                    <w:rPr>
                      <w:szCs w:val="21"/>
                    </w:rPr>
                  </w:pPr>
                  <w:r>
                    <w:rPr>
                      <w:kern w:val="0"/>
                      <w:szCs w:val="21"/>
                      <w:lang w:bidi="ar"/>
                    </w:rPr>
                    <w:t>八四消毒液</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100</w:t>
                  </w:r>
                </w:p>
              </w:tc>
              <w:tc>
                <w:tcPr>
                  <w:tcW w:w="833" w:type="pct"/>
                  <w:vAlign w:val="center"/>
                </w:tcPr>
                <w:p>
                  <w:pPr>
                    <w:widowControl/>
                    <w:spacing w:line="240" w:lineRule="atLeast"/>
                    <w:jc w:val="center"/>
                    <w:textAlignment w:val="center"/>
                    <w:rPr>
                      <w:szCs w:val="21"/>
                    </w:rPr>
                  </w:pPr>
                  <w:r>
                    <w:rPr>
                      <w:kern w:val="0"/>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48</w:t>
                  </w:r>
                </w:p>
              </w:tc>
              <w:tc>
                <w:tcPr>
                  <w:tcW w:w="1046" w:type="pct"/>
                  <w:vAlign w:val="center"/>
                </w:tcPr>
                <w:p>
                  <w:pPr>
                    <w:widowControl/>
                    <w:spacing w:line="240" w:lineRule="atLeast"/>
                    <w:jc w:val="center"/>
                    <w:textAlignment w:val="center"/>
                    <w:rPr>
                      <w:szCs w:val="21"/>
                    </w:rPr>
                  </w:pPr>
                  <w:r>
                    <w:rPr>
                      <w:kern w:val="0"/>
                      <w:szCs w:val="21"/>
                      <w:lang w:bidi="ar"/>
                    </w:rPr>
                    <w:t>免洗手消毒凝胶</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100</w:t>
                  </w:r>
                </w:p>
              </w:tc>
              <w:tc>
                <w:tcPr>
                  <w:tcW w:w="833" w:type="pct"/>
                  <w:vAlign w:val="center"/>
                </w:tcPr>
                <w:p>
                  <w:pPr>
                    <w:widowControl/>
                    <w:spacing w:line="240" w:lineRule="atLeast"/>
                    <w:jc w:val="center"/>
                    <w:textAlignment w:val="center"/>
                    <w:rPr>
                      <w:szCs w:val="21"/>
                    </w:rPr>
                  </w:pPr>
                  <w:r>
                    <w:rPr>
                      <w:kern w:val="0"/>
                      <w:szCs w:val="21"/>
                      <w:lang w:bidi="ar"/>
                    </w:rPr>
                    <w:t>236ml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49</w:t>
                  </w:r>
                </w:p>
              </w:tc>
              <w:tc>
                <w:tcPr>
                  <w:tcW w:w="1046" w:type="pct"/>
                  <w:vAlign w:val="center"/>
                </w:tcPr>
                <w:p>
                  <w:pPr>
                    <w:widowControl/>
                    <w:spacing w:line="240" w:lineRule="atLeast"/>
                    <w:jc w:val="center"/>
                    <w:textAlignment w:val="center"/>
                    <w:rPr>
                      <w:szCs w:val="21"/>
                    </w:rPr>
                  </w:pPr>
                  <w:r>
                    <w:rPr>
                      <w:kern w:val="0"/>
                      <w:szCs w:val="21"/>
                      <w:lang w:bidi="ar"/>
                    </w:rPr>
                    <w:t>抗菌洗手液</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w:t>
                  </w:r>
                </w:p>
              </w:tc>
              <w:tc>
                <w:tcPr>
                  <w:tcW w:w="833" w:type="pct"/>
                  <w:vAlign w:val="center"/>
                </w:tcPr>
                <w:p>
                  <w:pPr>
                    <w:widowControl/>
                    <w:spacing w:line="240" w:lineRule="atLeast"/>
                    <w:jc w:val="center"/>
                    <w:textAlignment w:val="center"/>
                    <w:rPr>
                      <w:szCs w:val="21"/>
                    </w:rPr>
                  </w:pPr>
                  <w:r>
                    <w:rPr>
                      <w:kern w:val="0"/>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50</w:t>
                  </w:r>
                </w:p>
              </w:tc>
              <w:tc>
                <w:tcPr>
                  <w:tcW w:w="1046" w:type="pct"/>
                  <w:vAlign w:val="center"/>
                </w:tcPr>
                <w:p>
                  <w:pPr>
                    <w:widowControl/>
                    <w:spacing w:line="240" w:lineRule="atLeast"/>
                    <w:jc w:val="center"/>
                    <w:textAlignment w:val="center"/>
                    <w:rPr>
                      <w:szCs w:val="21"/>
                    </w:rPr>
                  </w:pPr>
                  <w:r>
                    <w:rPr>
                      <w:kern w:val="0"/>
                      <w:szCs w:val="21"/>
                      <w:lang w:bidi="ar"/>
                    </w:rPr>
                    <w:t>医用酒精</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textAlignment w:val="center"/>
                    <w:rPr>
                      <w:szCs w:val="21"/>
                    </w:rPr>
                  </w:pPr>
                  <w:r>
                    <w:rPr>
                      <w:kern w:val="0"/>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kern w:val="0"/>
                      <w:szCs w:val="21"/>
                      <w:lang w:bidi="ar"/>
                    </w:rPr>
                    <w:t>51</w:t>
                  </w:r>
                </w:p>
              </w:tc>
              <w:tc>
                <w:tcPr>
                  <w:tcW w:w="1046" w:type="pct"/>
                  <w:vAlign w:val="center"/>
                </w:tcPr>
                <w:p>
                  <w:pPr>
                    <w:widowControl/>
                    <w:spacing w:line="240" w:lineRule="atLeast"/>
                    <w:jc w:val="center"/>
                    <w:textAlignment w:val="center"/>
                    <w:rPr>
                      <w:szCs w:val="21"/>
                    </w:rPr>
                  </w:pPr>
                  <w:r>
                    <w:rPr>
                      <w:kern w:val="0"/>
                      <w:szCs w:val="21"/>
                      <w:lang w:bidi="ar"/>
                    </w:rPr>
                    <w:t>医用酒精</w:t>
                  </w:r>
                </w:p>
              </w:tc>
              <w:tc>
                <w:tcPr>
                  <w:tcW w:w="833" w:type="pct"/>
                  <w:vAlign w:val="center"/>
                </w:tcPr>
                <w:p>
                  <w:pPr>
                    <w:widowControl/>
                    <w:spacing w:line="240" w:lineRule="atLeast"/>
                    <w:jc w:val="center"/>
                    <w:textAlignment w:val="center"/>
                    <w:rPr>
                      <w:szCs w:val="21"/>
                    </w:rPr>
                  </w:pPr>
                  <w:r>
                    <w:rPr>
                      <w:kern w:val="0"/>
                      <w:szCs w:val="21"/>
                      <w:lang w:bidi="ar"/>
                    </w:rPr>
                    <w:t>瓶</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kern w:val="0"/>
                      <w:szCs w:val="21"/>
                      <w:lang w:bidi="ar"/>
                    </w:rPr>
                    <w:t>500</w:t>
                  </w:r>
                </w:p>
              </w:tc>
              <w:tc>
                <w:tcPr>
                  <w:tcW w:w="833" w:type="pct"/>
                  <w:vAlign w:val="center"/>
                </w:tcPr>
                <w:p>
                  <w:pPr>
                    <w:widowControl/>
                    <w:spacing w:line="240" w:lineRule="atLeast"/>
                    <w:jc w:val="center"/>
                    <w:textAlignment w:val="center"/>
                    <w:rPr>
                      <w:szCs w:val="21"/>
                    </w:rPr>
                  </w:pPr>
                  <w:r>
                    <w:rPr>
                      <w:kern w:val="0"/>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widowControl/>
                    <w:spacing w:line="240" w:lineRule="atLeast"/>
                    <w:jc w:val="center"/>
                    <w:textAlignment w:val="center"/>
                    <w:rPr>
                      <w:kern w:val="0"/>
                      <w:szCs w:val="21"/>
                      <w:lang w:bidi="ar"/>
                    </w:rPr>
                  </w:pPr>
                  <w:r>
                    <w:rPr>
                      <w:rFonts w:hint="eastAsia"/>
                      <w:kern w:val="0"/>
                      <w:szCs w:val="21"/>
                      <w:lang w:bidi="ar"/>
                    </w:rPr>
                    <w:t>其他</w:t>
                  </w:r>
                </w:p>
              </w:tc>
              <w:tc>
                <w:tcPr>
                  <w:tcW w:w="619" w:type="pct"/>
                  <w:vAlign w:val="center"/>
                </w:tcPr>
                <w:p>
                  <w:pPr>
                    <w:widowControl/>
                    <w:spacing w:line="240" w:lineRule="atLeast"/>
                    <w:jc w:val="center"/>
                    <w:textAlignment w:val="center"/>
                    <w:rPr>
                      <w:szCs w:val="21"/>
                    </w:rPr>
                  </w:pPr>
                  <w:r>
                    <w:rPr>
                      <w:rFonts w:hint="eastAsia"/>
                      <w:kern w:val="0"/>
                      <w:szCs w:val="21"/>
                      <w:lang w:bidi="ar"/>
                    </w:rPr>
                    <w:t>52</w:t>
                  </w:r>
                </w:p>
              </w:tc>
              <w:tc>
                <w:tcPr>
                  <w:tcW w:w="1046" w:type="pct"/>
                  <w:vAlign w:val="center"/>
                </w:tcPr>
                <w:p>
                  <w:pPr>
                    <w:widowControl/>
                    <w:spacing w:line="240" w:lineRule="atLeast"/>
                    <w:jc w:val="center"/>
                    <w:textAlignment w:val="center"/>
                    <w:rPr>
                      <w:szCs w:val="21"/>
                    </w:rPr>
                  </w:pPr>
                  <w:r>
                    <w:rPr>
                      <w:rFonts w:hint="eastAsia"/>
                      <w:kern w:val="0"/>
                      <w:szCs w:val="21"/>
                      <w:lang w:bidi="ar"/>
                    </w:rPr>
                    <w:t>液氧</w:t>
                  </w:r>
                </w:p>
              </w:tc>
              <w:tc>
                <w:tcPr>
                  <w:tcW w:w="833" w:type="pct"/>
                  <w:vAlign w:val="center"/>
                </w:tcPr>
                <w:p>
                  <w:pPr>
                    <w:widowControl/>
                    <w:spacing w:line="240" w:lineRule="atLeast"/>
                    <w:jc w:val="center"/>
                    <w:textAlignment w:val="center"/>
                    <w:rPr>
                      <w:szCs w:val="21"/>
                    </w:rPr>
                  </w:pPr>
                  <w:r>
                    <w:rPr>
                      <w:rFonts w:hint="eastAsia"/>
                      <w:kern w:val="0"/>
                      <w:szCs w:val="21"/>
                      <w:lang w:bidi="ar"/>
                    </w:rPr>
                    <w:t>t/a</w:t>
                  </w:r>
                </w:p>
              </w:tc>
              <w:tc>
                <w:tcPr>
                  <w:tcW w:w="1402" w:type="dxa"/>
                  <w:vAlign w:val="center"/>
                </w:tcPr>
                <w:p>
                  <w:pPr>
                    <w:widowControl/>
                    <w:spacing w:line="240" w:lineRule="atLeast"/>
                    <w:jc w:val="center"/>
                    <w:textAlignment w:val="center"/>
                    <w:rPr>
                      <w:szCs w:val="21"/>
                    </w:rPr>
                  </w:pPr>
                  <w:r>
                    <w:rPr>
                      <w:szCs w:val="21"/>
                    </w:rPr>
                    <w:t>115</w:t>
                  </w:r>
                </w:p>
              </w:tc>
              <w:tc>
                <w:tcPr>
                  <w:tcW w:w="833" w:type="pct"/>
                  <w:vAlign w:val="center"/>
                </w:tcPr>
                <w:p>
                  <w:pPr>
                    <w:widowControl/>
                    <w:spacing w:line="240" w:lineRule="atLeast"/>
                    <w:jc w:val="center"/>
                    <w:textAlignment w:val="center"/>
                    <w:rPr>
                      <w:szCs w:val="21"/>
                    </w:rPr>
                  </w:pPr>
                  <w:r>
                    <w:rPr>
                      <w:rFonts w:hint="eastAsia"/>
                      <w:kern w:val="0"/>
                      <w:szCs w:val="21"/>
                      <w:lang w:bidi="ar"/>
                    </w:rPr>
                    <w:t>5m</w:t>
                  </w:r>
                  <w:r>
                    <w:rPr>
                      <w:rFonts w:hint="eastAsia"/>
                      <w:kern w:val="0"/>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widowControl/>
                    <w:spacing w:line="240" w:lineRule="atLeast"/>
                    <w:jc w:val="center"/>
                    <w:textAlignment w:val="center"/>
                    <w:rPr>
                      <w:kern w:val="0"/>
                      <w:szCs w:val="21"/>
                      <w:lang w:bidi="ar"/>
                    </w:rPr>
                  </w:pPr>
                  <w:r>
                    <w:rPr>
                      <w:rFonts w:hint="eastAsia"/>
                      <w:kern w:val="0"/>
                      <w:szCs w:val="21"/>
                      <w:lang w:bidi="ar"/>
                    </w:rPr>
                    <w:t>能源</w:t>
                  </w:r>
                </w:p>
              </w:tc>
              <w:tc>
                <w:tcPr>
                  <w:tcW w:w="619" w:type="pct"/>
                  <w:vAlign w:val="center"/>
                </w:tcPr>
                <w:p>
                  <w:pPr>
                    <w:widowControl/>
                    <w:spacing w:line="240" w:lineRule="atLeast"/>
                    <w:jc w:val="center"/>
                    <w:textAlignment w:val="center"/>
                    <w:rPr>
                      <w:szCs w:val="21"/>
                    </w:rPr>
                  </w:pPr>
                  <w:r>
                    <w:rPr>
                      <w:rFonts w:hint="eastAsia"/>
                      <w:kern w:val="0"/>
                      <w:szCs w:val="21"/>
                      <w:lang w:bidi="ar"/>
                    </w:rPr>
                    <w:t>53</w:t>
                  </w:r>
                </w:p>
              </w:tc>
              <w:tc>
                <w:tcPr>
                  <w:tcW w:w="1046" w:type="pct"/>
                  <w:vAlign w:val="center"/>
                </w:tcPr>
                <w:p>
                  <w:pPr>
                    <w:widowControl/>
                    <w:spacing w:line="240" w:lineRule="atLeast"/>
                    <w:jc w:val="center"/>
                    <w:textAlignment w:val="center"/>
                    <w:rPr>
                      <w:szCs w:val="21"/>
                    </w:rPr>
                  </w:pPr>
                  <w:r>
                    <w:rPr>
                      <w:rFonts w:hint="eastAsia"/>
                      <w:kern w:val="0"/>
                      <w:szCs w:val="21"/>
                      <w:lang w:bidi="ar"/>
                    </w:rPr>
                    <w:t>水</w:t>
                  </w:r>
                </w:p>
              </w:tc>
              <w:tc>
                <w:tcPr>
                  <w:tcW w:w="833" w:type="pct"/>
                  <w:vAlign w:val="center"/>
                </w:tcPr>
                <w:p>
                  <w:pPr>
                    <w:widowControl/>
                    <w:spacing w:line="240" w:lineRule="atLeast"/>
                    <w:jc w:val="center"/>
                    <w:textAlignment w:val="center"/>
                    <w:rPr>
                      <w:szCs w:val="21"/>
                    </w:rPr>
                  </w:pPr>
                  <w:r>
                    <w:rPr>
                      <w:rFonts w:hint="eastAsia"/>
                      <w:kern w:val="0"/>
                      <w:szCs w:val="21"/>
                      <w:lang w:bidi="ar"/>
                    </w:rPr>
                    <w:t>m</w:t>
                  </w:r>
                  <w:r>
                    <w:rPr>
                      <w:rFonts w:hint="eastAsia"/>
                      <w:kern w:val="0"/>
                      <w:szCs w:val="21"/>
                      <w:vertAlign w:val="superscript"/>
                      <w:lang w:bidi="ar"/>
                    </w:rPr>
                    <w:t>3/</w:t>
                  </w:r>
                  <w:r>
                    <w:rPr>
                      <w:rFonts w:hint="eastAsia"/>
                      <w:kern w:val="0"/>
                      <w:szCs w:val="21"/>
                      <w:lang w:bidi="ar"/>
                    </w:rPr>
                    <w:t>a</w:t>
                  </w:r>
                </w:p>
              </w:tc>
              <w:tc>
                <w:tcPr>
                  <w:tcW w:w="1402" w:type="dxa"/>
                  <w:vAlign w:val="center"/>
                </w:tcPr>
                <w:p>
                  <w:pPr>
                    <w:widowControl/>
                    <w:spacing w:line="240" w:lineRule="atLeast"/>
                    <w:jc w:val="center"/>
                    <w:textAlignment w:val="center"/>
                    <w:rPr>
                      <w:szCs w:val="21"/>
                    </w:rPr>
                  </w:pPr>
                  <w:r>
                    <w:rPr>
                      <w:szCs w:val="21"/>
                    </w:rPr>
                    <w:t>17428.75</w:t>
                  </w:r>
                </w:p>
              </w:tc>
              <w:tc>
                <w:tcPr>
                  <w:tcW w:w="833" w:type="pct"/>
                  <w:vAlign w:val="center"/>
                </w:tcPr>
                <w:p>
                  <w:pPr>
                    <w:widowControl/>
                    <w:spacing w:line="240" w:lineRule="atLeast"/>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widowControl/>
                    <w:spacing w:line="240" w:lineRule="atLeast"/>
                    <w:jc w:val="center"/>
                    <w:textAlignment w:val="center"/>
                    <w:rPr>
                      <w:kern w:val="0"/>
                      <w:szCs w:val="21"/>
                      <w:lang w:bidi="ar"/>
                    </w:rPr>
                  </w:pPr>
                </w:p>
              </w:tc>
              <w:tc>
                <w:tcPr>
                  <w:tcW w:w="619" w:type="pct"/>
                  <w:vAlign w:val="center"/>
                </w:tcPr>
                <w:p>
                  <w:pPr>
                    <w:widowControl/>
                    <w:spacing w:line="240" w:lineRule="atLeast"/>
                    <w:jc w:val="center"/>
                    <w:textAlignment w:val="center"/>
                    <w:rPr>
                      <w:szCs w:val="21"/>
                    </w:rPr>
                  </w:pPr>
                  <w:r>
                    <w:rPr>
                      <w:rFonts w:hint="eastAsia"/>
                      <w:kern w:val="0"/>
                      <w:szCs w:val="21"/>
                      <w:lang w:bidi="ar"/>
                    </w:rPr>
                    <w:t>54</w:t>
                  </w:r>
                </w:p>
              </w:tc>
              <w:tc>
                <w:tcPr>
                  <w:tcW w:w="1046" w:type="pct"/>
                  <w:vAlign w:val="center"/>
                </w:tcPr>
                <w:p>
                  <w:pPr>
                    <w:widowControl/>
                    <w:spacing w:line="240" w:lineRule="atLeast"/>
                    <w:jc w:val="center"/>
                    <w:textAlignment w:val="center"/>
                    <w:rPr>
                      <w:szCs w:val="21"/>
                    </w:rPr>
                  </w:pPr>
                  <w:r>
                    <w:rPr>
                      <w:rFonts w:hint="eastAsia"/>
                      <w:kern w:val="0"/>
                      <w:szCs w:val="21"/>
                      <w:lang w:bidi="ar"/>
                    </w:rPr>
                    <w:t>电</w:t>
                  </w:r>
                </w:p>
              </w:tc>
              <w:tc>
                <w:tcPr>
                  <w:tcW w:w="833" w:type="pct"/>
                  <w:vAlign w:val="center"/>
                </w:tcPr>
                <w:p>
                  <w:pPr>
                    <w:widowControl/>
                    <w:spacing w:line="240" w:lineRule="atLeast"/>
                    <w:jc w:val="center"/>
                    <w:textAlignment w:val="center"/>
                    <w:rPr>
                      <w:szCs w:val="21"/>
                    </w:rPr>
                  </w:pPr>
                  <w:r>
                    <w:rPr>
                      <w:rFonts w:hint="eastAsia"/>
                      <w:szCs w:val="21"/>
                    </w:rPr>
                    <w:t>kW</w:t>
                  </w:r>
                  <w:r>
                    <w:rPr>
                      <w:szCs w:val="21"/>
                    </w:rPr>
                    <w:t>·</w:t>
                  </w:r>
                  <w:r>
                    <w:rPr>
                      <w:rFonts w:hint="eastAsia"/>
                      <w:szCs w:val="21"/>
                    </w:rPr>
                    <w:t>h/a</w:t>
                  </w:r>
                </w:p>
              </w:tc>
              <w:tc>
                <w:tcPr>
                  <w:tcW w:w="1402" w:type="dxa"/>
                  <w:vAlign w:val="center"/>
                </w:tcPr>
                <w:p>
                  <w:pPr>
                    <w:widowControl/>
                    <w:spacing w:line="240" w:lineRule="atLeast"/>
                    <w:jc w:val="center"/>
                    <w:textAlignment w:val="center"/>
                    <w:rPr>
                      <w:szCs w:val="21"/>
                    </w:rPr>
                  </w:pPr>
                  <w:r>
                    <w:rPr>
                      <w:szCs w:val="21"/>
                    </w:rPr>
                    <w:t>30万</w:t>
                  </w:r>
                </w:p>
              </w:tc>
              <w:tc>
                <w:tcPr>
                  <w:tcW w:w="833" w:type="pct"/>
                  <w:vAlign w:val="center"/>
                </w:tcPr>
                <w:p>
                  <w:pPr>
                    <w:widowControl/>
                    <w:spacing w:line="240" w:lineRule="atLeast"/>
                    <w:jc w:val="center"/>
                    <w:textAlignment w:val="center"/>
                    <w:rPr>
                      <w:szCs w:val="21"/>
                    </w:rPr>
                  </w:pPr>
                </w:p>
              </w:tc>
            </w:tr>
          </w:tbl>
          <w:p/>
          <w:p>
            <w:pPr>
              <w:numPr>
                <w:ilvl w:val="0"/>
                <w:numId w:val="3"/>
              </w:numPr>
              <w:adjustRightInd w:val="0"/>
              <w:snapToGrid w:val="0"/>
              <w:spacing w:line="360" w:lineRule="auto"/>
              <w:jc w:val="left"/>
              <w:rPr>
                <w:rFonts w:ascii="宋体" w:hAnsi="宋体" w:cs="宋体"/>
                <w:b/>
                <w:sz w:val="24"/>
              </w:rPr>
            </w:pPr>
            <w:r>
              <w:rPr>
                <w:rFonts w:ascii="宋体" w:hAnsi="宋体" w:cs="宋体"/>
                <w:b/>
                <w:sz w:val="24"/>
              </w:rPr>
              <w:t>生产设备</w:t>
            </w:r>
          </w:p>
          <w:p>
            <w:pPr>
              <w:pStyle w:val="45"/>
              <w:ind w:firstLine="480"/>
            </w:pPr>
            <w:r>
              <w:t>项目生产设备见下表。</w:t>
            </w:r>
          </w:p>
          <w:p>
            <w:pPr>
              <w:adjustRightInd w:val="0"/>
              <w:snapToGrid w:val="0"/>
              <w:spacing w:line="360" w:lineRule="auto"/>
              <w:jc w:val="center"/>
              <w:rPr>
                <w:rFonts w:ascii="宋体" w:hAnsi="宋体" w:cs="宋体"/>
                <w:b/>
                <w:szCs w:val="21"/>
              </w:rPr>
            </w:pPr>
            <w:r>
              <w:rPr>
                <w:rFonts w:ascii="宋体" w:hAnsi="宋体" w:cs="宋体"/>
                <w:b/>
                <w:szCs w:val="21"/>
              </w:rPr>
              <w:t>表</w:t>
            </w:r>
            <w:r>
              <w:rPr>
                <w:rFonts w:hint="eastAsia" w:cs="宋体"/>
                <w:b/>
                <w:szCs w:val="21"/>
              </w:rPr>
              <w:t>2</w:t>
            </w:r>
            <w:r>
              <w:rPr>
                <w:rFonts w:hint="eastAsia" w:ascii="宋体" w:hAnsi="宋体" w:cs="宋体"/>
                <w:b/>
                <w:szCs w:val="21"/>
              </w:rPr>
              <w:t>-</w:t>
            </w:r>
            <w:r>
              <w:rPr>
                <w:rFonts w:hint="eastAsia" w:cs="宋体"/>
                <w:b/>
                <w:szCs w:val="21"/>
              </w:rPr>
              <w:t>3</w:t>
            </w:r>
            <w:r>
              <w:rPr>
                <w:rFonts w:hint="eastAsia" w:ascii="宋体" w:hAnsi="宋体" w:cs="宋体"/>
                <w:b/>
                <w:szCs w:val="21"/>
              </w:rPr>
              <w:t xml:space="preserve"> </w:t>
            </w:r>
            <w:r>
              <w:rPr>
                <w:rFonts w:ascii="宋体" w:hAnsi="宋体" w:cs="宋体"/>
                <w:b/>
                <w:szCs w:val="21"/>
              </w:rPr>
              <w:t xml:space="preserve"> 项目</w:t>
            </w:r>
            <w:r>
              <w:rPr>
                <w:rFonts w:hint="eastAsia" w:ascii="宋体" w:hAnsi="宋体" w:cs="宋体"/>
                <w:b/>
                <w:szCs w:val="21"/>
              </w:rPr>
              <w:t>主要生产设备</w:t>
            </w:r>
            <w:r>
              <w:rPr>
                <w:rFonts w:ascii="宋体" w:hAnsi="宋体" w:cs="宋体"/>
                <w:b/>
                <w:szCs w:val="21"/>
              </w:rPr>
              <w:t>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658"/>
              <w:gridCol w:w="2072"/>
              <w:gridCol w:w="1414"/>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98" w:type="pct"/>
                  <w:vAlign w:val="center"/>
                </w:tcPr>
                <w:p>
                  <w:pPr>
                    <w:adjustRightInd w:val="0"/>
                    <w:snapToGrid w:val="0"/>
                    <w:jc w:val="center"/>
                    <w:rPr>
                      <w:rFonts w:ascii="宋体" w:hAnsi="宋体" w:cs="宋体"/>
                      <w:b/>
                      <w:szCs w:val="21"/>
                    </w:rPr>
                  </w:pPr>
                  <w:r>
                    <w:rPr>
                      <w:rFonts w:ascii="宋体" w:hAnsi="宋体" w:cs="宋体"/>
                      <w:b/>
                      <w:szCs w:val="21"/>
                    </w:rPr>
                    <w:t>序号</w:t>
                  </w:r>
                </w:p>
              </w:tc>
              <w:tc>
                <w:tcPr>
                  <w:tcW w:w="986" w:type="pct"/>
                  <w:vAlign w:val="center"/>
                </w:tcPr>
                <w:p>
                  <w:pPr>
                    <w:adjustRightInd w:val="0"/>
                    <w:snapToGrid w:val="0"/>
                    <w:jc w:val="center"/>
                    <w:rPr>
                      <w:rFonts w:ascii="宋体" w:hAnsi="宋体" w:cs="宋体"/>
                      <w:b/>
                      <w:szCs w:val="21"/>
                    </w:rPr>
                  </w:pPr>
                  <w:r>
                    <w:rPr>
                      <w:rFonts w:ascii="宋体" w:hAnsi="宋体" w:cs="宋体"/>
                      <w:b/>
                      <w:szCs w:val="21"/>
                    </w:rPr>
                    <w:t>设备名称</w:t>
                  </w:r>
                </w:p>
              </w:tc>
              <w:tc>
                <w:tcPr>
                  <w:tcW w:w="1232" w:type="pct"/>
                  <w:vAlign w:val="center"/>
                </w:tcPr>
                <w:p>
                  <w:pPr>
                    <w:adjustRightInd w:val="0"/>
                    <w:snapToGrid w:val="0"/>
                    <w:jc w:val="center"/>
                    <w:rPr>
                      <w:rFonts w:ascii="宋体" w:hAnsi="宋体" w:cs="宋体"/>
                      <w:b/>
                      <w:szCs w:val="21"/>
                    </w:rPr>
                  </w:pPr>
                  <w:r>
                    <w:rPr>
                      <w:rFonts w:ascii="宋体" w:hAnsi="宋体" w:cs="宋体"/>
                      <w:b/>
                      <w:szCs w:val="21"/>
                    </w:rPr>
                    <w:t>型号</w:t>
                  </w:r>
                  <w:r>
                    <w:rPr>
                      <w:rFonts w:hint="eastAsia" w:ascii="宋体" w:hAnsi="宋体" w:cs="宋体"/>
                      <w:b/>
                      <w:szCs w:val="21"/>
                    </w:rPr>
                    <w:t>/尺寸</w:t>
                  </w:r>
                </w:p>
              </w:tc>
              <w:tc>
                <w:tcPr>
                  <w:tcW w:w="841" w:type="pct"/>
                  <w:vAlign w:val="center"/>
                </w:tcPr>
                <w:p>
                  <w:pPr>
                    <w:adjustRightInd w:val="0"/>
                    <w:snapToGrid w:val="0"/>
                    <w:jc w:val="center"/>
                    <w:rPr>
                      <w:rFonts w:ascii="宋体" w:hAnsi="宋体" w:cs="宋体"/>
                      <w:b/>
                      <w:szCs w:val="21"/>
                    </w:rPr>
                  </w:pPr>
                  <w:r>
                    <w:rPr>
                      <w:rFonts w:ascii="宋体" w:hAnsi="宋体" w:cs="宋体"/>
                      <w:b/>
                      <w:szCs w:val="21"/>
                    </w:rPr>
                    <w:t>数量</w:t>
                  </w:r>
                </w:p>
              </w:tc>
              <w:tc>
                <w:tcPr>
                  <w:tcW w:w="841" w:type="pct"/>
                  <w:vAlign w:val="center"/>
                </w:tcPr>
                <w:p>
                  <w:pPr>
                    <w:adjustRightInd w:val="0"/>
                    <w:snapToGrid w:val="0"/>
                    <w:jc w:val="center"/>
                    <w:rPr>
                      <w:rFonts w:ascii="宋体" w:hAnsi="宋体" w:cs="宋体"/>
                      <w:b/>
                      <w:szCs w:val="21"/>
                    </w:rPr>
                  </w:pPr>
                  <w:r>
                    <w:rPr>
                      <w:rFonts w:hint="eastAsia" w:ascii="宋体" w:hAnsi="宋体" w:cs="宋体"/>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多功能手术床</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移动无影灯</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麻醉呼吸机</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电动吸引器</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5</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除颤仪</w:t>
                  </w:r>
                </w:p>
              </w:tc>
              <w:tc>
                <w:tcPr>
                  <w:tcW w:w="1232" w:type="pct"/>
                  <w:vAlign w:val="center"/>
                </w:tcPr>
                <w:p>
                  <w:pPr>
                    <w:widowControl/>
                    <w:spacing w:line="240" w:lineRule="atLeast"/>
                    <w:jc w:val="center"/>
                    <w:textAlignment w:val="center"/>
                    <w:rPr>
                      <w:kern w:val="0"/>
                      <w:szCs w:val="21"/>
                      <w:lang w:bidi="ar"/>
                    </w:rPr>
                  </w:pPr>
                  <w:r>
                    <w:rPr>
                      <w:kern w:val="0"/>
                      <w:szCs w:val="21"/>
                      <w:lang w:bidi="ar"/>
                    </w:rPr>
                    <w:t>AED M250</w:t>
                  </w: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6</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12</w:t>
                  </w:r>
                  <w:r>
                    <w:rPr>
                      <w:rStyle w:val="47"/>
                      <w:rFonts w:hint="default"/>
                      <w:color w:val="auto"/>
                      <w:sz w:val="21"/>
                      <w:szCs w:val="21"/>
                      <w:lang w:bidi="ar"/>
                    </w:rPr>
                    <w:t>导心电图机</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7</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心电监护仪</w:t>
                  </w:r>
                </w:p>
              </w:tc>
              <w:tc>
                <w:tcPr>
                  <w:tcW w:w="1232" w:type="pct"/>
                  <w:vAlign w:val="center"/>
                </w:tcPr>
                <w:p>
                  <w:pPr>
                    <w:widowControl/>
                    <w:spacing w:line="240" w:lineRule="atLeast"/>
                    <w:jc w:val="center"/>
                    <w:textAlignment w:val="center"/>
                    <w:rPr>
                      <w:kern w:val="0"/>
                      <w:szCs w:val="21"/>
                      <w:lang w:bidi="ar"/>
                    </w:rPr>
                  </w:pPr>
                  <w:r>
                    <w:rPr>
                      <w:kern w:val="0"/>
                      <w:szCs w:val="21"/>
                      <w:lang w:bidi="ar"/>
                    </w:rPr>
                    <w:t>M-9000E</w:t>
                  </w: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8</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手术吊塔</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9</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电动分娩台</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10</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移动无影灯</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11</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母婴监护仪</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12</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新生儿暖箱</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13</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婴儿</w:t>
                  </w:r>
                  <w:r>
                    <w:rPr>
                      <w:rStyle w:val="47"/>
                      <w:rFonts w:hint="default" w:ascii="Times New Roman" w:hAnsi="Times New Roman"/>
                      <w:color w:val="auto"/>
                      <w:sz w:val="21"/>
                      <w:szCs w:val="21"/>
                      <w:lang w:bidi="ar"/>
                    </w:rPr>
                    <w:t>T</w:t>
                  </w:r>
                  <w:r>
                    <w:rPr>
                      <w:rStyle w:val="47"/>
                      <w:rFonts w:hint="default"/>
                      <w:color w:val="auto"/>
                      <w:sz w:val="21"/>
                      <w:szCs w:val="21"/>
                      <w:lang w:bidi="ar"/>
                    </w:rPr>
                    <w:t>组合复苏器</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14</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婴儿秤</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15</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电动吸引器</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16</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多普勒胎心仪</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17</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婴儿车</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2</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18</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血气分析仪</w:t>
                  </w:r>
                </w:p>
              </w:tc>
              <w:tc>
                <w:tcPr>
                  <w:tcW w:w="1232" w:type="pct"/>
                  <w:vAlign w:val="center"/>
                </w:tcPr>
                <w:p>
                  <w:pPr>
                    <w:widowControl/>
                    <w:spacing w:line="240" w:lineRule="atLeast"/>
                    <w:jc w:val="center"/>
                    <w:textAlignment w:val="center"/>
                    <w:rPr>
                      <w:kern w:val="0"/>
                      <w:szCs w:val="21"/>
                      <w:lang w:bidi="ar"/>
                    </w:rPr>
                  </w:pPr>
                  <w:r>
                    <w:rPr>
                      <w:kern w:val="0"/>
                      <w:szCs w:val="21"/>
                      <w:lang w:bidi="ar"/>
                    </w:rPr>
                    <w:t>BG-800A</w:t>
                  </w: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19</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肢体气压治疗仪台</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20</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可视喉镜</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21</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简易呼吸器</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4</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22</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呼吸面罩</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10</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23</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正压头套</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5</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24</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高流量吸氧仪</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25</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叩击式震动排痰机</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3</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26</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呼吸机</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3</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27</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心电监护仪</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28</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除颤仪</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29</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心电图机</w:t>
                  </w:r>
                </w:p>
              </w:tc>
              <w:tc>
                <w:tcPr>
                  <w:tcW w:w="1232" w:type="pct"/>
                  <w:vAlign w:val="center"/>
                </w:tcPr>
                <w:p>
                  <w:pPr>
                    <w:widowControl/>
                    <w:spacing w:line="240" w:lineRule="atLeast"/>
                    <w:jc w:val="center"/>
                    <w:textAlignment w:val="center"/>
                    <w:rPr>
                      <w:kern w:val="0"/>
                      <w:szCs w:val="21"/>
                      <w:lang w:bidi="ar"/>
                    </w:rPr>
                  </w:pPr>
                  <w:r>
                    <w:rPr>
                      <w:kern w:val="0"/>
                      <w:szCs w:val="21"/>
                      <w:lang w:bidi="ar"/>
                    </w:rPr>
                    <w:t>ECG-12C</w:t>
                  </w: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30</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输液泵</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4</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31</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注射泵</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32</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电动吸引器</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33</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气管插管箱</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34</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多功能抢救床</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7</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35</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吊塔</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36</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抢救车</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4</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37</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体重秤</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38</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治疗车</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4</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39</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冰毯机</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2</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40</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器械车</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8</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41</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中心供氧系统</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42</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血糖仪</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5</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43</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移动输液架</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20</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44</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床单元消毒机</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5</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45</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电子血压计</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10</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46</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医用病床（单摇）</w:t>
                  </w:r>
                </w:p>
              </w:tc>
              <w:tc>
                <w:tcPr>
                  <w:tcW w:w="1232" w:type="pct"/>
                  <w:vAlign w:val="center"/>
                </w:tcPr>
                <w:p>
                  <w:pPr>
                    <w:widowControl/>
                    <w:spacing w:line="240" w:lineRule="atLeast"/>
                    <w:jc w:val="center"/>
                    <w:textAlignment w:val="center"/>
                    <w:rPr>
                      <w:kern w:val="0"/>
                      <w:szCs w:val="21"/>
                      <w:lang w:bidi="ar"/>
                    </w:rPr>
                  </w:pPr>
                  <w:r>
                    <w:rPr>
                      <w:rStyle w:val="47"/>
                      <w:rFonts w:hint="default"/>
                      <w:color w:val="auto"/>
                      <w:sz w:val="21"/>
                      <w:szCs w:val="21"/>
                      <w:lang w:bidi="ar"/>
                    </w:rPr>
                    <w:t>包括床垫、餐桌、置物架、护栏</w:t>
                  </w: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56</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47</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移动输液架</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63</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48</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床头柜</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63</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8" w:type="dxa"/>
                  <w:vAlign w:val="center"/>
                </w:tcPr>
                <w:p>
                  <w:pPr>
                    <w:widowControl/>
                    <w:spacing w:line="240" w:lineRule="atLeast"/>
                    <w:jc w:val="center"/>
                    <w:textAlignment w:val="center"/>
                    <w:rPr>
                      <w:rStyle w:val="47"/>
                      <w:rFonts w:hint="default"/>
                      <w:color w:val="auto"/>
                      <w:sz w:val="21"/>
                      <w:szCs w:val="21"/>
                      <w:lang w:bidi="ar"/>
                    </w:rPr>
                  </w:pPr>
                  <w:r>
                    <w:rPr>
                      <w:rStyle w:val="47"/>
                      <w:rFonts w:hint="default" w:ascii="Times New Roman" w:hAnsi="Times New Roman"/>
                      <w:color w:val="auto"/>
                      <w:sz w:val="21"/>
                      <w:szCs w:val="21"/>
                      <w:lang w:bidi="ar"/>
                    </w:rPr>
                    <w:t>49</w:t>
                  </w:r>
                </w:p>
              </w:tc>
              <w:tc>
                <w:tcPr>
                  <w:tcW w:w="986" w:type="pct"/>
                  <w:vAlign w:val="center"/>
                </w:tcPr>
                <w:p>
                  <w:pPr>
                    <w:widowControl/>
                    <w:spacing w:line="240" w:lineRule="atLeast"/>
                    <w:jc w:val="center"/>
                    <w:textAlignment w:val="center"/>
                    <w:rPr>
                      <w:rStyle w:val="47"/>
                      <w:rFonts w:hint="default"/>
                      <w:color w:val="auto"/>
                      <w:sz w:val="21"/>
                      <w:szCs w:val="21"/>
                      <w:lang w:bidi="ar"/>
                    </w:rPr>
                  </w:pPr>
                  <w:r>
                    <w:rPr>
                      <w:rStyle w:val="47"/>
                      <w:rFonts w:hint="default"/>
                      <w:color w:val="auto"/>
                      <w:sz w:val="21"/>
                      <w:szCs w:val="21"/>
                      <w:lang w:bidi="ar"/>
                    </w:rPr>
                    <w:t>移动</w:t>
                  </w:r>
                  <w:r>
                    <w:rPr>
                      <w:rStyle w:val="47"/>
                      <w:rFonts w:hint="default" w:ascii="Times New Roman" w:hAnsi="Times New Roman"/>
                      <w:color w:val="auto"/>
                      <w:sz w:val="21"/>
                      <w:szCs w:val="21"/>
                      <w:lang w:bidi="ar"/>
                    </w:rPr>
                    <w:t>DR</w:t>
                  </w:r>
                </w:p>
              </w:tc>
              <w:tc>
                <w:tcPr>
                  <w:tcW w:w="1232" w:type="pct"/>
                  <w:vAlign w:val="center"/>
                </w:tcPr>
                <w:p>
                  <w:pPr>
                    <w:widowControl/>
                    <w:spacing w:line="240" w:lineRule="atLeast"/>
                    <w:jc w:val="center"/>
                    <w:textAlignment w:val="center"/>
                    <w:rPr>
                      <w:kern w:val="0"/>
                      <w:szCs w:val="21"/>
                      <w:lang w:bidi="ar"/>
                    </w:rPr>
                  </w:pPr>
                </w:p>
              </w:tc>
              <w:tc>
                <w:tcPr>
                  <w:tcW w:w="841" w:type="pct"/>
                  <w:vAlign w:val="center"/>
                </w:tcPr>
                <w:p>
                  <w:pPr>
                    <w:widowControl/>
                    <w:spacing w:line="240" w:lineRule="atLeast"/>
                    <w:jc w:val="center"/>
                    <w:textAlignment w:val="center"/>
                    <w:rPr>
                      <w:kern w:val="0"/>
                      <w:szCs w:val="21"/>
                      <w:lang w:bidi="ar"/>
                    </w:rPr>
                  </w:pPr>
                  <w:r>
                    <w:rPr>
                      <w:rFonts w:hint="eastAsia"/>
                      <w:kern w:val="0"/>
                      <w:szCs w:val="21"/>
                      <w:lang w:bidi="ar"/>
                    </w:rPr>
                    <w:t>1</w:t>
                  </w:r>
                </w:p>
              </w:tc>
              <w:tc>
                <w:tcPr>
                  <w:tcW w:w="841" w:type="pct"/>
                  <w:vAlign w:val="center"/>
                </w:tcPr>
                <w:p>
                  <w:pPr>
                    <w:widowControl/>
                    <w:spacing w:line="240" w:lineRule="atLeast"/>
                    <w:jc w:val="center"/>
                    <w:textAlignment w:val="center"/>
                    <w:rPr>
                      <w:rFonts w:ascii="宋体" w:hAnsi="宋体" w:cs="宋体"/>
                      <w:bCs/>
                      <w:szCs w:val="21"/>
                    </w:rPr>
                  </w:pPr>
                  <w:r>
                    <w:rPr>
                      <w:rFonts w:hint="eastAsia" w:ascii="宋体" w:hAnsi="宋体" w:cs="宋体"/>
                      <w:bCs/>
                      <w:szCs w:val="21"/>
                    </w:rPr>
                    <w:t>台</w:t>
                  </w:r>
                </w:p>
              </w:tc>
            </w:tr>
          </w:tbl>
          <w:p>
            <w:pPr>
              <w:numPr>
                <w:ilvl w:val="0"/>
                <w:numId w:val="3"/>
              </w:numPr>
              <w:adjustRightInd w:val="0"/>
              <w:snapToGrid w:val="0"/>
              <w:spacing w:line="360" w:lineRule="auto"/>
              <w:jc w:val="left"/>
              <w:rPr>
                <w:rFonts w:ascii="宋体" w:hAnsi="宋体" w:cs="宋体"/>
                <w:b/>
                <w:sz w:val="24"/>
              </w:rPr>
            </w:pPr>
            <w:r>
              <w:rPr>
                <w:rFonts w:hint="eastAsia" w:ascii="宋体" w:hAnsi="宋体" w:cs="宋体"/>
                <w:b/>
                <w:sz w:val="24"/>
              </w:rPr>
              <w:t>劳动定员及工作制度</w:t>
            </w:r>
          </w:p>
          <w:p>
            <w:pPr>
              <w:pStyle w:val="45"/>
              <w:ind w:firstLine="480"/>
            </w:pPr>
            <w:r>
              <w:rPr>
                <w:rFonts w:hint="eastAsia"/>
              </w:rPr>
              <w:t>本项目属于防控新型冠状病毒肺炎疫情临时性应急使用的定点医院</w:t>
            </w:r>
            <w:r>
              <w:rPr>
                <w:rFonts w:hint="eastAsia"/>
                <w:lang w:val="en-US" w:eastAsia="zh-CN"/>
              </w:rPr>
              <w:t>建设</w:t>
            </w:r>
            <w:r>
              <w:rPr>
                <w:rFonts w:hint="eastAsia"/>
              </w:rPr>
              <w:t>项目，仅在当地发生疫情时启用，具体使用时间根据疫情发展情况而定。本次评价按疫情发生后全年工作365天计，实行8小时3班工作制度，年工作小时数为8760h，按此天数核算项目运行后各污染物年排放总量</w:t>
            </w:r>
          </w:p>
          <w:p>
            <w:pPr>
              <w:numPr>
                <w:ilvl w:val="0"/>
                <w:numId w:val="3"/>
              </w:numPr>
              <w:adjustRightInd w:val="0"/>
              <w:snapToGrid w:val="0"/>
              <w:spacing w:line="360" w:lineRule="auto"/>
              <w:jc w:val="left"/>
              <w:rPr>
                <w:rFonts w:ascii="宋体" w:hAnsi="宋体" w:cs="宋体"/>
                <w:b/>
                <w:sz w:val="24"/>
              </w:rPr>
            </w:pPr>
            <w:r>
              <w:rPr>
                <w:rFonts w:hint="eastAsia" w:ascii="宋体" w:hAnsi="宋体" w:cs="宋体"/>
                <w:b/>
                <w:sz w:val="24"/>
              </w:rPr>
              <w:t>平面布置</w:t>
            </w:r>
          </w:p>
          <w:p>
            <w:pPr>
              <w:pStyle w:val="45"/>
              <w:ind w:firstLine="480"/>
            </w:pPr>
            <w:r>
              <w:rPr>
                <w:rFonts w:hint="eastAsia"/>
              </w:rPr>
              <w:t>本项目方舱医院布局严格按照“医患分区”设计，结合卫生安全等级划分“两区一通道”，严格区分患者流线和医护流线，避免与其他人流交叉。</w:t>
            </w:r>
          </w:p>
          <w:p>
            <w:pPr>
              <w:pStyle w:val="45"/>
              <w:ind w:firstLine="480"/>
            </w:pPr>
            <w:r>
              <w:rPr>
                <w:rFonts w:hint="eastAsia"/>
              </w:rPr>
              <w:t>“两区”为清洁区和污染区，分区之间有物理隔断，相互无交叉。其中，清洁区是指定点医院建筑中正常情况下没有被病原微生物污染风险的区域，包括医务区和更衣室；污染区是指定点医院建筑中被病原微生物污染风险高的区域，包括住院区、手术室和产房。“一通道”为缓冲通道。</w:t>
            </w:r>
          </w:p>
          <w:p>
            <w:pPr>
              <w:pStyle w:val="45"/>
              <w:ind w:firstLine="480"/>
            </w:pPr>
            <w:r>
              <w:rPr>
                <w:rFonts w:hint="eastAsia"/>
              </w:rPr>
              <w:t>清洁区与污染区之间从空间上完全分隔，由缓冲通道隔开，分区在分界处设置隔离标识。医护人员从清洁区进入污染区流程为：(洗手、换工作服、戴帽、戴口罩、戴手套)、二次更衣(戴护目镜、穿防护服或隔离服、穿鞋套)、经缓冲室进入污染区；医护人员从污染区返回清洁区流程为：从污染区进入一脱(脱防护服、手套、鞋套)洗手，进入二脱(脱帽子、口罩），经缓冲区，淋浴到清洁区。返回流程的卫生通道应男女分设。医护人员从污染区进入清洁区的通道内设洗消间，医护人员通过出入口应具有内部人员信号反馈指示灯。</w:t>
            </w:r>
          </w:p>
          <w:p>
            <w:pPr>
              <w:pStyle w:val="45"/>
              <w:ind w:firstLine="480"/>
            </w:pPr>
            <w:r>
              <w:rPr>
                <w:rFonts w:hint="eastAsia"/>
              </w:rPr>
              <w:t>定点医院医护人员出入口位于东南侧，院区北侧为患者入口，设置患者信息录入、缓冲消毒、物品暂存等，在东侧和南侧有疏散出口，定点医院东部为清洁区，包括医务区和更衣室，定点医院西侧为住院区，包括普通病房、重症病房、治疗室和护理站，共设置77张床位。本项目总体平面布置详见附图2。</w:t>
            </w:r>
          </w:p>
          <w:p>
            <w:pPr>
              <w:numPr>
                <w:ilvl w:val="0"/>
                <w:numId w:val="3"/>
              </w:numPr>
              <w:adjustRightInd w:val="0"/>
              <w:snapToGrid w:val="0"/>
              <w:spacing w:line="360" w:lineRule="auto"/>
              <w:jc w:val="left"/>
              <w:rPr>
                <w:rFonts w:ascii="宋体" w:hAnsi="宋体" w:cs="宋体"/>
                <w:b/>
                <w:sz w:val="24"/>
              </w:rPr>
            </w:pPr>
            <w:r>
              <w:rPr>
                <w:rFonts w:hint="eastAsia" w:ascii="宋体" w:hAnsi="宋体" w:cs="宋体"/>
                <w:b/>
                <w:sz w:val="24"/>
                <w:lang w:val="en-US" w:eastAsia="zh-CN"/>
              </w:rPr>
              <w:t>给排水情况</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（1）给水工程</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项目给水由市政给水管网供给，用水主要为医疗用水、生活用水。</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①医疗用水</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医疗用水主要包括住院病人日常盥洗、冲厕、洗澡、衣物清洗以及其他医疗活动用水等。根据《传染病医院建筑设计规范》（GB50849-2014）设集中浴室、卫生间、盥洗间每床位每日用水定额为150-250L/d，用水定额取250L/床·d。本项目共设置床位77张，床位利用率按100%计，年工作365d，则医疗用水量为19.25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/d（7026.25m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②生活用水</w:t>
            </w:r>
          </w:p>
          <w:p>
            <w:pPr>
              <w:pStyle w:val="45"/>
              <w:ind w:firstLine="480"/>
              <w:rPr>
                <w:rFonts w:hint="eastAsia" w:ascii="Times New Roman" w:hAnsi="Times New Roman" w:eastAsia="宋体" w:cs="Times New Roman"/>
                <w:lang w:val="en-US" w:eastAsia="zh-CN"/>
              </w:rPr>
            </w:pPr>
            <w:bookmarkStart w:id="4" w:name="_Hlk79674658"/>
            <w:r>
              <w:rPr>
                <w:rFonts w:hint="eastAsia" w:ascii="Times New Roman" w:hAnsi="Times New Roman" w:eastAsia="宋体" w:cs="Times New Roman"/>
                <w:lang w:val="en-US" w:eastAsia="zh-CN"/>
              </w:rPr>
              <w:t>生活用水主要包括医务人员、后勤人员生活用水。根据《传染病医院建筑设计规范》（GB50849-2014）医护人员每人每班用水定额为150-300L/d，用水定额取300L/人</w:t>
            </w:r>
            <w:r>
              <w:rPr>
                <w:rFonts w:hint="eastAsia" w:ascii="宋体" w:hAnsi="宋体" w:eastAsia="宋体" w:cs="宋体"/>
                <w:lang w:val="en-US" w:eastAsia="zh-CN"/>
              </w:rPr>
              <w:t>·</w:t>
            </w:r>
            <w:r>
              <w:rPr>
                <w:rFonts w:hint="eastAsia" w:ascii="Times New Roman" w:hAnsi="Times New Roman" w:eastAsia="宋体" w:cs="Times New Roman"/>
                <w:lang w:val="en-US" w:eastAsia="zh-CN"/>
              </w:rPr>
              <w:t>班；后勤人员每人每班用水定额为30-50L/d，用水定额取50L/人·班。本项目医护人员30人，后勤人员10人，总计40人，实行3班制，年工作365d，则本项目生活用水量28.5m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/d（10402.5m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w:t>
            </w:r>
          </w:p>
          <w:bookmarkEnd w:id="4"/>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综上所述，本项目总用水量为47.75m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/d（17428.75m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（2）排水工程</w:t>
            </w:r>
          </w:p>
          <w:p>
            <w:pPr>
              <w:pStyle w:val="45"/>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本项目废水为医疗废水、生活废水，产生量按用水量的80%计，则医疗废水产生量为15.4m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/d（5621m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/a），生活废水产生量为22.8m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/d（8322m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/a）。综上，本项目废水产生总量为38.2m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/d（13943m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w:t>
            </w:r>
          </w:p>
          <w:p>
            <w:pPr>
              <w:numPr>
                <w:ilvl w:val="0"/>
                <w:numId w:val="3"/>
              </w:numPr>
              <w:adjustRightInd w:val="0"/>
              <w:snapToGrid w:val="0"/>
              <w:spacing w:line="360" w:lineRule="auto"/>
              <w:jc w:val="left"/>
              <w:rPr>
                <w:rFonts w:ascii="宋体" w:hAnsi="宋体" w:cs="宋体"/>
                <w:b/>
                <w:sz w:val="24"/>
              </w:rPr>
            </w:pPr>
            <w:r>
              <w:rPr>
                <w:rFonts w:hint="eastAsia" w:ascii="宋体" w:hAnsi="宋体" w:cs="宋体"/>
                <w:b/>
                <w:sz w:val="24"/>
              </w:rPr>
              <w:t>依托</w:t>
            </w:r>
            <w:r>
              <w:rPr>
                <w:rFonts w:ascii="宋体" w:hAnsi="宋体" w:cs="宋体"/>
                <w:b/>
                <w:sz w:val="24"/>
              </w:rPr>
              <w:t>工程</w:t>
            </w:r>
          </w:p>
          <w:p>
            <w:pPr>
              <w:pStyle w:val="45"/>
              <w:ind w:firstLine="480"/>
              <w:rPr>
                <w:rFonts w:hint="eastAsia"/>
              </w:rPr>
            </w:pPr>
            <w:r>
              <w:rPr>
                <w:rFonts w:hint="eastAsia"/>
                <w:lang w:val="en-US" w:eastAsia="zh-CN"/>
              </w:rPr>
              <w:t>项目</w:t>
            </w:r>
            <w:r>
              <w:rPr>
                <w:rFonts w:hint="eastAsia"/>
              </w:rPr>
              <w:t>废水通过隔壁方舱医院污水处理站处理，经方舱医院院区内污水处理站处理后，出水满足《医疗机构水污染物排放标准》（GB18466-2005）表1中传染病、结核病医疗机构水污染物排放限值要求，同时满足宽城碧水源环保有限公司污水处理厂进水水质指标要求，通过城镇污水管网排入宽城碧水源环保有限公司污水处理厂进一步处理。</w:t>
            </w:r>
          </w:p>
          <w:p>
            <w:pPr>
              <w:pStyle w:val="45"/>
              <w:ind w:firstLine="480"/>
              <w:rPr>
                <w:rFonts w:hint="eastAsia" w:eastAsia="宋体"/>
                <w:color w:val="FF0000"/>
                <w:lang w:val="en-US" w:eastAsia="zh-CN"/>
              </w:rPr>
            </w:pPr>
            <w:r>
              <w:rPr>
                <w:rFonts w:hint="eastAsia"/>
                <w:color w:val="FF0000"/>
                <w:lang w:val="en-US" w:eastAsia="zh-CN"/>
              </w:rPr>
              <w:t>方舱医院在项目东侧20m，方舱医院污水处理站在项目南侧80m</w:t>
            </w:r>
            <w:r>
              <w:commentReference w:id="9"/>
            </w:r>
            <w:r>
              <w:rPr>
                <w:rFonts w:hint="eastAsia"/>
                <w:lang w:eastAsia="zh-CN"/>
              </w:rPr>
              <w:t>。</w:t>
            </w:r>
          </w:p>
          <w:p>
            <w:pPr>
              <w:pStyle w:val="45"/>
              <w:numPr>
                <w:ilvl w:val="0"/>
                <w:numId w:val="5"/>
              </w:numPr>
              <w:ind w:hanging="5" w:firstLineChars="0"/>
              <w:rPr>
                <w:rFonts w:ascii="宋体" w:hAnsi="宋体" w:cs="宋体"/>
                <w:bCs/>
                <w:szCs w:val="21"/>
              </w:rPr>
            </w:pPr>
            <w:r>
              <w:rPr>
                <w:rFonts w:hint="eastAsia" w:ascii="宋体" w:hAnsi="宋体" w:cs="宋体"/>
                <w:bCs/>
                <w:szCs w:val="21"/>
              </w:rPr>
              <w:t>方舱医院的污水处理流程为：</w:t>
            </w:r>
          </w:p>
          <w:p>
            <w:pPr>
              <w:pStyle w:val="45"/>
              <w:ind w:firstLine="480"/>
              <w:rPr>
                <w:rFonts w:ascii="宋体" w:hAnsi="宋体" w:cs="宋体"/>
                <w:bCs/>
                <w:szCs w:val="21"/>
              </w:rPr>
            </w:pPr>
            <w:r>
              <w:rPr>
                <w:rFonts w:hint="eastAsia" w:ascii="宋体" w:hAnsi="宋体" w:cs="宋体"/>
                <w:bCs/>
                <w:szCs w:val="21"/>
              </w:rPr>
              <w:t>方舱医院</w:t>
            </w:r>
            <w:r>
              <w:rPr>
                <w:rFonts w:ascii="宋体" w:hAnsi="宋体" w:cs="宋体"/>
                <w:bCs/>
                <w:szCs w:val="21"/>
              </w:rPr>
              <w:t>为传染疾病隔离医院，废水处理工艺采用“化粪池+消毒+调节池+厌氧池+好氧池+沉淀池+清水消毒池”处理工艺，处理规模为</w:t>
            </w:r>
            <w:r>
              <w:rPr>
                <w:rFonts w:cs="宋体"/>
                <w:bCs/>
                <w:szCs w:val="21"/>
              </w:rPr>
              <w:t>200m</w:t>
            </w:r>
            <w:r>
              <w:rPr>
                <w:rFonts w:cs="宋体"/>
                <w:bCs/>
                <w:szCs w:val="21"/>
                <w:vertAlign w:val="superscript"/>
              </w:rPr>
              <w:t>3</w:t>
            </w:r>
            <w:r>
              <w:rPr>
                <w:rFonts w:ascii="宋体" w:hAnsi="宋体" w:cs="宋体"/>
                <w:bCs/>
                <w:szCs w:val="21"/>
              </w:rPr>
              <w:t>/</w:t>
            </w:r>
            <w:r>
              <w:rPr>
                <w:rFonts w:cs="宋体"/>
                <w:bCs/>
                <w:szCs w:val="21"/>
              </w:rPr>
              <w:t>d</w:t>
            </w:r>
            <w:r>
              <w:rPr>
                <w:rFonts w:ascii="宋体" w:hAnsi="宋体" w:cs="宋体"/>
                <w:bCs/>
                <w:szCs w:val="21"/>
              </w:rPr>
              <w:t>。</w:t>
            </w:r>
          </w:p>
          <w:p>
            <w:pPr>
              <w:pStyle w:val="45"/>
              <w:ind w:firstLine="480"/>
              <w:rPr>
                <w:rFonts w:ascii="宋体" w:hAnsi="宋体" w:cs="宋体"/>
                <w:bCs/>
                <w:szCs w:val="21"/>
              </w:rPr>
            </w:pPr>
            <w:r>
              <w:rPr>
                <w:rFonts w:ascii="宋体" w:hAnsi="宋体" w:cs="宋体"/>
                <w:bCs/>
                <w:szCs w:val="21"/>
              </w:rPr>
              <w:t>①化粪池</w:t>
            </w:r>
          </w:p>
          <w:p>
            <w:pPr>
              <w:pStyle w:val="45"/>
              <w:ind w:firstLine="480"/>
              <w:rPr>
                <w:rFonts w:ascii="宋体" w:hAnsi="宋体" w:cs="宋体"/>
                <w:bCs/>
                <w:szCs w:val="21"/>
              </w:rPr>
            </w:pPr>
            <w:r>
              <w:rPr>
                <w:rFonts w:ascii="宋体" w:hAnsi="宋体" w:cs="宋体"/>
                <w:bCs/>
                <w:szCs w:val="21"/>
              </w:rPr>
              <w:t>根据《医院污水处理工程技术规范》（</w:t>
            </w:r>
            <w:r>
              <w:rPr>
                <w:rFonts w:cs="宋体"/>
                <w:bCs/>
                <w:szCs w:val="21"/>
              </w:rPr>
              <w:t>HJ2029</w:t>
            </w:r>
            <w:r>
              <w:rPr>
                <w:rFonts w:ascii="宋体" w:hAnsi="宋体" w:cs="宋体"/>
                <w:bCs/>
                <w:szCs w:val="21"/>
              </w:rPr>
              <w:t>-</w:t>
            </w:r>
            <w:r>
              <w:rPr>
                <w:rFonts w:cs="宋体"/>
                <w:bCs/>
                <w:szCs w:val="21"/>
              </w:rPr>
              <w:t>2013</w:t>
            </w:r>
            <w:r>
              <w:rPr>
                <w:rFonts w:ascii="宋体" w:hAnsi="宋体" w:cs="宋体"/>
                <w:bCs/>
                <w:szCs w:val="21"/>
              </w:rPr>
              <w:t>）的规定，传染性医院预处理段需增加预消毒，新型冠状病毒传播性强且存在气溶胶传染风险，污水经化粪池进行消毒，通过投加洁王子消毒粉达到病菌病毒的有效灭活。</w:t>
            </w:r>
          </w:p>
          <w:p>
            <w:pPr>
              <w:pStyle w:val="45"/>
              <w:ind w:firstLine="480"/>
              <w:rPr>
                <w:rFonts w:ascii="宋体" w:hAnsi="宋体" w:cs="宋体"/>
                <w:bCs/>
                <w:szCs w:val="21"/>
              </w:rPr>
            </w:pPr>
            <w:r>
              <w:rPr>
                <w:rFonts w:ascii="宋体" w:hAnsi="宋体" w:cs="宋体"/>
                <w:bCs/>
                <w:szCs w:val="21"/>
              </w:rPr>
              <w:t>②调节池</w:t>
            </w:r>
          </w:p>
          <w:p>
            <w:pPr>
              <w:pStyle w:val="45"/>
              <w:ind w:firstLine="480"/>
              <w:rPr>
                <w:rFonts w:ascii="宋体" w:hAnsi="宋体" w:cs="宋体"/>
                <w:bCs/>
                <w:szCs w:val="21"/>
              </w:rPr>
            </w:pPr>
            <w:r>
              <w:rPr>
                <w:rFonts w:ascii="宋体" w:hAnsi="宋体" w:cs="宋体"/>
                <w:bCs/>
                <w:szCs w:val="21"/>
              </w:rPr>
              <w:t>污水经化粪池消毒后，污水自流到调节池。污水在此进行流量及浓度的缓冲和调节，调节水量、水质对进入后续生化处理系统的污水各项指标有较好的稳定性，促进系统处理效率。污水经调节池泵入一体化污水处理设备。</w:t>
            </w:r>
          </w:p>
          <w:p>
            <w:pPr>
              <w:pStyle w:val="45"/>
              <w:ind w:firstLine="480"/>
              <w:rPr>
                <w:rFonts w:ascii="宋体" w:hAnsi="宋体" w:cs="宋体"/>
                <w:bCs/>
                <w:szCs w:val="21"/>
              </w:rPr>
            </w:pPr>
            <w:r>
              <w:rPr>
                <w:rFonts w:ascii="宋体" w:hAnsi="宋体" w:cs="宋体"/>
                <w:bCs/>
                <w:szCs w:val="21"/>
              </w:rPr>
              <w:t>③一体化污水处理设备</w:t>
            </w:r>
          </w:p>
          <w:p>
            <w:pPr>
              <w:pStyle w:val="45"/>
              <w:ind w:firstLine="480"/>
              <w:rPr>
                <w:rFonts w:ascii="宋体" w:hAnsi="宋体" w:cs="宋体"/>
                <w:bCs/>
                <w:szCs w:val="21"/>
              </w:rPr>
            </w:pPr>
            <w:r>
              <w:rPr>
                <w:rFonts w:ascii="宋体" w:hAnsi="宋体" w:cs="宋体"/>
                <w:bCs/>
                <w:szCs w:val="21"/>
              </w:rPr>
              <w:t>一体化污水处理设备采用接触氧化法对污水中的污染物进行降解，由厌氧池+好氧池+沉淀池+清水消毒池组成，污水处理原理如下：</w:t>
            </w:r>
          </w:p>
          <w:p>
            <w:pPr>
              <w:pStyle w:val="45"/>
              <w:ind w:firstLine="480"/>
              <w:rPr>
                <w:rFonts w:ascii="宋体" w:hAnsi="宋体" w:cs="宋体"/>
                <w:bCs/>
                <w:szCs w:val="21"/>
              </w:rPr>
            </w:pPr>
            <w:r>
              <w:rPr>
                <w:rFonts w:cs="宋体"/>
                <w:bCs/>
                <w:szCs w:val="21"/>
              </w:rPr>
              <w:t>A</w:t>
            </w:r>
            <w:r>
              <w:rPr>
                <w:rFonts w:ascii="宋体" w:hAnsi="宋体" w:cs="宋体"/>
                <w:bCs/>
                <w:szCs w:val="21"/>
              </w:rPr>
              <w:t>级生物池（缺氧池）：将污水进一步混合，充分利用池内高效生物弹性填料作为细菌载体，靠兼氧微生物将污水中难溶解有机物转化为可溶解性有机物，将大分子有机物水解成小分子有机物，以利于后道</w:t>
            </w:r>
            <w:r>
              <w:rPr>
                <w:rFonts w:cs="宋体"/>
                <w:bCs/>
                <w:szCs w:val="21"/>
              </w:rPr>
              <w:t>O</w:t>
            </w:r>
            <w:r>
              <w:rPr>
                <w:rFonts w:ascii="宋体" w:hAnsi="宋体" w:cs="宋体"/>
                <w:bCs/>
                <w:szCs w:val="21"/>
              </w:rPr>
              <w:t>级生物处理池进一步氧化分解，同时通过回流的硝炭氨在硝化菌的作用下，可进行部分硝化和反硝化，去除氨氮。</w:t>
            </w:r>
          </w:p>
          <w:p>
            <w:pPr>
              <w:pStyle w:val="45"/>
              <w:ind w:firstLine="480"/>
              <w:rPr>
                <w:rFonts w:ascii="宋体" w:hAnsi="宋体" w:cs="宋体"/>
                <w:bCs/>
                <w:szCs w:val="21"/>
              </w:rPr>
            </w:pPr>
            <w:r>
              <w:rPr>
                <w:rFonts w:hint="eastAsia" w:cs="宋体"/>
                <w:bCs/>
                <w:szCs w:val="21"/>
              </w:rPr>
              <w:t>O</w:t>
            </w:r>
            <w:r>
              <w:rPr>
                <w:rFonts w:ascii="宋体" w:hAnsi="宋体" w:cs="宋体"/>
                <w:bCs/>
                <w:szCs w:val="21"/>
              </w:rPr>
              <w:t>级生物池（生物接触氧化池）：容积负荷：</w:t>
            </w:r>
            <w:r>
              <w:rPr>
                <w:bCs/>
                <w:szCs w:val="21"/>
              </w:rPr>
              <w:t>0.80~1.5kgBOD</w:t>
            </w:r>
            <w:r>
              <w:rPr>
                <w:bCs/>
                <w:szCs w:val="21"/>
                <w:vertAlign w:val="subscript"/>
              </w:rPr>
              <w:t>5</w:t>
            </w:r>
            <w:r>
              <w:rPr>
                <w:bCs/>
                <w:szCs w:val="21"/>
              </w:rPr>
              <w:t>/m</w:t>
            </w:r>
            <w:r>
              <w:rPr>
                <w:bCs/>
                <w:szCs w:val="21"/>
                <w:vertAlign w:val="superscript"/>
              </w:rPr>
              <w:t>3</w:t>
            </w:r>
            <w:r>
              <w:rPr>
                <w:bCs/>
                <w:szCs w:val="21"/>
              </w:rPr>
              <w:t>.d</w:t>
            </w:r>
            <w:r>
              <w:rPr>
                <w:rFonts w:ascii="宋体" w:hAnsi="宋体" w:cs="宋体"/>
                <w:bCs/>
                <w:szCs w:val="21"/>
              </w:rPr>
              <w:t>气水比为</w:t>
            </w:r>
            <w:r>
              <w:rPr>
                <w:rFonts w:cs="宋体"/>
                <w:bCs/>
                <w:szCs w:val="21"/>
              </w:rPr>
              <w:t>15</w:t>
            </w:r>
            <w:r>
              <w:rPr>
                <w:rFonts w:ascii="宋体" w:hAnsi="宋体" w:cs="宋体"/>
                <w:bCs/>
                <w:szCs w:val="21"/>
              </w:rPr>
              <w:t>:</w:t>
            </w:r>
            <w:r>
              <w:rPr>
                <w:rFonts w:cs="宋体"/>
                <w:bCs/>
                <w:szCs w:val="21"/>
              </w:rPr>
              <w:t>1</w:t>
            </w:r>
            <w:r>
              <w:rPr>
                <w:rFonts w:ascii="宋体" w:hAnsi="宋体" w:cs="宋体"/>
                <w:bCs/>
                <w:szCs w:val="21"/>
              </w:rPr>
              <w:t>，该池为本污水处理的核心部分，分两段，前一段在较高的有机负荷下，通过附着于填料上的大量不同种属的微生物群落共同参与下的生化降解和吸附作用，去除污水中的各种有机物质，使污水中的有机物含量大幅度降低；后段在有机负荷降低的情况下，通过硝化菌的作用，在氧量充足的条件下降解污水中的氨氮，同时也使污水中的</w:t>
            </w:r>
            <w:r>
              <w:rPr>
                <w:rFonts w:cs="宋体"/>
                <w:bCs/>
                <w:szCs w:val="21"/>
              </w:rPr>
              <w:t>COD</w:t>
            </w:r>
            <w:r>
              <w:rPr>
                <w:rFonts w:ascii="宋体" w:hAnsi="宋体" w:cs="宋体"/>
                <w:bCs/>
                <w:szCs w:val="21"/>
              </w:rPr>
              <w:t>值降低到更低的水平，使污水得以净化。两段式设计能使水质降解成梯度，达到良好的处理效果，同时设计采用相应导流紊流措施，使设计更合理。</w:t>
            </w:r>
          </w:p>
          <w:p>
            <w:pPr>
              <w:pStyle w:val="45"/>
              <w:ind w:firstLine="480"/>
              <w:rPr>
                <w:rFonts w:ascii="宋体" w:hAnsi="宋体" w:cs="宋体"/>
                <w:bCs/>
                <w:szCs w:val="21"/>
              </w:rPr>
            </w:pPr>
            <w:r>
              <w:rPr>
                <w:rFonts w:ascii="宋体" w:hAnsi="宋体" w:cs="宋体"/>
                <w:bCs/>
                <w:szCs w:val="21"/>
              </w:rPr>
              <w:t>曝气方式采用微孔曝气，这样的设计能有效的避免管路由于处理废水产生的污泥堵塞，延长使用寿命，提高氧利用率高。</w:t>
            </w:r>
          </w:p>
          <w:p>
            <w:pPr>
              <w:pStyle w:val="45"/>
              <w:ind w:firstLine="480"/>
              <w:rPr>
                <w:rFonts w:ascii="宋体" w:hAnsi="宋体" w:cs="宋体"/>
                <w:bCs/>
                <w:szCs w:val="21"/>
              </w:rPr>
            </w:pPr>
            <w:r>
              <w:rPr>
                <w:rFonts w:ascii="宋体" w:hAnsi="宋体" w:cs="宋体"/>
                <w:bCs/>
                <w:szCs w:val="21"/>
              </w:rPr>
              <w:t>沉淀池：进行固液分离去除生化池中剥落下来的生物膜和悬浮污泥，使污水真正净化，使出水效果稳定。</w:t>
            </w:r>
          </w:p>
          <w:p>
            <w:pPr>
              <w:pStyle w:val="45"/>
              <w:ind w:firstLine="480"/>
              <w:rPr>
                <w:rFonts w:ascii="宋体" w:hAnsi="宋体" w:cs="宋体"/>
                <w:bCs/>
                <w:szCs w:val="21"/>
              </w:rPr>
            </w:pPr>
            <w:r>
              <w:rPr>
                <w:rFonts w:ascii="宋体" w:hAnsi="宋体" w:cs="宋体"/>
                <w:bCs/>
                <w:szCs w:val="21"/>
              </w:rPr>
              <w:t>清水消毒池：对于产生的污水最有效的消毒方法是投加消毒剂。目前消毒剂主要以强氧化剂为主，这些消毒剂的来源主要可分为两类。一类是化学药剂，另一类是产生消毒剂的设备。应根据不同情形选择适用的消毒剂种类和消毒方式，保证达到消毒效果。本项目拟采用洁王子消毒粉作为消毒剂，对处理后的出水进行二次消毒。</w:t>
            </w:r>
          </w:p>
          <w:p>
            <w:pPr>
              <w:pStyle w:val="45"/>
              <w:ind w:firstLine="480"/>
              <w:rPr>
                <w:rFonts w:ascii="宋体" w:hAnsi="宋体" w:cs="宋体"/>
                <w:bCs/>
                <w:szCs w:val="21"/>
              </w:rPr>
            </w:pPr>
            <w:r>
              <w:rPr>
                <w:rFonts w:ascii="宋体" w:hAnsi="宋体" w:cs="宋体"/>
                <w:bCs/>
                <w:szCs w:val="21"/>
              </w:rPr>
              <w:t>污泥池：该池设计为钢结构的箱体，内置污泥消化系统，二沉池排泥定时排入污泥池，进行污泥浓缩、好氧消化，污泥上清液回流排入调节池再处理。污泥池内投加洁王子消毒粉对污泥消毒处理，定期外运处置。</w:t>
            </w:r>
          </w:p>
          <w:p>
            <w:pPr>
              <w:pStyle w:val="45"/>
              <w:numPr>
                <w:ilvl w:val="0"/>
                <w:numId w:val="5"/>
              </w:numPr>
              <w:ind w:hanging="5" w:firstLineChars="0"/>
              <w:rPr>
                <w:rFonts w:ascii="宋体" w:hAnsi="宋体" w:cs="宋体"/>
                <w:bCs/>
                <w:szCs w:val="21"/>
              </w:rPr>
            </w:pPr>
            <w:r>
              <w:rPr>
                <w:rFonts w:hint="eastAsia" w:ascii="宋体" w:hAnsi="宋体" w:cs="宋体"/>
                <w:bCs/>
                <w:szCs w:val="21"/>
              </w:rPr>
              <w:t>方舱医院</w:t>
            </w:r>
            <w:r>
              <w:rPr>
                <w:rFonts w:ascii="宋体" w:hAnsi="宋体" w:cs="宋体"/>
                <w:bCs/>
                <w:szCs w:val="21"/>
              </w:rPr>
              <w:t>废水处理站运营管理</w:t>
            </w:r>
          </w:p>
          <w:p>
            <w:pPr>
              <w:pStyle w:val="45"/>
              <w:ind w:firstLine="480"/>
              <w:rPr>
                <w:rFonts w:ascii="宋体" w:hAnsi="宋体" w:cs="宋体"/>
                <w:bCs/>
                <w:szCs w:val="21"/>
              </w:rPr>
            </w:pPr>
            <w:r>
              <w:rPr>
                <w:rFonts w:hint="eastAsia" w:ascii="宋体" w:hAnsi="宋体" w:cs="宋体"/>
                <w:bCs/>
                <w:szCs w:val="21"/>
              </w:rPr>
              <w:t>方舱医院</w:t>
            </w:r>
            <w:r>
              <w:rPr>
                <w:rFonts w:ascii="宋体" w:hAnsi="宋体" w:cs="宋体"/>
                <w:bCs/>
                <w:szCs w:val="21"/>
              </w:rPr>
              <w:t>项目属于防控新型冠状病毒肺炎疫情临时性应急使用的方舱医院改造项目，仅在当地发生疫情时使用。疫情发生时，医护人员首先陆续到岗，每日废水产生最大量为</w:t>
            </w:r>
            <w:r>
              <w:rPr>
                <w:rFonts w:cs="宋体"/>
                <w:bCs/>
                <w:szCs w:val="21"/>
              </w:rPr>
              <w:t>48m</w:t>
            </w:r>
            <w:r>
              <w:rPr>
                <w:rFonts w:cs="宋体"/>
                <w:bCs/>
                <w:szCs w:val="21"/>
                <w:vertAlign w:val="superscript"/>
              </w:rPr>
              <w:t>3</w:t>
            </w:r>
            <w:r>
              <w:rPr>
                <w:rFonts w:ascii="宋体" w:hAnsi="宋体" w:cs="宋体"/>
                <w:bCs/>
                <w:szCs w:val="21"/>
              </w:rPr>
              <w:t>/</w:t>
            </w:r>
            <w:r>
              <w:rPr>
                <w:rFonts w:cs="宋体"/>
                <w:bCs/>
                <w:szCs w:val="21"/>
              </w:rPr>
              <w:t>d</w:t>
            </w:r>
            <w:r>
              <w:rPr>
                <w:rFonts w:ascii="宋体" w:hAnsi="宋体" w:cs="宋体"/>
                <w:bCs/>
                <w:szCs w:val="21"/>
              </w:rPr>
              <w:t>，此部分废水先排入化粪池、调节池暂存，化粪池、调节池容积均为</w:t>
            </w:r>
            <w:r>
              <w:rPr>
                <w:rFonts w:cs="宋体"/>
                <w:bCs/>
                <w:szCs w:val="21"/>
              </w:rPr>
              <w:t>33</w:t>
            </w:r>
            <w:r>
              <w:rPr>
                <w:rFonts w:ascii="宋体" w:hAnsi="宋体" w:cs="宋体"/>
                <w:bCs/>
                <w:szCs w:val="21"/>
              </w:rPr>
              <w:t>.</w:t>
            </w:r>
            <w:r>
              <w:rPr>
                <w:rFonts w:cs="宋体"/>
                <w:bCs/>
                <w:szCs w:val="21"/>
              </w:rPr>
              <w:t>28m</w:t>
            </w:r>
            <w:r>
              <w:rPr>
                <w:rFonts w:cs="宋体"/>
                <w:bCs/>
                <w:szCs w:val="21"/>
                <w:vertAlign w:val="superscript"/>
              </w:rPr>
              <w:t>3</w:t>
            </w:r>
            <w:r>
              <w:rPr>
                <w:rFonts w:ascii="宋体" w:hAnsi="宋体" w:cs="宋体"/>
                <w:bCs/>
                <w:szCs w:val="21"/>
              </w:rPr>
              <w:t>，即总容积为</w:t>
            </w:r>
            <w:r>
              <w:rPr>
                <w:rFonts w:cs="宋体"/>
                <w:bCs/>
                <w:szCs w:val="21"/>
              </w:rPr>
              <w:t>66</w:t>
            </w:r>
            <w:r>
              <w:rPr>
                <w:rFonts w:ascii="宋体" w:hAnsi="宋体" w:cs="宋体"/>
                <w:bCs/>
                <w:szCs w:val="21"/>
              </w:rPr>
              <w:t>.</w:t>
            </w:r>
            <w:r>
              <w:rPr>
                <w:rFonts w:cs="宋体"/>
                <w:bCs/>
                <w:szCs w:val="21"/>
              </w:rPr>
              <w:t>56m</w:t>
            </w:r>
            <w:r>
              <w:rPr>
                <w:rFonts w:cs="宋体"/>
                <w:bCs/>
                <w:szCs w:val="21"/>
                <w:vertAlign w:val="superscript"/>
              </w:rPr>
              <w:t>3</w:t>
            </w:r>
            <w:r>
              <w:rPr>
                <w:rFonts w:ascii="宋体" w:hAnsi="宋体" w:cs="宋体"/>
                <w:bCs/>
                <w:szCs w:val="21"/>
              </w:rPr>
              <w:t>，可暂存</w:t>
            </w:r>
            <w:r>
              <w:rPr>
                <w:rFonts w:cs="宋体"/>
                <w:bCs/>
                <w:szCs w:val="21"/>
              </w:rPr>
              <w:t>1</w:t>
            </w:r>
            <w:r>
              <w:rPr>
                <w:rFonts w:ascii="宋体" w:hAnsi="宋体" w:cs="宋体"/>
                <w:bCs/>
                <w:szCs w:val="21"/>
              </w:rPr>
              <w:t>-</w:t>
            </w:r>
            <w:r>
              <w:rPr>
                <w:rFonts w:cs="宋体"/>
                <w:bCs/>
                <w:szCs w:val="21"/>
              </w:rPr>
              <w:t>2d</w:t>
            </w:r>
            <w:r>
              <w:rPr>
                <w:rFonts w:ascii="宋体" w:hAnsi="宋体" w:cs="宋体"/>
                <w:bCs/>
                <w:szCs w:val="21"/>
              </w:rPr>
              <w:t>废水。疫情发生后立即开始调试污水处理站内的一体化设备，随着入院人员增加，水质水量逐渐趋于稳定，污水处理站稳定运行。</w:t>
            </w:r>
          </w:p>
          <w:p>
            <w:pPr>
              <w:pStyle w:val="45"/>
              <w:ind w:firstLine="480"/>
              <w:rPr>
                <w:rFonts w:ascii="宋体" w:hAnsi="宋体" w:cs="宋体"/>
                <w:bCs/>
                <w:szCs w:val="21"/>
              </w:rPr>
            </w:pPr>
            <w:r>
              <w:rPr>
                <w:rFonts w:ascii="宋体" w:hAnsi="宋体" w:cs="宋体"/>
                <w:bCs/>
                <w:szCs w:val="21"/>
              </w:rPr>
              <w:t>污水处理站稳定运行后，污水处理设施应保持良好的运行状态，以确保项目产生的废水得到有效处理、达标排放，根据《医院污水处理技术指南》、《医院污水处理设计规范》、《医院污水处理工程技术规范》，对污水处理设施运营管理提出如下要求：</w:t>
            </w:r>
          </w:p>
          <w:p>
            <w:pPr>
              <w:pStyle w:val="45"/>
              <w:ind w:firstLine="480"/>
              <w:rPr>
                <w:rFonts w:ascii="宋体" w:hAnsi="宋体" w:cs="宋体"/>
                <w:bCs/>
                <w:szCs w:val="21"/>
              </w:rPr>
            </w:pPr>
            <w:r>
              <w:rPr>
                <w:rFonts w:ascii="宋体" w:hAnsi="宋体" w:cs="宋体"/>
                <w:bCs/>
                <w:szCs w:val="21"/>
              </w:rPr>
              <w:t>①项目污水处理设备的日常维护应纳入项目正常的设备维护管理工作。应根据工艺要求，定期对构筑物、设备、电气及自控仪表进行检查维护，确保处理设施稳定运行；</w:t>
            </w:r>
          </w:p>
          <w:p>
            <w:pPr>
              <w:pStyle w:val="45"/>
              <w:ind w:firstLine="480"/>
              <w:rPr>
                <w:rFonts w:ascii="宋体" w:hAnsi="宋体" w:cs="宋体"/>
                <w:bCs/>
                <w:szCs w:val="21"/>
              </w:rPr>
            </w:pPr>
            <w:r>
              <w:rPr>
                <w:rFonts w:ascii="宋体" w:hAnsi="宋体" w:cs="宋体"/>
                <w:bCs/>
                <w:szCs w:val="21"/>
              </w:rPr>
              <w:t>②所有操作和维修人员必须经过技术培训和生产实践，并持证上岗；</w:t>
            </w:r>
          </w:p>
          <w:p>
            <w:pPr>
              <w:pStyle w:val="45"/>
              <w:ind w:firstLine="480"/>
              <w:rPr>
                <w:rFonts w:ascii="宋体" w:hAnsi="宋体" w:cs="宋体"/>
                <w:bCs/>
                <w:szCs w:val="21"/>
              </w:rPr>
            </w:pPr>
            <w:r>
              <w:rPr>
                <w:rFonts w:ascii="宋体" w:hAnsi="宋体" w:cs="宋体"/>
                <w:bCs/>
                <w:szCs w:val="21"/>
              </w:rPr>
              <w:t>③项目污水处理设施的运行应达到以下技术指标：运行率应大于</w:t>
            </w:r>
            <w:r>
              <w:rPr>
                <w:rFonts w:cs="宋体"/>
                <w:bCs/>
                <w:szCs w:val="21"/>
              </w:rPr>
              <w:t>95</w:t>
            </w:r>
            <w:r>
              <w:rPr>
                <w:rFonts w:ascii="宋体" w:hAnsi="宋体" w:cs="宋体"/>
                <w:bCs/>
                <w:szCs w:val="21"/>
              </w:rPr>
              <w:t>%(以运行天数计)；达标率应大于</w:t>
            </w:r>
            <w:r>
              <w:rPr>
                <w:rFonts w:cs="宋体"/>
                <w:bCs/>
                <w:szCs w:val="21"/>
              </w:rPr>
              <w:t>95</w:t>
            </w:r>
            <w:r>
              <w:rPr>
                <w:bCs/>
                <w:szCs w:val="21"/>
              </w:rPr>
              <w:t>%</w:t>
            </w:r>
            <w:r>
              <w:rPr>
                <w:rFonts w:ascii="宋体" w:hAnsi="宋体" w:cs="宋体"/>
                <w:bCs/>
                <w:szCs w:val="21"/>
              </w:rPr>
              <w:t>(以运行天数和主要水质指标计)；设备的综合完好率应大于</w:t>
            </w:r>
            <w:r>
              <w:rPr>
                <w:rFonts w:cs="宋体"/>
                <w:bCs/>
                <w:szCs w:val="21"/>
              </w:rPr>
              <w:t>90</w:t>
            </w:r>
            <w:r>
              <w:rPr>
                <w:bCs/>
                <w:szCs w:val="21"/>
              </w:rPr>
              <w:t>%</w:t>
            </w:r>
            <w:r>
              <w:rPr>
                <w:rFonts w:ascii="宋体" w:hAnsi="宋体" w:cs="宋体"/>
                <w:bCs/>
                <w:szCs w:val="21"/>
              </w:rPr>
              <w:t>；</w:t>
            </w:r>
          </w:p>
          <w:p>
            <w:pPr>
              <w:pStyle w:val="45"/>
              <w:ind w:firstLine="480"/>
              <w:rPr>
                <w:rFonts w:ascii="宋体" w:hAnsi="宋体" w:cs="宋体"/>
                <w:bCs/>
                <w:szCs w:val="21"/>
              </w:rPr>
            </w:pPr>
            <w:r>
              <w:rPr>
                <w:rFonts w:ascii="宋体" w:hAnsi="宋体" w:cs="宋体"/>
                <w:bCs/>
                <w:szCs w:val="21"/>
              </w:rPr>
              <w:t>④提高污水处理设施对突发卫生事件的防范能力，设立应急的配套设施或预留应急改造的空间，具备应急改造的条件；</w:t>
            </w:r>
          </w:p>
          <w:p>
            <w:pPr>
              <w:pStyle w:val="45"/>
              <w:ind w:firstLine="480"/>
              <w:rPr>
                <w:rFonts w:ascii="宋体" w:hAnsi="宋体" w:cs="宋体"/>
                <w:bCs/>
                <w:szCs w:val="21"/>
              </w:rPr>
            </w:pPr>
            <w:r>
              <w:rPr>
                <w:rFonts w:ascii="宋体" w:hAnsi="宋体" w:cs="宋体"/>
                <w:bCs/>
                <w:szCs w:val="21"/>
              </w:rPr>
              <w:t>⑤按规定对水质进行监测、记录、保存和上报；</w:t>
            </w:r>
          </w:p>
          <w:p>
            <w:pPr>
              <w:pStyle w:val="45"/>
              <w:ind w:firstLine="480"/>
              <w:rPr>
                <w:rFonts w:ascii="宋体" w:hAnsi="宋体" w:cs="宋体"/>
                <w:bCs/>
                <w:szCs w:val="21"/>
              </w:rPr>
            </w:pPr>
            <w:r>
              <w:rPr>
                <w:rFonts w:ascii="宋体" w:hAnsi="宋体" w:cs="宋体"/>
                <w:bCs/>
                <w:szCs w:val="21"/>
              </w:rPr>
              <w:t>⑥制定事故应急措施，污水处理设施一旦发生事故时启动应急措施。</w:t>
            </w:r>
          </w:p>
          <w:p>
            <w:pPr>
              <w:pStyle w:val="45"/>
              <w:numPr>
                <w:ilvl w:val="0"/>
                <w:numId w:val="5"/>
              </w:numPr>
              <w:ind w:hanging="5" w:firstLineChars="0"/>
              <w:rPr>
                <w:rFonts w:ascii="宋体" w:hAnsi="宋体" w:cs="宋体"/>
                <w:bCs/>
                <w:szCs w:val="21"/>
              </w:rPr>
            </w:pPr>
            <w:r>
              <w:rPr>
                <w:rFonts w:ascii="宋体" w:hAnsi="宋体" w:cs="宋体"/>
                <w:bCs/>
                <w:szCs w:val="21"/>
              </w:rPr>
              <w:t>接管可行性分析</w:t>
            </w:r>
          </w:p>
          <w:p>
            <w:pPr>
              <w:pStyle w:val="45"/>
              <w:ind w:left="420" w:firstLine="0" w:firstLineChars="0"/>
              <w:rPr>
                <w:rFonts w:ascii="宋体" w:hAnsi="宋体" w:cs="宋体"/>
                <w:bCs/>
                <w:szCs w:val="21"/>
              </w:rPr>
            </w:pPr>
            <w:r>
              <w:rPr>
                <w:rFonts w:ascii="宋体" w:hAnsi="宋体" w:cs="宋体"/>
                <w:bCs/>
                <w:szCs w:val="21"/>
              </w:rPr>
              <w:t>①接管水量可行性分析</w:t>
            </w:r>
          </w:p>
          <w:p>
            <w:pPr>
              <w:pStyle w:val="45"/>
              <w:ind w:left="420" w:firstLine="0" w:firstLineChars="0"/>
              <w:rPr>
                <w:rFonts w:ascii="宋体" w:hAnsi="宋体" w:cs="宋体"/>
                <w:bCs/>
                <w:szCs w:val="21"/>
              </w:rPr>
            </w:pPr>
            <w:r>
              <w:rPr>
                <w:rFonts w:ascii="宋体" w:hAnsi="宋体" w:cs="宋体"/>
                <w:bCs/>
                <w:szCs w:val="21"/>
              </w:rPr>
              <w:t>本项目废水排放量为</w:t>
            </w:r>
            <w:r>
              <w:rPr>
                <w:rFonts w:cs="宋体"/>
                <w:bCs/>
                <w:szCs w:val="21"/>
              </w:rPr>
              <w:t>38</w:t>
            </w:r>
            <w:r>
              <w:rPr>
                <w:rFonts w:ascii="宋体" w:hAnsi="宋体" w:cs="宋体"/>
                <w:bCs/>
                <w:szCs w:val="21"/>
              </w:rPr>
              <w:t>.</w:t>
            </w:r>
            <w:r>
              <w:rPr>
                <w:rFonts w:cs="宋体"/>
                <w:bCs/>
                <w:szCs w:val="21"/>
              </w:rPr>
              <w:t>2m</w:t>
            </w:r>
            <w:r>
              <w:rPr>
                <w:rFonts w:cs="宋体"/>
                <w:bCs/>
                <w:szCs w:val="21"/>
                <w:vertAlign w:val="superscript"/>
              </w:rPr>
              <w:t>3</w:t>
            </w:r>
            <w:r>
              <w:rPr>
                <w:rFonts w:ascii="宋体" w:hAnsi="宋体" w:cs="宋体"/>
                <w:bCs/>
                <w:szCs w:val="21"/>
              </w:rPr>
              <w:t>/</w:t>
            </w:r>
            <w:r>
              <w:rPr>
                <w:rFonts w:cs="宋体"/>
                <w:bCs/>
                <w:szCs w:val="21"/>
              </w:rPr>
              <w:t>d</w:t>
            </w:r>
            <w:r>
              <w:rPr>
                <w:rFonts w:hint="eastAsia" w:ascii="宋体" w:hAnsi="宋体" w:cs="宋体"/>
                <w:bCs/>
                <w:szCs w:val="21"/>
              </w:rPr>
              <w:t>，方舱医院废水排放量为</w:t>
            </w:r>
            <w:r>
              <w:rPr>
                <w:rFonts w:cs="宋体"/>
                <w:bCs/>
                <w:szCs w:val="21"/>
              </w:rPr>
              <w:t>148m</w:t>
            </w:r>
            <w:r>
              <w:rPr>
                <w:rFonts w:cs="宋体"/>
                <w:bCs/>
                <w:szCs w:val="21"/>
                <w:vertAlign w:val="superscript"/>
              </w:rPr>
              <w:t>3</w:t>
            </w:r>
            <w:r>
              <w:rPr>
                <w:rFonts w:ascii="宋体" w:hAnsi="宋体" w:cs="宋体"/>
                <w:bCs/>
                <w:szCs w:val="21"/>
              </w:rPr>
              <w:t>/</w:t>
            </w:r>
            <w:r>
              <w:rPr>
                <w:rFonts w:cs="宋体"/>
                <w:bCs/>
                <w:szCs w:val="21"/>
              </w:rPr>
              <w:t>d</w:t>
            </w:r>
            <w:r>
              <w:rPr>
                <w:rFonts w:ascii="宋体" w:hAnsi="宋体" w:cs="宋体"/>
                <w:bCs/>
                <w:szCs w:val="21"/>
              </w:rPr>
              <w:t>，</w:t>
            </w:r>
            <w:r>
              <w:rPr>
                <w:rFonts w:hint="eastAsia" w:ascii="宋体" w:hAnsi="宋体" w:cs="宋体"/>
                <w:bCs/>
                <w:szCs w:val="21"/>
              </w:rPr>
              <w:t>方舱医院</w:t>
            </w:r>
            <w:r>
              <w:rPr>
                <w:rFonts w:ascii="宋体" w:hAnsi="宋体" w:cs="宋体"/>
                <w:bCs/>
                <w:szCs w:val="21"/>
              </w:rPr>
              <w:t>污水处理厂设计污水处理规模为</w:t>
            </w:r>
            <w:r>
              <w:rPr>
                <w:rFonts w:cs="宋体"/>
                <w:bCs/>
                <w:szCs w:val="21"/>
              </w:rPr>
              <w:t>2</w:t>
            </w:r>
            <w:r>
              <w:rPr>
                <w:rFonts w:hint="eastAsia" w:cs="宋体"/>
                <w:bCs/>
                <w:szCs w:val="21"/>
              </w:rPr>
              <w:t>00</w:t>
            </w:r>
            <w:r>
              <w:rPr>
                <w:rFonts w:cs="宋体"/>
                <w:bCs/>
                <w:szCs w:val="21"/>
              </w:rPr>
              <w:t>m</w:t>
            </w:r>
            <w:r>
              <w:rPr>
                <w:rFonts w:cs="宋体"/>
                <w:bCs/>
                <w:szCs w:val="21"/>
                <w:vertAlign w:val="superscript"/>
              </w:rPr>
              <w:t>3</w:t>
            </w:r>
            <w:r>
              <w:rPr>
                <w:rFonts w:ascii="宋体" w:hAnsi="宋体" w:cs="宋体"/>
                <w:bCs/>
                <w:szCs w:val="21"/>
              </w:rPr>
              <w:t>/</w:t>
            </w:r>
            <w:r>
              <w:rPr>
                <w:rFonts w:cs="宋体"/>
                <w:bCs/>
                <w:szCs w:val="21"/>
              </w:rPr>
              <w:t>d</w:t>
            </w:r>
            <w:r>
              <w:rPr>
                <w:rFonts w:ascii="宋体" w:hAnsi="宋体" w:cs="宋体"/>
                <w:bCs/>
                <w:szCs w:val="21"/>
              </w:rPr>
              <w:t>，有足够容量接纳本项目废水，因此，本项目建成后废水排入</w:t>
            </w:r>
            <w:r>
              <w:rPr>
                <w:rFonts w:hint="eastAsia" w:ascii="宋体" w:hAnsi="宋体" w:cs="宋体"/>
                <w:bCs/>
                <w:szCs w:val="21"/>
              </w:rPr>
              <w:t>方舱医院</w:t>
            </w:r>
            <w:r>
              <w:rPr>
                <w:rFonts w:ascii="宋体" w:hAnsi="宋体" w:cs="宋体"/>
                <w:bCs/>
                <w:szCs w:val="21"/>
              </w:rPr>
              <w:t>污水处理</w:t>
            </w:r>
            <w:r>
              <w:rPr>
                <w:rFonts w:hint="eastAsia" w:ascii="宋体" w:hAnsi="宋体" w:cs="宋体"/>
                <w:bCs/>
                <w:szCs w:val="21"/>
              </w:rPr>
              <w:t>站</w:t>
            </w:r>
            <w:r>
              <w:rPr>
                <w:rFonts w:ascii="宋体" w:hAnsi="宋体" w:cs="宋体"/>
                <w:bCs/>
                <w:szCs w:val="21"/>
              </w:rPr>
              <w:t>接管水量可行。</w:t>
            </w:r>
          </w:p>
          <w:p>
            <w:pPr>
              <w:pStyle w:val="45"/>
              <w:ind w:left="420" w:firstLine="0" w:firstLineChars="0"/>
              <w:rPr>
                <w:rFonts w:ascii="宋体" w:hAnsi="宋体" w:cs="宋体"/>
                <w:bCs/>
                <w:szCs w:val="21"/>
              </w:rPr>
            </w:pPr>
            <w:r>
              <w:rPr>
                <w:rFonts w:ascii="宋体" w:hAnsi="宋体" w:cs="宋体"/>
                <w:bCs/>
                <w:szCs w:val="21"/>
              </w:rPr>
              <w:t>②接管水质可行性分析</w:t>
            </w:r>
          </w:p>
          <w:p>
            <w:pPr>
              <w:pStyle w:val="45"/>
              <w:ind w:left="420" w:firstLine="0" w:firstLineChars="0"/>
              <w:rPr>
                <w:rFonts w:hint="eastAsia" w:ascii="宋体" w:hAnsi="宋体" w:cs="宋体"/>
                <w:b/>
                <w:sz w:val="21"/>
                <w:szCs w:val="21"/>
              </w:rPr>
            </w:pPr>
            <w:r>
              <w:rPr>
                <w:rFonts w:ascii="宋体" w:hAnsi="宋体" w:cs="宋体"/>
                <w:bCs/>
                <w:szCs w:val="21"/>
              </w:rPr>
              <w:t>本项目废水</w:t>
            </w:r>
            <w:r>
              <w:rPr>
                <w:rFonts w:hint="eastAsia" w:ascii="宋体" w:hAnsi="宋体" w:cs="宋体"/>
                <w:bCs/>
                <w:szCs w:val="21"/>
              </w:rPr>
              <w:t>污染物含量和方舱医院污水处理站进水水质要求见下表。</w:t>
            </w:r>
          </w:p>
          <w:p>
            <w:pPr>
              <w:pStyle w:val="45"/>
              <w:ind w:left="420" w:firstLine="0" w:firstLineChars="0"/>
              <w:jc w:val="center"/>
              <w:rPr>
                <w:rFonts w:ascii="宋体" w:hAnsi="宋体" w:cs="宋体"/>
                <w:b/>
                <w:sz w:val="21"/>
                <w:szCs w:val="21"/>
              </w:rPr>
            </w:pPr>
            <w:r>
              <w:rPr>
                <w:rFonts w:hint="eastAsia" w:ascii="宋体" w:hAnsi="宋体" w:cs="宋体"/>
                <w:b/>
                <w:sz w:val="21"/>
                <w:szCs w:val="21"/>
              </w:rPr>
              <w:t>表</w:t>
            </w:r>
            <w:r>
              <w:rPr>
                <w:rFonts w:hint="eastAsia" w:cs="宋体"/>
                <w:b/>
                <w:sz w:val="21"/>
                <w:szCs w:val="21"/>
              </w:rPr>
              <w:t>2</w:t>
            </w:r>
            <w:r>
              <w:rPr>
                <w:rFonts w:hint="eastAsia" w:ascii="宋体" w:hAnsi="宋体" w:cs="宋体"/>
                <w:b/>
                <w:sz w:val="21"/>
                <w:szCs w:val="21"/>
              </w:rPr>
              <w:t>-</w:t>
            </w:r>
            <w:r>
              <w:rPr>
                <w:rFonts w:hint="eastAsia" w:cs="宋体"/>
                <w:b/>
                <w:sz w:val="21"/>
                <w:szCs w:val="21"/>
              </w:rPr>
              <w:t>4</w:t>
            </w:r>
            <w:r>
              <w:rPr>
                <w:rFonts w:hint="eastAsia" w:ascii="宋体" w:hAnsi="宋体" w:cs="宋体"/>
                <w:b/>
                <w:sz w:val="21"/>
                <w:szCs w:val="21"/>
              </w:rPr>
              <w:t>定点医院出水、方舱医院污水处理站进水水质表</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2802"/>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65"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5"/>
                    <w:snapToGrid w:val="0"/>
                    <w:spacing w:line="240" w:lineRule="auto"/>
                    <w:ind w:firstLine="0" w:firstLineChars="0"/>
                    <w:jc w:val="center"/>
                    <w:rPr>
                      <w:rFonts w:ascii="宋体" w:hAnsi="宋体" w:cs="宋体"/>
                      <w:b/>
                      <w:szCs w:val="21"/>
                    </w:rPr>
                  </w:pPr>
                </w:p>
                <w:p>
                  <w:pPr>
                    <w:pStyle w:val="45"/>
                    <w:snapToGrid w:val="0"/>
                    <w:spacing w:line="240" w:lineRule="auto"/>
                    <w:ind w:firstLine="0" w:firstLineChars="0"/>
                    <w:jc w:val="center"/>
                    <w:rPr>
                      <w:rFonts w:ascii="宋体" w:hAnsi="宋体" w:cs="宋体"/>
                      <w:b/>
                      <w:szCs w:val="21"/>
                    </w:rPr>
                  </w:pPr>
                </w:p>
                <w:p>
                  <w:pPr>
                    <w:pStyle w:val="45"/>
                    <w:snapToGrid w:val="0"/>
                    <w:spacing w:line="240" w:lineRule="auto"/>
                    <w:ind w:firstLine="723" w:firstLineChars="300"/>
                    <w:jc w:val="both"/>
                    <w:rPr>
                      <w:rFonts w:ascii="宋体" w:hAnsi="宋体" w:cs="宋体"/>
                      <w:b/>
                      <w:szCs w:val="21"/>
                    </w:rPr>
                  </w:pPr>
                  <w:r>
                    <w:rPr>
                      <w:rFonts w:hint="eastAsia" w:ascii="宋体" w:hAnsi="宋体" w:cs="宋体"/>
                      <w:b/>
                      <w:szCs w:val="21"/>
                    </w:rPr>
                    <w:t>指标</w:t>
                  </w:r>
                </w:p>
                <w:p>
                  <w:pPr>
                    <w:pStyle w:val="45"/>
                    <w:spacing w:line="240" w:lineRule="auto"/>
                    <w:ind w:firstLine="0" w:firstLineChars="0"/>
                    <w:jc w:val="center"/>
                    <w:rPr>
                      <w:rFonts w:ascii="宋体" w:hAnsi="宋体" w:cs="宋体"/>
                      <w:b/>
                      <w:szCs w:val="21"/>
                    </w:rPr>
                  </w:pPr>
                </w:p>
                <w:p>
                  <w:pPr>
                    <w:pStyle w:val="45"/>
                    <w:snapToGrid w:val="0"/>
                    <w:spacing w:line="240" w:lineRule="auto"/>
                    <w:ind w:firstLine="0" w:firstLineChars="0"/>
                    <w:jc w:val="center"/>
                    <mc:AlternateContent>
                      <mc:Choice Requires="wpsCustomData">
                        <wpsCustomData:diagonalParaType/>
                      </mc:Choice>
                    </mc:AlternateContent>
                    <w:rPr>
                      <w:rFonts w:ascii="宋体" w:hAnsi="宋体" w:cs="宋体"/>
                      <w:b/>
                      <w:szCs w:val="21"/>
                    </w:rPr>
                  </w:pPr>
                  <w:r>
                    <w:rPr>
                      <w:rFonts w:hint="eastAsia" w:ascii="宋体" w:hAnsi="宋体" w:cs="宋体"/>
                      <w:b/>
                      <w:szCs w:val="21"/>
                    </w:rPr>
                    <w:t>项目</w:t>
                  </w:r>
                </w:p>
                <w:p>
                  <w:pPr>
                    <w:pStyle w:val="45"/>
                    <w:spacing w:line="240" w:lineRule="auto"/>
                    <w:ind w:firstLine="0" w:firstLineChars="0"/>
                    <w:jc w:val="both"/>
                    <w:rPr>
                      <w:rFonts w:hint="eastAsia" w:ascii="宋体" w:hAnsi="宋体" w:cs="宋体"/>
                      <w:b/>
                      <w:szCs w:val="21"/>
                      <w:lang w:val="en-US" w:eastAsia="zh-CN"/>
                    </w:rPr>
                  </w:pPr>
                </w:p>
                <w:p>
                  <w:pPr>
                    <w:pStyle w:val="45"/>
                    <w:spacing w:line="240" w:lineRule="auto"/>
                    <w:ind w:firstLine="0" w:firstLineChars="0"/>
                    <w:jc w:val="both"/>
                    <w:rPr>
                      <w:rFonts w:hint="default" w:ascii="宋体" w:hAnsi="宋体" w:eastAsia="宋体" w:cs="宋体"/>
                      <w:b/>
                      <w:szCs w:val="21"/>
                      <w:lang w:val="en-US" w:eastAsia="zh-CN"/>
                    </w:rPr>
                  </w:pPr>
                  <w:r>
                    <w:rPr>
                      <w:rFonts w:hint="eastAsia" w:ascii="宋体" w:hAnsi="宋体" w:cs="宋体"/>
                      <w:b/>
                      <w:szCs w:val="21"/>
                      <w:lang w:val="en-US" w:eastAsia="zh-CN"/>
                    </w:rPr>
                    <w:t>项目</w:t>
                  </w:r>
                </w:p>
              </w:tc>
              <w:tc>
                <w:tcPr>
                  <w:tcW w:w="1666" w:type="pct"/>
                  <w:vAlign w:val="center"/>
                </w:tcPr>
                <w:p>
                  <w:pPr>
                    <w:pStyle w:val="45"/>
                    <w:spacing w:line="240" w:lineRule="auto"/>
                    <w:ind w:firstLine="0" w:firstLineChars="0"/>
                    <w:jc w:val="center"/>
                    <w:rPr>
                      <w:rFonts w:ascii="宋体" w:hAnsi="宋体" w:cs="宋体"/>
                      <w:b/>
                      <w:szCs w:val="21"/>
                    </w:rPr>
                  </w:pPr>
                  <w:r>
                    <w:rPr>
                      <w:rFonts w:hint="eastAsia" w:ascii="宋体" w:hAnsi="宋体" w:cs="宋体"/>
                      <w:b/>
                      <w:szCs w:val="21"/>
                    </w:rPr>
                    <w:t>定点医院出水水质</w:t>
                  </w:r>
                </w:p>
              </w:tc>
              <w:tc>
                <w:tcPr>
                  <w:tcW w:w="1667" w:type="pct"/>
                  <w:vAlign w:val="center"/>
                </w:tcPr>
                <w:p>
                  <w:pPr>
                    <w:pStyle w:val="45"/>
                    <w:spacing w:line="240" w:lineRule="auto"/>
                    <w:ind w:firstLine="0" w:firstLineChars="0"/>
                    <w:jc w:val="center"/>
                    <w:rPr>
                      <w:rFonts w:ascii="宋体" w:hAnsi="宋体" w:cs="宋体"/>
                      <w:b/>
                      <w:szCs w:val="21"/>
                    </w:rPr>
                  </w:pPr>
                  <w:r>
                    <w:rPr>
                      <w:rFonts w:hint="eastAsia" w:ascii="宋体" w:hAnsi="宋体" w:cs="宋体"/>
                      <w:b/>
                      <w:szCs w:val="21"/>
                    </w:rPr>
                    <w:t>方舱医院污水处理站</w:t>
                  </w:r>
                </w:p>
                <w:p>
                  <w:pPr>
                    <w:pStyle w:val="45"/>
                    <w:spacing w:line="240" w:lineRule="auto"/>
                    <w:ind w:firstLine="0" w:firstLineChars="0"/>
                    <w:jc w:val="center"/>
                    <w:rPr>
                      <w:rFonts w:ascii="宋体" w:hAnsi="宋体" w:cs="宋体"/>
                      <w:b/>
                      <w:szCs w:val="21"/>
                    </w:rPr>
                  </w:pPr>
                  <w:r>
                    <w:rPr>
                      <w:rFonts w:hint="eastAsia" w:ascii="宋体" w:hAnsi="宋体" w:cs="宋体"/>
                      <w:b/>
                      <w:szCs w:val="21"/>
                    </w:rPr>
                    <w:t>进水水质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00" w:type="dxa"/>
                  <w:vAlign w:val="center"/>
                </w:tcPr>
                <w:p>
                  <w:pPr>
                    <w:spacing w:line="240" w:lineRule="atLeast"/>
                    <w:jc w:val="center"/>
                    <w:rPr>
                      <w:rFonts w:ascii="宋体" w:hAnsi="宋体" w:cs="宋体"/>
                      <w:bCs/>
                      <w:szCs w:val="21"/>
                    </w:rPr>
                  </w:pPr>
                  <w:r>
                    <w:rPr>
                      <w:rFonts w:hint="eastAsia"/>
                      <w:szCs w:val="21"/>
                    </w:rPr>
                    <w:t>pH</w:t>
                  </w:r>
                </w:p>
              </w:tc>
              <w:tc>
                <w:tcPr>
                  <w:tcW w:w="2802" w:type="dxa"/>
                  <w:vAlign w:val="center"/>
                </w:tcPr>
                <w:p>
                  <w:pPr>
                    <w:spacing w:line="240" w:lineRule="atLeast"/>
                    <w:jc w:val="center"/>
                    <w:rPr>
                      <w:rFonts w:ascii="宋体" w:hAnsi="宋体" w:cs="宋体"/>
                      <w:bCs/>
                      <w:szCs w:val="21"/>
                    </w:rPr>
                  </w:pPr>
                  <w:r>
                    <w:rPr>
                      <w:rFonts w:hint="eastAsia"/>
                      <w:szCs w:val="21"/>
                    </w:rPr>
                    <w:t>6-9</w:t>
                  </w:r>
                </w:p>
              </w:tc>
              <w:tc>
                <w:tcPr>
                  <w:tcW w:w="1667" w:type="pct"/>
                  <w:vAlign w:val="center"/>
                </w:tcPr>
                <w:p>
                  <w:pPr>
                    <w:jc w:val="center"/>
                    <w:rPr>
                      <w:bCs/>
                      <w:szCs w:val="21"/>
                    </w:rPr>
                  </w:pPr>
                  <w:r>
                    <w:rPr>
                      <w:bCs/>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00" w:type="dxa"/>
                  <w:vAlign w:val="center"/>
                </w:tcPr>
                <w:p>
                  <w:pPr>
                    <w:spacing w:line="240" w:lineRule="atLeast"/>
                    <w:jc w:val="center"/>
                    <w:rPr>
                      <w:rFonts w:ascii="宋体" w:hAnsi="宋体" w:cs="宋体"/>
                      <w:bCs/>
                      <w:szCs w:val="21"/>
                    </w:rPr>
                  </w:pPr>
                  <w:r>
                    <w:rPr>
                      <w:rFonts w:hint="eastAsia"/>
                      <w:szCs w:val="21"/>
                    </w:rPr>
                    <w:t>COD</w:t>
                  </w:r>
                </w:p>
              </w:tc>
              <w:tc>
                <w:tcPr>
                  <w:tcW w:w="2802" w:type="dxa"/>
                  <w:vAlign w:val="center"/>
                </w:tcPr>
                <w:p>
                  <w:pPr>
                    <w:spacing w:line="240" w:lineRule="atLeast"/>
                    <w:jc w:val="center"/>
                    <w:rPr>
                      <w:rFonts w:ascii="宋体" w:hAnsi="宋体" w:cs="宋体"/>
                      <w:bCs/>
                      <w:szCs w:val="21"/>
                    </w:rPr>
                  </w:pPr>
                  <w:r>
                    <w:rPr>
                      <w:rFonts w:hint="eastAsia"/>
                      <w:szCs w:val="21"/>
                    </w:rPr>
                    <w:t>400</w:t>
                  </w:r>
                </w:p>
              </w:tc>
              <w:tc>
                <w:tcPr>
                  <w:tcW w:w="1667" w:type="pct"/>
                  <w:vAlign w:val="center"/>
                </w:tcPr>
                <w:p>
                  <w:pPr>
                    <w:jc w:val="center"/>
                    <w:rPr>
                      <w:bCs/>
                      <w:szCs w:val="21"/>
                    </w:rPr>
                  </w:pPr>
                  <w:r>
                    <w:rPr>
                      <w:bCs/>
                      <w:szCs w:val="21"/>
                    </w:rPr>
                    <w:t>≤400-1000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00" w:type="dxa"/>
                  <w:vAlign w:val="center"/>
                </w:tcPr>
                <w:p>
                  <w:pPr>
                    <w:spacing w:line="240" w:lineRule="atLeast"/>
                    <w:jc w:val="center"/>
                    <w:rPr>
                      <w:rFonts w:ascii="宋体" w:hAnsi="宋体" w:cs="宋体"/>
                      <w:bCs/>
                      <w:szCs w:val="21"/>
                    </w:rPr>
                  </w:pPr>
                  <w:r>
                    <w:rPr>
                      <w:rFonts w:hint="eastAsia"/>
                      <w:szCs w:val="21"/>
                    </w:rPr>
                    <w:t>BOD</w:t>
                  </w:r>
                </w:p>
              </w:tc>
              <w:tc>
                <w:tcPr>
                  <w:tcW w:w="2802" w:type="dxa"/>
                  <w:vAlign w:val="center"/>
                </w:tcPr>
                <w:p>
                  <w:pPr>
                    <w:spacing w:line="240" w:lineRule="atLeast"/>
                    <w:jc w:val="center"/>
                    <w:rPr>
                      <w:rFonts w:ascii="宋体" w:hAnsi="宋体" w:cs="宋体"/>
                      <w:bCs/>
                      <w:szCs w:val="21"/>
                    </w:rPr>
                  </w:pPr>
                  <w:r>
                    <w:rPr>
                      <w:rFonts w:hint="eastAsia"/>
                      <w:szCs w:val="21"/>
                    </w:rPr>
                    <w:t>250</w:t>
                  </w:r>
                </w:p>
              </w:tc>
              <w:tc>
                <w:tcPr>
                  <w:tcW w:w="1667" w:type="pct"/>
                  <w:vAlign w:val="center"/>
                </w:tcPr>
                <w:p>
                  <w:pPr>
                    <w:jc w:val="center"/>
                    <w:rPr>
                      <w:bCs/>
                      <w:szCs w:val="21"/>
                    </w:rPr>
                  </w:pPr>
                  <w:r>
                    <w:rPr>
                      <w:bCs/>
                      <w:szCs w:val="21"/>
                    </w:rPr>
                    <w:t>≤200-400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00" w:type="dxa"/>
                  <w:vAlign w:val="center"/>
                </w:tcPr>
                <w:p>
                  <w:pPr>
                    <w:spacing w:line="240" w:lineRule="atLeast"/>
                    <w:jc w:val="center"/>
                    <w:rPr>
                      <w:rFonts w:ascii="宋体" w:hAnsi="宋体" w:cs="宋体"/>
                      <w:bCs/>
                      <w:szCs w:val="21"/>
                    </w:rPr>
                  </w:pPr>
                  <w:r>
                    <w:rPr>
                      <w:rFonts w:hint="eastAsia"/>
                      <w:szCs w:val="21"/>
                    </w:rPr>
                    <w:t>SS</w:t>
                  </w:r>
                </w:p>
              </w:tc>
              <w:tc>
                <w:tcPr>
                  <w:tcW w:w="2802" w:type="dxa"/>
                  <w:vAlign w:val="center"/>
                </w:tcPr>
                <w:p>
                  <w:pPr>
                    <w:spacing w:line="240" w:lineRule="atLeast"/>
                    <w:jc w:val="center"/>
                    <w:rPr>
                      <w:rFonts w:ascii="宋体" w:hAnsi="宋体" w:cs="宋体"/>
                      <w:bCs/>
                      <w:szCs w:val="21"/>
                    </w:rPr>
                  </w:pPr>
                  <w:r>
                    <w:rPr>
                      <w:rFonts w:hint="eastAsia"/>
                      <w:szCs w:val="21"/>
                    </w:rPr>
                    <w:t>280</w:t>
                  </w:r>
                </w:p>
              </w:tc>
              <w:tc>
                <w:tcPr>
                  <w:tcW w:w="1667" w:type="pct"/>
                  <w:vAlign w:val="center"/>
                </w:tcPr>
                <w:p>
                  <w:pPr>
                    <w:jc w:val="center"/>
                    <w:rPr>
                      <w:bCs/>
                      <w:szCs w:val="21"/>
                    </w:rPr>
                  </w:pPr>
                  <w:r>
                    <w:rPr>
                      <w:bCs/>
                      <w:szCs w:val="21"/>
                    </w:rPr>
                    <w:t>≤220-350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00" w:type="dxa"/>
                  <w:vAlign w:val="center"/>
                </w:tcPr>
                <w:p>
                  <w:pPr>
                    <w:spacing w:line="240" w:lineRule="atLeast"/>
                    <w:jc w:val="center"/>
                    <w:rPr>
                      <w:rFonts w:ascii="宋体" w:hAnsi="宋体" w:cs="宋体"/>
                      <w:bCs/>
                      <w:szCs w:val="21"/>
                    </w:rPr>
                  </w:pPr>
                  <w:r>
                    <w:rPr>
                      <w:szCs w:val="21"/>
                    </w:rPr>
                    <w:t>NH</w:t>
                  </w:r>
                  <w:r>
                    <w:rPr>
                      <w:szCs w:val="21"/>
                      <w:vertAlign w:val="subscript"/>
                    </w:rPr>
                    <w:t>3</w:t>
                  </w:r>
                  <w:r>
                    <w:rPr>
                      <w:szCs w:val="21"/>
                    </w:rPr>
                    <w:t>-N</w:t>
                  </w:r>
                </w:p>
              </w:tc>
              <w:tc>
                <w:tcPr>
                  <w:tcW w:w="2802" w:type="dxa"/>
                  <w:vAlign w:val="center"/>
                </w:tcPr>
                <w:p>
                  <w:pPr>
                    <w:spacing w:line="240" w:lineRule="atLeast"/>
                    <w:jc w:val="center"/>
                    <w:rPr>
                      <w:rFonts w:ascii="宋体" w:hAnsi="宋体" w:cs="宋体"/>
                      <w:bCs/>
                      <w:szCs w:val="21"/>
                    </w:rPr>
                  </w:pPr>
                  <w:r>
                    <w:rPr>
                      <w:rFonts w:hint="eastAsia"/>
                      <w:szCs w:val="21"/>
                    </w:rPr>
                    <w:t>30</w:t>
                  </w:r>
                </w:p>
              </w:tc>
              <w:tc>
                <w:tcPr>
                  <w:tcW w:w="1667" w:type="pct"/>
                  <w:vAlign w:val="center"/>
                </w:tcPr>
                <w:p>
                  <w:pPr>
                    <w:jc w:val="center"/>
                    <w:rPr>
                      <w:bCs/>
                      <w:szCs w:val="21"/>
                    </w:rPr>
                  </w:pPr>
                  <w:r>
                    <w:rPr>
                      <w:bCs/>
                      <w:szCs w:val="21"/>
                    </w:rPr>
                    <w:t>≤50-100</w:t>
                  </w:r>
                </w:p>
              </w:tc>
            </w:tr>
          </w:tbl>
          <w:p>
            <w:pPr>
              <w:pStyle w:val="45"/>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ascii="宋体" w:hAnsi="宋体" w:cs="宋体"/>
                <w:bCs/>
                <w:szCs w:val="21"/>
              </w:rPr>
            </w:pPr>
            <w:r>
              <w:rPr>
                <w:rFonts w:hint="eastAsia" w:ascii="宋体" w:hAnsi="宋体" w:cs="宋体"/>
                <w:bCs/>
                <w:szCs w:val="21"/>
              </w:rPr>
              <w:t>根据上表，定点医院污水水质满足方舱医院污水处理站进水水质。</w:t>
            </w:r>
          </w:p>
          <w:p>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Cs/>
                <w:szCs w:val="21"/>
                <w:lang w:val="en-US" w:eastAsia="zh-CN"/>
              </w:rPr>
            </w:pPr>
            <w:r>
              <w:rPr>
                <w:rFonts w:ascii="宋体" w:hAnsi="宋体" w:cs="宋体"/>
                <w:bCs/>
                <w:szCs w:val="21"/>
              </w:rPr>
              <w:t>综上，从接管水量、水质等方面分析，本项目废水排入</w:t>
            </w:r>
            <w:r>
              <w:rPr>
                <w:rFonts w:hint="eastAsia" w:ascii="宋体" w:hAnsi="宋体" w:cs="宋体"/>
                <w:bCs/>
                <w:szCs w:val="21"/>
              </w:rPr>
              <w:t>方舱医院</w:t>
            </w:r>
            <w:r>
              <w:rPr>
                <w:rFonts w:ascii="宋体" w:hAnsi="宋体" w:cs="宋体"/>
                <w:bCs/>
                <w:szCs w:val="21"/>
              </w:rPr>
              <w:t>污水处理</w:t>
            </w:r>
            <w:r>
              <w:rPr>
                <w:rFonts w:hint="eastAsia" w:ascii="宋体" w:hAnsi="宋体" w:cs="宋体"/>
                <w:bCs/>
                <w:szCs w:val="21"/>
              </w:rPr>
              <w:t>站</w:t>
            </w:r>
            <w:r>
              <w:rPr>
                <w:rFonts w:ascii="宋体" w:hAnsi="宋体" w:cs="宋体"/>
                <w:bCs/>
                <w:szCs w:val="21"/>
              </w:rPr>
              <w:t>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5"/>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161" w:type="dxa"/>
          </w:tcPr>
          <w:p>
            <w:pPr>
              <w:pStyle w:val="3"/>
              <w:overflowPunct/>
              <w:snapToGrid/>
              <w:spacing w:before="0" w:after="0" w:line="240" w:lineRule="auto"/>
              <w:ind w:left="0" w:firstLine="0"/>
              <w:rPr>
                <w:rFonts w:eastAsiaTheme="minorEastAsia"/>
                <w:kern w:val="2"/>
                <w:sz w:val="28"/>
                <w:szCs w:val="28"/>
              </w:rPr>
            </w:pPr>
            <w:r>
              <w:rPr>
                <w:rFonts w:eastAsiaTheme="minorEastAsia"/>
                <w:kern w:val="2"/>
                <w:sz w:val="28"/>
                <w:szCs w:val="28"/>
              </w:rPr>
              <w:t>工艺流程简述：</w:t>
            </w:r>
          </w:p>
          <w:p>
            <w:pPr>
              <w:pStyle w:val="45"/>
              <w:ind w:firstLine="482"/>
              <w:rPr>
                <w:b/>
              </w:rPr>
            </w:pPr>
            <w:r>
              <w:rPr>
                <w:b/>
                <w:szCs w:val="21"/>
              </w:rPr>
              <w:t>1</w:t>
            </w:r>
            <w:r>
              <w:rPr>
                <w:b/>
              </w:rPr>
              <w:t>、施工期：</w:t>
            </w:r>
          </w:p>
          <w:p>
            <w:pPr>
              <w:pStyle w:val="45"/>
              <w:ind w:firstLine="480"/>
            </w:pPr>
            <w:r>
              <w:rPr>
                <w:rFonts w:hint="eastAsia"/>
              </w:rPr>
              <w:t>定点医院施工期为6月1日到6月30日，现工程除部分设备未安装外其余部分已经施工完毕，工程施工内容主要为新建钢结构定点医院，包括：场地平整、建筑物地基挖掘及施工等。施工过程中产生了扬尘、废水、噪声及固体废物。建设阶段主要产物环节详见下表。</w:t>
            </w:r>
          </w:p>
          <w:p>
            <w:pPr>
              <w:tabs>
                <w:tab w:val="left" w:pos="420"/>
              </w:tabs>
              <w:adjustRightInd w:val="0"/>
              <w:spacing w:before="120" w:beforeLines="50"/>
              <w:jc w:val="center"/>
              <w:rPr>
                <w:b/>
                <w:bCs/>
                <w:snapToGrid w:val="0"/>
                <w:szCs w:val="21"/>
              </w:rPr>
            </w:pPr>
            <w:r>
              <w:rPr>
                <w:rFonts w:hint="eastAsia"/>
                <w:b/>
                <w:bCs/>
                <w:snapToGrid w:val="0"/>
                <w:szCs w:val="21"/>
              </w:rPr>
              <w:t>表2-5</w:t>
            </w:r>
            <w:r>
              <w:rPr>
                <w:b/>
                <w:bCs/>
                <w:snapToGrid w:val="0"/>
                <w:szCs w:val="21"/>
              </w:rPr>
              <w:t>建设阶段产污环节及治理措施一览表</w:t>
            </w:r>
          </w:p>
          <w:tbl>
            <w:tblPr>
              <w:tblStyle w:val="1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2"/>
              <w:gridCol w:w="1096"/>
              <w:gridCol w:w="987"/>
              <w:gridCol w:w="1151"/>
              <w:gridCol w:w="44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Align w:val="center"/>
                </w:tcPr>
                <w:p>
                  <w:pPr>
                    <w:pStyle w:val="48"/>
                    <w:framePr w:hSpace="0" w:wrap="auto" w:vAnchor="margin" w:hAnchor="text" w:xAlign="left" w:yAlign="inline"/>
                    <w:spacing w:line="280" w:lineRule="exact"/>
                    <w:rPr>
                      <w:bCs/>
                    </w:rPr>
                  </w:pPr>
                  <w:r>
                    <w:rPr>
                      <w:bCs/>
                    </w:rPr>
                    <w:t>类别</w:t>
                  </w:r>
                </w:p>
              </w:tc>
              <w:tc>
                <w:tcPr>
                  <w:tcW w:w="652" w:type="pct"/>
                  <w:vAlign w:val="center"/>
                </w:tcPr>
                <w:p>
                  <w:pPr>
                    <w:pStyle w:val="48"/>
                    <w:framePr w:hSpace="0" w:wrap="auto" w:vAnchor="margin" w:hAnchor="text" w:xAlign="left" w:yAlign="inline"/>
                    <w:spacing w:line="280" w:lineRule="exact"/>
                    <w:rPr>
                      <w:bCs/>
                    </w:rPr>
                  </w:pPr>
                  <w:r>
                    <w:rPr>
                      <w:bCs/>
                    </w:rPr>
                    <w:t>排放源</w:t>
                  </w:r>
                </w:p>
              </w:tc>
              <w:tc>
                <w:tcPr>
                  <w:tcW w:w="587" w:type="pct"/>
                  <w:vAlign w:val="center"/>
                </w:tcPr>
                <w:p>
                  <w:pPr>
                    <w:pStyle w:val="48"/>
                    <w:framePr w:hSpace="0" w:wrap="auto" w:vAnchor="margin" w:hAnchor="text" w:xAlign="left" w:yAlign="inline"/>
                    <w:spacing w:line="280" w:lineRule="exact"/>
                    <w:rPr>
                      <w:bCs/>
                    </w:rPr>
                  </w:pPr>
                  <w:r>
                    <w:rPr>
                      <w:bCs/>
                    </w:rPr>
                    <w:t>污染物</w:t>
                  </w:r>
                </w:p>
              </w:tc>
              <w:tc>
                <w:tcPr>
                  <w:tcW w:w="685" w:type="pct"/>
                  <w:vAlign w:val="center"/>
                </w:tcPr>
                <w:p>
                  <w:pPr>
                    <w:pStyle w:val="48"/>
                    <w:framePr w:hSpace="0" w:wrap="auto" w:vAnchor="margin" w:hAnchor="text" w:xAlign="left" w:yAlign="inline"/>
                    <w:spacing w:line="280" w:lineRule="exact"/>
                    <w:rPr>
                      <w:bCs/>
                    </w:rPr>
                  </w:pPr>
                  <w:r>
                    <w:rPr>
                      <w:bCs/>
                    </w:rPr>
                    <w:t>污染因子</w:t>
                  </w:r>
                </w:p>
              </w:tc>
              <w:tc>
                <w:tcPr>
                  <w:tcW w:w="2674" w:type="pct"/>
                  <w:vAlign w:val="center"/>
                </w:tcPr>
                <w:p>
                  <w:pPr>
                    <w:pStyle w:val="48"/>
                    <w:framePr w:hSpace="0" w:wrap="auto" w:vAnchor="margin" w:hAnchor="text" w:xAlign="left" w:yAlign="inline"/>
                    <w:spacing w:line="280" w:lineRule="exact"/>
                  </w:pPr>
                  <w:r>
                    <w:rPr>
                      <w:bCs/>
                    </w:rPr>
                    <w:t>治理措施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restart"/>
                  <w:vAlign w:val="center"/>
                </w:tcPr>
                <w:p>
                  <w:pPr>
                    <w:pStyle w:val="48"/>
                    <w:framePr w:hSpace="0" w:wrap="auto" w:vAnchor="margin" w:hAnchor="text" w:xAlign="left" w:yAlign="inline"/>
                    <w:spacing w:line="280" w:lineRule="exact"/>
                    <w:rPr>
                      <w:b w:val="0"/>
                      <w:bCs/>
                    </w:rPr>
                  </w:pPr>
                  <w:r>
                    <w:rPr>
                      <w:b w:val="0"/>
                      <w:bCs/>
                    </w:rPr>
                    <w:t>废气</w:t>
                  </w:r>
                </w:p>
              </w:tc>
              <w:tc>
                <w:tcPr>
                  <w:tcW w:w="652" w:type="pct"/>
                  <w:vAlign w:val="center"/>
                </w:tcPr>
                <w:p>
                  <w:pPr>
                    <w:adjustRightInd w:val="0"/>
                    <w:snapToGrid w:val="0"/>
                    <w:spacing w:line="320" w:lineRule="exact"/>
                    <w:jc w:val="center"/>
                    <w:rPr>
                      <w:szCs w:val="21"/>
                    </w:rPr>
                  </w:pPr>
                  <w:r>
                    <w:rPr>
                      <w:szCs w:val="21"/>
                    </w:rPr>
                    <w:t>场地平整</w:t>
                  </w:r>
                </w:p>
              </w:tc>
              <w:tc>
                <w:tcPr>
                  <w:tcW w:w="587" w:type="pct"/>
                  <w:vAlign w:val="center"/>
                </w:tcPr>
                <w:p>
                  <w:pPr>
                    <w:pStyle w:val="48"/>
                    <w:framePr w:hSpace="0" w:wrap="auto" w:vAnchor="margin" w:hAnchor="text" w:xAlign="left" w:yAlign="inline"/>
                    <w:spacing w:line="280" w:lineRule="exact"/>
                    <w:rPr>
                      <w:b w:val="0"/>
                    </w:rPr>
                  </w:pPr>
                  <w:r>
                    <w:rPr>
                      <w:b w:val="0"/>
                    </w:rPr>
                    <w:t>扬尘</w:t>
                  </w:r>
                </w:p>
              </w:tc>
              <w:tc>
                <w:tcPr>
                  <w:tcW w:w="685" w:type="pct"/>
                  <w:vAlign w:val="center"/>
                </w:tcPr>
                <w:p>
                  <w:pPr>
                    <w:pStyle w:val="48"/>
                    <w:framePr w:hSpace="0" w:wrap="auto" w:vAnchor="margin" w:hAnchor="text" w:xAlign="left" w:yAlign="inline"/>
                    <w:spacing w:line="280" w:lineRule="exact"/>
                    <w:rPr>
                      <w:b w:val="0"/>
                    </w:rPr>
                  </w:pPr>
                  <w:r>
                    <w:rPr>
                      <w:b w:val="0"/>
                    </w:rPr>
                    <w:t>颗粒物</w:t>
                  </w:r>
                </w:p>
              </w:tc>
              <w:tc>
                <w:tcPr>
                  <w:tcW w:w="2674" w:type="pct"/>
                  <w:vMerge w:val="restart"/>
                  <w:vAlign w:val="center"/>
                </w:tcPr>
                <w:p>
                  <w:pPr>
                    <w:pStyle w:val="48"/>
                    <w:framePr w:hSpace="0" w:wrap="auto" w:vAnchor="margin" w:hAnchor="text" w:xAlign="left" w:yAlign="inline"/>
                    <w:spacing w:line="280" w:lineRule="exact"/>
                    <w:rPr>
                      <w:b w:val="0"/>
                      <w:snapToGrid w:val="0"/>
                    </w:rPr>
                  </w:pPr>
                  <w:r>
                    <w:rPr>
                      <w:b w:val="0"/>
                      <w:snapToGrid w:val="0"/>
                    </w:rPr>
                    <w:t>施工现场周边设置封闭围挡或围墙，现场进行硬化处理，并保持地面整洁；出口处设置车辆清洗设施并配套设置排水、泥浆沉淀设施，车辆冲洗干净后方可驶出；施工工地内堆放</w:t>
                  </w:r>
                  <w:r>
                    <w:rPr>
                      <w:rFonts w:hint="eastAsia"/>
                      <w:b w:val="0"/>
                      <w:snapToGrid w:val="0"/>
                    </w:rPr>
                    <w:t>的</w:t>
                  </w:r>
                  <w:r>
                    <w:rPr>
                      <w:b w:val="0"/>
                      <w:snapToGrid w:val="0"/>
                    </w:rPr>
                    <w:t>易产生扬尘的粉状、粒状建筑材料，采取密闭防尘措施；建筑垃圾及时清运，运输车辆减速慢行，运输建筑垃圾及土方时采用蓬布遮盖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continue"/>
                  <w:vAlign w:val="center"/>
                </w:tcPr>
                <w:p>
                  <w:pPr>
                    <w:pStyle w:val="48"/>
                    <w:framePr w:hSpace="0" w:wrap="auto" w:vAnchor="margin" w:hAnchor="text" w:xAlign="left" w:yAlign="inline"/>
                    <w:spacing w:line="280" w:lineRule="exact"/>
                    <w:rPr>
                      <w:b w:val="0"/>
                      <w:bCs/>
                    </w:rPr>
                  </w:pPr>
                </w:p>
              </w:tc>
              <w:tc>
                <w:tcPr>
                  <w:tcW w:w="652" w:type="pct"/>
                  <w:vAlign w:val="center"/>
                </w:tcPr>
                <w:p>
                  <w:pPr>
                    <w:adjustRightInd w:val="0"/>
                    <w:snapToGrid w:val="0"/>
                    <w:spacing w:line="320" w:lineRule="exact"/>
                    <w:jc w:val="center"/>
                    <w:rPr>
                      <w:szCs w:val="21"/>
                    </w:rPr>
                  </w:pPr>
                  <w:r>
                    <w:rPr>
                      <w:szCs w:val="21"/>
                    </w:rPr>
                    <w:t>车辆运输</w:t>
                  </w:r>
                </w:p>
              </w:tc>
              <w:tc>
                <w:tcPr>
                  <w:tcW w:w="587" w:type="pct"/>
                  <w:vAlign w:val="center"/>
                </w:tcPr>
                <w:p>
                  <w:pPr>
                    <w:pStyle w:val="48"/>
                    <w:framePr w:hSpace="0" w:wrap="auto" w:vAnchor="margin" w:hAnchor="text" w:xAlign="left" w:yAlign="inline"/>
                    <w:spacing w:line="280" w:lineRule="exact"/>
                    <w:rPr>
                      <w:b w:val="0"/>
                    </w:rPr>
                  </w:pPr>
                  <w:r>
                    <w:rPr>
                      <w:b w:val="0"/>
                    </w:rPr>
                    <w:t>扬尘</w:t>
                  </w:r>
                </w:p>
              </w:tc>
              <w:tc>
                <w:tcPr>
                  <w:tcW w:w="685" w:type="pct"/>
                  <w:vAlign w:val="center"/>
                </w:tcPr>
                <w:p>
                  <w:pPr>
                    <w:pStyle w:val="48"/>
                    <w:framePr w:hSpace="0" w:wrap="auto" w:vAnchor="margin" w:hAnchor="text" w:xAlign="left" w:yAlign="inline"/>
                    <w:spacing w:line="280" w:lineRule="exact"/>
                    <w:rPr>
                      <w:b w:val="0"/>
                    </w:rPr>
                  </w:pPr>
                  <w:r>
                    <w:rPr>
                      <w:b w:val="0"/>
                    </w:rPr>
                    <w:t>颗粒物</w:t>
                  </w:r>
                </w:p>
              </w:tc>
              <w:tc>
                <w:tcPr>
                  <w:tcW w:w="2674" w:type="pct"/>
                  <w:vMerge w:val="continue"/>
                  <w:vAlign w:val="center"/>
                </w:tcPr>
                <w:p>
                  <w:pPr>
                    <w:pStyle w:val="48"/>
                    <w:framePr w:hSpace="0" w:wrap="auto" w:vAnchor="margin" w:hAnchor="text" w:xAlign="left" w:yAlign="inline"/>
                    <w:spacing w:line="280" w:lineRule="exact"/>
                    <w:rPr>
                      <w:b w:val="0"/>
                      <w:snapToGrid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restart"/>
                  <w:vAlign w:val="center"/>
                </w:tcPr>
                <w:p>
                  <w:pPr>
                    <w:pStyle w:val="48"/>
                    <w:framePr w:hSpace="0" w:wrap="auto" w:vAnchor="margin" w:hAnchor="text" w:xAlign="left" w:yAlign="inline"/>
                    <w:spacing w:line="280" w:lineRule="exact"/>
                    <w:rPr>
                      <w:b w:val="0"/>
                      <w:bCs/>
                    </w:rPr>
                  </w:pPr>
                  <w:r>
                    <w:rPr>
                      <w:b w:val="0"/>
                      <w:bCs/>
                    </w:rPr>
                    <w:t>废水</w:t>
                  </w:r>
                </w:p>
              </w:tc>
              <w:tc>
                <w:tcPr>
                  <w:tcW w:w="652" w:type="pct"/>
                  <w:vAlign w:val="center"/>
                </w:tcPr>
                <w:p>
                  <w:pPr>
                    <w:pStyle w:val="48"/>
                    <w:framePr w:hSpace="0" w:wrap="auto" w:vAnchor="margin" w:hAnchor="text" w:xAlign="left" w:yAlign="inline"/>
                    <w:spacing w:line="280" w:lineRule="exact"/>
                    <w:rPr>
                      <w:b w:val="0"/>
                    </w:rPr>
                  </w:pPr>
                  <w:r>
                    <w:rPr>
                      <w:b w:val="0"/>
                    </w:rPr>
                    <w:t>施工过程</w:t>
                  </w:r>
                </w:p>
              </w:tc>
              <w:tc>
                <w:tcPr>
                  <w:tcW w:w="587" w:type="pct"/>
                  <w:vAlign w:val="center"/>
                </w:tcPr>
                <w:p>
                  <w:pPr>
                    <w:pStyle w:val="48"/>
                    <w:framePr w:hSpace="0" w:wrap="auto" w:vAnchor="margin" w:hAnchor="text" w:xAlign="left" w:yAlign="inline"/>
                    <w:spacing w:line="280" w:lineRule="exact"/>
                    <w:rPr>
                      <w:b w:val="0"/>
                    </w:rPr>
                  </w:pPr>
                  <w:r>
                    <w:rPr>
                      <w:b w:val="0"/>
                    </w:rPr>
                    <w:t>施工废水</w:t>
                  </w:r>
                </w:p>
              </w:tc>
              <w:tc>
                <w:tcPr>
                  <w:tcW w:w="685" w:type="pct"/>
                  <w:vAlign w:val="center"/>
                </w:tcPr>
                <w:p>
                  <w:pPr>
                    <w:pStyle w:val="48"/>
                    <w:framePr w:hSpace="0" w:wrap="auto" w:vAnchor="margin" w:hAnchor="text" w:xAlign="left" w:yAlign="inline"/>
                    <w:spacing w:line="280" w:lineRule="exact"/>
                    <w:rPr>
                      <w:b w:val="0"/>
                    </w:rPr>
                  </w:pPr>
                  <w:r>
                    <w:rPr>
                      <w:b w:val="0"/>
                    </w:rPr>
                    <w:t>SS</w:t>
                  </w:r>
                </w:p>
              </w:tc>
              <w:tc>
                <w:tcPr>
                  <w:tcW w:w="2674" w:type="pct"/>
                  <w:tcBorders>
                    <w:bottom w:val="single" w:color="auto" w:sz="4" w:space="0"/>
                  </w:tcBorders>
                  <w:vAlign w:val="center"/>
                </w:tcPr>
                <w:p>
                  <w:pPr>
                    <w:pStyle w:val="48"/>
                    <w:framePr w:hSpace="0" w:wrap="auto" w:vAnchor="margin" w:hAnchor="text" w:xAlign="left" w:yAlign="inline"/>
                    <w:spacing w:line="280" w:lineRule="exact"/>
                    <w:rPr>
                      <w:b w:val="0"/>
                    </w:rPr>
                  </w:pPr>
                  <w:r>
                    <w:rPr>
                      <w:b w:val="0"/>
                      <w:snapToGrid w:val="0"/>
                      <w:szCs w:val="21"/>
                    </w:rPr>
                    <w:t>沉淀池沉淀后回用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continue"/>
                  <w:vAlign w:val="center"/>
                </w:tcPr>
                <w:p>
                  <w:pPr>
                    <w:pStyle w:val="48"/>
                    <w:framePr w:hSpace="0" w:wrap="auto" w:vAnchor="margin" w:hAnchor="text" w:xAlign="left" w:yAlign="inline"/>
                    <w:spacing w:line="280" w:lineRule="exact"/>
                    <w:rPr>
                      <w:b w:val="0"/>
                      <w:bCs/>
                    </w:rPr>
                  </w:pPr>
                </w:p>
              </w:tc>
              <w:tc>
                <w:tcPr>
                  <w:tcW w:w="652" w:type="pct"/>
                  <w:vAlign w:val="center"/>
                </w:tcPr>
                <w:p>
                  <w:pPr>
                    <w:pStyle w:val="48"/>
                    <w:framePr w:hSpace="0" w:wrap="auto" w:vAnchor="margin" w:hAnchor="text" w:xAlign="left" w:yAlign="inline"/>
                    <w:spacing w:line="280" w:lineRule="exact"/>
                    <w:rPr>
                      <w:b w:val="0"/>
                    </w:rPr>
                  </w:pPr>
                  <w:r>
                    <w:rPr>
                      <w:b w:val="0"/>
                    </w:rPr>
                    <w:t>施工人员</w:t>
                  </w:r>
                </w:p>
              </w:tc>
              <w:tc>
                <w:tcPr>
                  <w:tcW w:w="587" w:type="pct"/>
                  <w:vAlign w:val="center"/>
                </w:tcPr>
                <w:p>
                  <w:pPr>
                    <w:pStyle w:val="48"/>
                    <w:framePr w:hSpace="0" w:wrap="auto" w:vAnchor="margin" w:hAnchor="text" w:xAlign="left" w:yAlign="inline"/>
                    <w:spacing w:line="280" w:lineRule="exact"/>
                    <w:rPr>
                      <w:b w:val="0"/>
                    </w:rPr>
                  </w:pPr>
                  <w:r>
                    <w:rPr>
                      <w:b w:val="0"/>
                    </w:rPr>
                    <w:t>生活污水</w:t>
                  </w:r>
                </w:p>
              </w:tc>
              <w:tc>
                <w:tcPr>
                  <w:tcW w:w="685" w:type="pct"/>
                  <w:vAlign w:val="center"/>
                </w:tcPr>
                <w:p>
                  <w:pPr>
                    <w:pStyle w:val="48"/>
                    <w:framePr w:hSpace="0" w:wrap="auto" w:vAnchor="margin" w:hAnchor="text" w:xAlign="left" w:yAlign="inline"/>
                    <w:spacing w:line="280" w:lineRule="exact"/>
                    <w:rPr>
                      <w:b w:val="0"/>
                    </w:rPr>
                  </w:pPr>
                  <w:r>
                    <w:rPr>
                      <w:b w:val="0"/>
                    </w:rPr>
                    <w:t>COD、BOD</w:t>
                  </w:r>
                  <w:r>
                    <w:rPr>
                      <w:b w:val="0"/>
                      <w:vertAlign w:val="subscript"/>
                    </w:rPr>
                    <w:t>5</w:t>
                  </w:r>
                  <w:r>
                    <w:rPr>
                      <w:b w:val="0"/>
                    </w:rPr>
                    <w:t>等</w:t>
                  </w:r>
                </w:p>
              </w:tc>
              <w:tc>
                <w:tcPr>
                  <w:tcW w:w="2674" w:type="pct"/>
                  <w:tcBorders>
                    <w:top w:val="single" w:color="auto" w:sz="4" w:space="0"/>
                  </w:tcBorders>
                  <w:vAlign w:val="center"/>
                </w:tcPr>
                <w:p>
                  <w:pPr>
                    <w:pStyle w:val="48"/>
                    <w:framePr w:hSpace="0" w:wrap="auto" w:vAnchor="margin" w:hAnchor="text" w:xAlign="left" w:yAlign="inline"/>
                    <w:spacing w:line="280" w:lineRule="exact"/>
                    <w:rPr>
                      <w:b w:val="0"/>
                    </w:rPr>
                  </w:pPr>
                  <w:r>
                    <w:rPr>
                      <w:b w:val="0"/>
                    </w:rPr>
                    <w:t>施工场地洒水降尘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restart"/>
                  <w:vAlign w:val="center"/>
                </w:tcPr>
                <w:p>
                  <w:pPr>
                    <w:pStyle w:val="48"/>
                    <w:framePr w:hSpace="0" w:wrap="auto" w:vAnchor="margin" w:hAnchor="text" w:xAlign="left" w:yAlign="inline"/>
                    <w:spacing w:line="280" w:lineRule="exact"/>
                    <w:rPr>
                      <w:b w:val="0"/>
                      <w:bCs/>
                    </w:rPr>
                  </w:pPr>
                  <w:r>
                    <w:rPr>
                      <w:b w:val="0"/>
                      <w:bCs/>
                    </w:rPr>
                    <w:t>噪声</w:t>
                  </w:r>
                </w:p>
              </w:tc>
              <w:tc>
                <w:tcPr>
                  <w:tcW w:w="652" w:type="pct"/>
                  <w:vAlign w:val="center"/>
                </w:tcPr>
                <w:p>
                  <w:pPr>
                    <w:pStyle w:val="48"/>
                    <w:framePr w:hSpace="0" w:wrap="auto" w:vAnchor="margin" w:hAnchor="text" w:xAlign="left" w:yAlign="inline"/>
                    <w:spacing w:line="280" w:lineRule="exact"/>
                    <w:rPr>
                      <w:b w:val="0"/>
                    </w:rPr>
                  </w:pPr>
                  <w:r>
                    <w:rPr>
                      <w:b w:val="0"/>
                    </w:rPr>
                    <w:t>施工过程</w:t>
                  </w:r>
                </w:p>
              </w:tc>
              <w:tc>
                <w:tcPr>
                  <w:tcW w:w="587" w:type="pct"/>
                  <w:vAlign w:val="center"/>
                </w:tcPr>
                <w:p>
                  <w:pPr>
                    <w:pStyle w:val="48"/>
                    <w:framePr w:hSpace="0" w:wrap="auto" w:vAnchor="margin" w:hAnchor="text" w:xAlign="left" w:yAlign="inline"/>
                    <w:spacing w:line="280" w:lineRule="exact"/>
                    <w:rPr>
                      <w:b w:val="0"/>
                    </w:rPr>
                  </w:pPr>
                  <w:r>
                    <w:rPr>
                      <w:b w:val="0"/>
                    </w:rPr>
                    <w:t>噪声</w:t>
                  </w:r>
                </w:p>
              </w:tc>
              <w:tc>
                <w:tcPr>
                  <w:tcW w:w="685" w:type="pct"/>
                  <w:vAlign w:val="center"/>
                </w:tcPr>
                <w:p>
                  <w:pPr>
                    <w:pStyle w:val="48"/>
                    <w:framePr w:hSpace="0" w:wrap="auto" w:vAnchor="margin" w:hAnchor="text" w:xAlign="left" w:yAlign="inline"/>
                    <w:spacing w:line="280" w:lineRule="exact"/>
                    <w:rPr>
                      <w:b w:val="0"/>
                    </w:rPr>
                  </w:pPr>
                  <w:r>
                    <w:rPr>
                      <w:b w:val="0"/>
                    </w:rPr>
                    <w:t>Leq(A)</w:t>
                  </w:r>
                </w:p>
              </w:tc>
              <w:tc>
                <w:tcPr>
                  <w:tcW w:w="2674" w:type="pct"/>
                  <w:vAlign w:val="center"/>
                </w:tcPr>
                <w:p>
                  <w:pPr>
                    <w:pStyle w:val="48"/>
                    <w:framePr w:hSpace="0" w:wrap="auto" w:vAnchor="margin" w:hAnchor="text" w:xAlign="left" w:yAlign="inline"/>
                    <w:spacing w:line="280" w:lineRule="exact"/>
                    <w:rPr>
                      <w:b w:val="0"/>
                    </w:rPr>
                  </w:pPr>
                  <w:r>
                    <w:rPr>
                      <w:b w:val="0"/>
                    </w:rPr>
                    <w:t>选用低噪声设备、规范设备操作、加强施工管理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continue"/>
                  <w:vAlign w:val="center"/>
                </w:tcPr>
                <w:p>
                  <w:pPr>
                    <w:pStyle w:val="48"/>
                    <w:framePr w:hSpace="0" w:wrap="auto" w:vAnchor="margin" w:hAnchor="text" w:xAlign="left" w:yAlign="inline"/>
                    <w:spacing w:line="280" w:lineRule="exact"/>
                    <w:rPr>
                      <w:b w:val="0"/>
                      <w:bCs/>
                    </w:rPr>
                  </w:pPr>
                </w:p>
              </w:tc>
              <w:tc>
                <w:tcPr>
                  <w:tcW w:w="652" w:type="pct"/>
                  <w:vAlign w:val="center"/>
                </w:tcPr>
                <w:p>
                  <w:pPr>
                    <w:pStyle w:val="48"/>
                    <w:framePr w:hSpace="0" w:wrap="auto" w:vAnchor="margin" w:hAnchor="text" w:xAlign="left" w:yAlign="inline"/>
                    <w:spacing w:line="280" w:lineRule="exact"/>
                    <w:rPr>
                      <w:b w:val="0"/>
                    </w:rPr>
                  </w:pPr>
                  <w:r>
                    <w:rPr>
                      <w:b w:val="0"/>
                    </w:rPr>
                    <w:t>运输车辆</w:t>
                  </w:r>
                </w:p>
              </w:tc>
              <w:tc>
                <w:tcPr>
                  <w:tcW w:w="587" w:type="pct"/>
                  <w:vAlign w:val="center"/>
                </w:tcPr>
                <w:p>
                  <w:pPr>
                    <w:pStyle w:val="48"/>
                    <w:framePr w:hSpace="0" w:wrap="auto" w:vAnchor="margin" w:hAnchor="text" w:xAlign="left" w:yAlign="inline"/>
                    <w:spacing w:line="280" w:lineRule="exact"/>
                    <w:rPr>
                      <w:b w:val="0"/>
                    </w:rPr>
                  </w:pPr>
                  <w:r>
                    <w:rPr>
                      <w:b w:val="0"/>
                    </w:rPr>
                    <w:t>噪声</w:t>
                  </w:r>
                </w:p>
              </w:tc>
              <w:tc>
                <w:tcPr>
                  <w:tcW w:w="685" w:type="pct"/>
                  <w:vAlign w:val="center"/>
                </w:tcPr>
                <w:p>
                  <w:pPr>
                    <w:pStyle w:val="48"/>
                    <w:framePr w:hSpace="0" w:wrap="auto" w:vAnchor="margin" w:hAnchor="text" w:xAlign="left" w:yAlign="inline"/>
                    <w:spacing w:line="280" w:lineRule="exact"/>
                    <w:rPr>
                      <w:b w:val="0"/>
                    </w:rPr>
                  </w:pPr>
                  <w:r>
                    <w:rPr>
                      <w:b w:val="0"/>
                    </w:rPr>
                    <w:t>Leq(A)</w:t>
                  </w:r>
                </w:p>
              </w:tc>
              <w:tc>
                <w:tcPr>
                  <w:tcW w:w="2674" w:type="pct"/>
                  <w:vAlign w:val="center"/>
                </w:tcPr>
                <w:p>
                  <w:pPr>
                    <w:pStyle w:val="48"/>
                    <w:framePr w:hSpace="0" w:wrap="auto" w:vAnchor="margin" w:hAnchor="text" w:xAlign="left" w:yAlign="inline"/>
                    <w:spacing w:line="280" w:lineRule="exact"/>
                    <w:rPr>
                      <w:b w:val="0"/>
                    </w:rPr>
                  </w:pPr>
                  <w:r>
                    <w:rPr>
                      <w:b w:val="0"/>
                    </w:rPr>
                    <w:t>减速慢行，禁止鸣笛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restart"/>
                  <w:vAlign w:val="center"/>
                </w:tcPr>
                <w:p>
                  <w:pPr>
                    <w:pStyle w:val="48"/>
                    <w:framePr w:hSpace="0" w:wrap="auto" w:vAnchor="margin" w:hAnchor="text" w:xAlign="left" w:yAlign="inline"/>
                    <w:rPr>
                      <w:b w:val="0"/>
                      <w:bCs/>
                    </w:rPr>
                  </w:pPr>
                  <w:r>
                    <w:rPr>
                      <w:b w:val="0"/>
                      <w:bCs/>
                    </w:rPr>
                    <w:t>固体废物</w:t>
                  </w:r>
                </w:p>
              </w:tc>
              <w:tc>
                <w:tcPr>
                  <w:tcW w:w="652" w:type="pct"/>
                  <w:vAlign w:val="center"/>
                </w:tcPr>
                <w:p>
                  <w:pPr>
                    <w:pStyle w:val="48"/>
                    <w:framePr w:hSpace="0" w:wrap="auto" w:vAnchor="margin" w:hAnchor="text" w:xAlign="left" w:yAlign="inline"/>
                    <w:spacing w:line="280" w:lineRule="exact"/>
                    <w:rPr>
                      <w:b w:val="0"/>
                    </w:rPr>
                  </w:pPr>
                  <w:r>
                    <w:rPr>
                      <w:b w:val="0"/>
                    </w:rPr>
                    <w:t>场地平整</w:t>
                  </w:r>
                </w:p>
              </w:tc>
              <w:tc>
                <w:tcPr>
                  <w:tcW w:w="587" w:type="pct"/>
                  <w:vAlign w:val="center"/>
                </w:tcPr>
                <w:p>
                  <w:pPr>
                    <w:pStyle w:val="48"/>
                    <w:framePr w:hSpace="0" w:wrap="auto" w:vAnchor="margin" w:hAnchor="text" w:xAlign="left" w:yAlign="inline"/>
                    <w:spacing w:line="280" w:lineRule="exact"/>
                    <w:rPr>
                      <w:b w:val="0"/>
                    </w:rPr>
                  </w:pPr>
                  <w:r>
                    <w:rPr>
                      <w:rFonts w:hint="eastAsia"/>
                      <w:b w:val="0"/>
                    </w:rPr>
                    <w:t>建筑垃圾</w:t>
                  </w:r>
                </w:p>
              </w:tc>
              <w:tc>
                <w:tcPr>
                  <w:tcW w:w="685" w:type="pct"/>
                  <w:vAlign w:val="center"/>
                </w:tcPr>
                <w:p>
                  <w:pPr>
                    <w:pStyle w:val="48"/>
                    <w:framePr w:hSpace="0" w:wrap="auto" w:vAnchor="margin" w:hAnchor="text" w:xAlign="left" w:yAlign="inline"/>
                    <w:spacing w:line="280" w:lineRule="exact"/>
                    <w:rPr>
                      <w:b w:val="0"/>
                    </w:rPr>
                  </w:pPr>
                  <w:r>
                    <w:rPr>
                      <w:b w:val="0"/>
                    </w:rPr>
                    <w:t>废弃土石方</w:t>
                  </w:r>
                </w:p>
              </w:tc>
              <w:tc>
                <w:tcPr>
                  <w:tcW w:w="2674" w:type="pct"/>
                  <w:vAlign w:val="center"/>
                </w:tcPr>
                <w:p>
                  <w:pPr>
                    <w:pStyle w:val="48"/>
                    <w:framePr w:hSpace="0" w:wrap="auto" w:vAnchor="margin" w:hAnchor="text" w:xAlign="left" w:yAlign="inline"/>
                    <w:spacing w:line="280" w:lineRule="exact"/>
                    <w:rPr>
                      <w:b w:val="0"/>
                    </w:rPr>
                  </w:pPr>
                  <w:r>
                    <w:rPr>
                      <w:rFonts w:hint="eastAsia"/>
                      <w:b w:val="0"/>
                    </w:rPr>
                    <w:t>集中收集，运至当地政府部门指定建筑垃圾填埋场。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0" w:type="pct"/>
                  <w:vMerge w:val="continue"/>
                  <w:vAlign w:val="center"/>
                </w:tcPr>
                <w:p>
                  <w:pPr>
                    <w:pStyle w:val="48"/>
                    <w:framePr w:hSpace="0" w:wrap="auto" w:vAnchor="margin" w:hAnchor="text" w:xAlign="left" w:yAlign="inline"/>
                    <w:spacing w:line="280" w:lineRule="exact"/>
                    <w:rPr>
                      <w:b w:val="0"/>
                      <w:bCs/>
                    </w:rPr>
                  </w:pPr>
                </w:p>
              </w:tc>
              <w:tc>
                <w:tcPr>
                  <w:tcW w:w="652" w:type="pct"/>
                  <w:vAlign w:val="center"/>
                </w:tcPr>
                <w:p>
                  <w:pPr>
                    <w:pStyle w:val="48"/>
                    <w:framePr w:hSpace="0" w:wrap="auto" w:vAnchor="margin" w:hAnchor="text" w:xAlign="left" w:yAlign="inline"/>
                    <w:spacing w:line="280" w:lineRule="exact"/>
                    <w:rPr>
                      <w:b w:val="0"/>
                    </w:rPr>
                  </w:pPr>
                  <w:r>
                    <w:rPr>
                      <w:b w:val="0"/>
                    </w:rPr>
                    <w:t>施工人员</w:t>
                  </w:r>
                </w:p>
              </w:tc>
              <w:tc>
                <w:tcPr>
                  <w:tcW w:w="587" w:type="pct"/>
                  <w:vAlign w:val="center"/>
                </w:tcPr>
                <w:p>
                  <w:pPr>
                    <w:pStyle w:val="48"/>
                    <w:framePr w:hSpace="0" w:wrap="auto" w:vAnchor="margin" w:hAnchor="text" w:xAlign="left" w:yAlign="inline"/>
                    <w:spacing w:line="280" w:lineRule="exact"/>
                    <w:rPr>
                      <w:b w:val="0"/>
                    </w:rPr>
                  </w:pPr>
                  <w:r>
                    <w:rPr>
                      <w:b w:val="0"/>
                    </w:rPr>
                    <w:t>生活垃圾</w:t>
                  </w:r>
                </w:p>
              </w:tc>
              <w:tc>
                <w:tcPr>
                  <w:tcW w:w="685" w:type="pct"/>
                  <w:vAlign w:val="center"/>
                </w:tcPr>
                <w:p>
                  <w:pPr>
                    <w:pStyle w:val="48"/>
                    <w:framePr w:hSpace="0" w:wrap="auto" w:vAnchor="margin" w:hAnchor="text" w:xAlign="left" w:yAlign="inline"/>
                    <w:spacing w:line="280" w:lineRule="exact"/>
                    <w:rPr>
                      <w:b w:val="0"/>
                    </w:rPr>
                  </w:pPr>
                  <w:r>
                    <w:rPr>
                      <w:b w:val="0"/>
                    </w:rPr>
                    <w:t>生活垃圾</w:t>
                  </w:r>
                </w:p>
              </w:tc>
              <w:tc>
                <w:tcPr>
                  <w:tcW w:w="2674" w:type="pct"/>
                  <w:vAlign w:val="center"/>
                </w:tcPr>
                <w:p>
                  <w:pPr>
                    <w:pStyle w:val="48"/>
                    <w:framePr w:hSpace="0" w:wrap="auto" w:vAnchor="margin" w:hAnchor="text" w:xAlign="left" w:yAlign="inline"/>
                    <w:spacing w:line="280" w:lineRule="exact"/>
                    <w:rPr>
                      <w:b w:val="0"/>
                    </w:rPr>
                  </w:pPr>
                  <w:r>
                    <w:rPr>
                      <w:b w:val="0"/>
                    </w:rPr>
                    <w:t>集中收集，</w:t>
                  </w:r>
                  <w:r>
                    <w:rPr>
                      <w:b w:val="0"/>
                      <w:szCs w:val="21"/>
                    </w:rPr>
                    <w:t>定期清运至当地生活垃圾集中收集点。</w:t>
                  </w:r>
                </w:p>
              </w:tc>
            </w:tr>
          </w:tbl>
          <w:p>
            <w:pPr>
              <w:pStyle w:val="45"/>
              <w:ind w:firstLine="482"/>
              <w:rPr>
                <w:b/>
              </w:rPr>
            </w:pPr>
            <w:r>
              <w:rPr>
                <w:rFonts w:hint="eastAsia"/>
                <w:b/>
              </w:rPr>
              <w:t>2</w:t>
            </w:r>
            <w:r>
              <w:rPr>
                <w:b/>
              </w:rPr>
              <w:t>、运营期：</w:t>
            </w:r>
          </w:p>
          <w:p>
            <w:pPr>
              <w:pStyle w:val="45"/>
              <w:ind w:firstLine="480"/>
            </w:pPr>
            <w:r>
              <w:rPr>
                <w:rFonts w:hint="eastAsia"/>
              </w:rPr>
              <w:t>本项目属于防控新型冠状病毒肺炎疫情临时性应急使用的定点医院改造项目，仅在当地发生疫情时使用，医院在疫情状态下启用后流程如下：</w:t>
            </w:r>
          </w:p>
          <w:p>
            <w:pPr>
              <w:pStyle w:val="45"/>
              <w:ind w:firstLine="480"/>
            </w:pPr>
            <w:r>
              <w:rPr>
                <w:rFonts w:hint="eastAsia"/>
              </w:rPr>
              <w:t>（1）定点医院患者收治范围</w:t>
            </w:r>
          </w:p>
          <w:p>
            <w:pPr>
              <w:pStyle w:val="45"/>
              <w:ind w:firstLine="480"/>
            </w:pPr>
            <w:r>
              <w:rPr>
                <w:rFonts w:hint="eastAsia"/>
              </w:rPr>
              <w:t>本项目定点医院主要用于收治方舱医院及外界的重症新冠患者、年龄&gt;60岁的新冠患者和妊娠&gt;28周的新冠患者。</w:t>
            </w:r>
          </w:p>
          <w:p>
            <w:pPr>
              <w:pStyle w:val="45"/>
              <w:ind w:firstLine="480"/>
            </w:pPr>
            <w:r>
              <w:rPr>
                <w:rFonts w:hint="eastAsia"/>
              </w:rPr>
              <w:t>（2）启用标准</w:t>
            </w:r>
          </w:p>
          <w:p>
            <w:pPr>
              <w:pStyle w:val="45"/>
              <w:ind w:firstLine="480"/>
            </w:pPr>
            <w:r>
              <w:rPr>
                <w:rFonts w:hint="eastAsia"/>
              </w:rPr>
              <w:t>各市根据疫情规模统筹考虑医疗隔高场所与定点医院的启用时序。定点医院应该与方舱医院同时启动。</w:t>
            </w:r>
          </w:p>
          <w:p>
            <w:pPr>
              <w:pStyle w:val="45"/>
              <w:ind w:firstLine="480"/>
            </w:pPr>
            <w:r>
              <w:rPr>
                <w:rFonts w:hint="eastAsia"/>
              </w:rPr>
              <w:t>（3）定点医院入住流程</w:t>
            </w:r>
          </w:p>
          <w:p>
            <w:pPr>
              <w:pStyle w:val="45"/>
              <w:ind w:firstLine="480"/>
            </w:pPr>
            <w:r>
              <w:rPr>
                <w:rFonts w:hint="eastAsia"/>
              </w:rPr>
              <w:t>①每天上午10点之前，由各区负责人（护士长）根据空余床位情况，上报可装入患者数量至信息科主任，信息科主任与分管院长对接确定当日拟接受患者数量，上报指挥部。</w:t>
            </w:r>
          </w:p>
          <w:p>
            <w:pPr>
              <w:pStyle w:val="45"/>
              <w:ind w:firstLine="480"/>
            </w:pPr>
            <w:r>
              <w:rPr>
                <w:rFonts w:hint="eastAsia"/>
              </w:rPr>
              <w:t>②指挥部根据定点医院提供的空余床位数及拟接收患者数量，确定由方舱医院转至定点医院患者数量并将患者名单及基本信息，发送给定点医院。</w:t>
            </w:r>
          </w:p>
          <w:p>
            <w:pPr>
              <w:pStyle w:val="45"/>
              <w:ind w:firstLine="480"/>
            </w:pPr>
            <w:r>
              <w:rPr>
                <w:rFonts w:hint="eastAsia"/>
              </w:rPr>
              <w:t>③定点医院组织专家组根据入院标准对患者进行审核，确定当日拟收治患者名单及分配病区与床位号，并为每位患者开具转入证明，上报指挥部。</w:t>
            </w:r>
          </w:p>
          <w:p>
            <w:pPr>
              <w:pStyle w:val="45"/>
              <w:ind w:firstLine="480"/>
            </w:pPr>
            <w:r>
              <w:rPr>
                <w:rFonts w:hint="eastAsia"/>
              </w:rPr>
              <w:t>④指挥部打印每位患者的资料，连同转入证明一并交患者随身携带。</w:t>
            </w:r>
          </w:p>
          <w:p>
            <w:pPr>
              <w:pStyle w:val="45"/>
              <w:ind w:firstLine="480"/>
            </w:pPr>
            <w:r>
              <w:rPr>
                <w:rFonts w:hint="eastAsia"/>
              </w:rPr>
              <w:t>⑤指挥部负责统筹安排患者转运，协调救护车调度，随车人员，随车资料等，发车时发送车号及病人编号给定点医院。</w:t>
            </w:r>
          </w:p>
          <w:p>
            <w:pPr>
              <w:pStyle w:val="45"/>
              <w:ind w:firstLine="480"/>
            </w:pPr>
            <w:r>
              <w:rPr>
                <w:rFonts w:hint="eastAsia"/>
              </w:rPr>
              <w:t>（4）定点医院预检分诊</w:t>
            </w:r>
          </w:p>
          <w:p>
            <w:pPr>
              <w:pStyle w:val="45"/>
              <w:ind w:firstLine="480"/>
            </w:pPr>
            <w:r>
              <w:rPr>
                <w:rFonts w:hint="eastAsia"/>
              </w:rPr>
              <w:t>定点医院安排医务人员对收治患者进行初步预检分诊。对符合收治标准的患者，医务人员负责指引患者及时入驻定点医院。为保障医疗安全，应优先安置到定点医院抢救区域，给予及时治疗和严密监护，症状减轻后再安排到重症病房或普通病房。</w:t>
            </w:r>
          </w:p>
          <w:p>
            <w:pPr>
              <w:pStyle w:val="45"/>
              <w:ind w:firstLine="480"/>
            </w:pPr>
            <w:r>
              <w:rPr>
                <w:rFonts w:hint="eastAsia"/>
              </w:rPr>
              <w:t>（5）定点医院出院</w:t>
            </w:r>
          </w:p>
          <w:p>
            <w:pPr>
              <w:pStyle w:val="45"/>
              <w:ind w:firstLine="480"/>
            </w:pPr>
            <w:r>
              <w:rPr>
                <w:rFonts w:hint="eastAsia"/>
              </w:rPr>
              <w:t>连续两次新冠病毒核酸检测N基因和ORF基因Ct值均</w:t>
            </w:r>
            <w:r>
              <w:t>≥</w:t>
            </w:r>
            <w:r>
              <w:rPr>
                <w:rFonts w:hint="eastAsia"/>
              </w:rPr>
              <w:t>35（荧光定量PCR方法，界限值为40，采样时间至少间隔24小时），或连续两次新冠病毒核酸检测阴性（荧光定量PCR方法，界限值为35，采样时间至少间隔24小时），可出定点医院，出院证明由定点医院开具。感染者出院后继续进行7天居家健康监测。</w:t>
            </w:r>
          </w:p>
          <w:p>
            <w:pPr>
              <w:pStyle w:val="45"/>
              <w:ind w:firstLine="480"/>
            </w:pPr>
            <w:r>
              <w:rPr>
                <w:rFonts w:hint="eastAsia"/>
              </w:rPr>
              <w:t>（6）定点医院出院病人消毒处理流程</w:t>
            </w:r>
          </w:p>
          <w:p>
            <w:pPr>
              <w:pStyle w:val="45"/>
              <w:ind w:firstLine="480"/>
            </w:pPr>
            <w:r>
              <w:rPr>
                <w:rFonts w:hint="eastAsia"/>
              </w:rPr>
              <w:t>①为每个出院病人准备1只清洁口罩，当天出院病人携带个人用品，在病区出舱口，更衣后予以75%的乙醇酒精喷雾消毒着装上衣、裤子，用脚踩踏含氯消毒剂(2000mg/L)的脚垫，用手消毒液消毒双手。</w:t>
            </w:r>
          </w:p>
          <w:p>
            <w:pPr>
              <w:pStyle w:val="45"/>
              <w:ind w:firstLine="480"/>
            </w:pPr>
            <w:r>
              <w:rPr>
                <w:rFonts w:hint="eastAsia"/>
              </w:rPr>
              <w:t>②适合淋浴洗澡的出院病人（需评估），换下来的衣物及生活用品用75%的乙醇酒精喷雾消毒，建议作为医用垃圾处理，交给保洁人员集中焚烧销毁；不愿意销毁者，消毒后打包，自行带回居处。</w:t>
            </w:r>
          </w:p>
          <w:p>
            <w:pPr>
              <w:pStyle w:val="45"/>
              <w:ind w:firstLine="480"/>
            </w:pPr>
            <w:r>
              <w:rPr>
                <w:rFonts w:hint="eastAsia"/>
              </w:rPr>
              <w:t>③到物品寄存处消毒传递窗取回寄存物品后至定点医院外清洁区。</w:t>
            </w:r>
          </w:p>
          <w:p>
            <w:pPr>
              <w:pStyle w:val="45"/>
              <w:ind w:firstLine="480"/>
            </w:pPr>
            <w:r>
              <w:rPr>
                <w:rFonts w:hint="eastAsia"/>
              </w:rPr>
              <w:t>④将患者用过的床单、被褥等物品集中消毒。对病人用过的床垫、床头柜、椅子、开水瓶等，进行表面消毒，备新病人使用。为新入院病人提供消毒后的被褥和床单等。</w:t>
            </w:r>
          </w:p>
          <w:p>
            <w:pPr>
              <w:pStyle w:val="45"/>
              <w:ind w:firstLine="480"/>
            </w:pPr>
            <w:r>
              <w:rPr>
                <w:rFonts w:hint="eastAsia"/>
              </w:rPr>
              <w:t>运营期流程及产污节点见下图。</w:t>
            </w:r>
          </w:p>
          <w:p>
            <w:pPr>
              <w:pStyle w:val="8"/>
              <w:spacing w:before="0" w:beforeAutospacing="0" w:after="0" w:afterAutospacing="0"/>
              <w:jc w:val="both"/>
              <w:rPr>
                <w:color w:val="auto"/>
              </w:rPr>
            </w:pPr>
            <w:r>
              <w:rPr>
                <w:rFonts w:hint="eastAsia"/>
                <w:color w:val="auto"/>
              </w:rPr>
              <w:drawing>
                <wp:inline distT="0" distB="0" distL="114300" distR="114300">
                  <wp:extent cx="5345430" cy="2260600"/>
                  <wp:effectExtent l="0" t="0" r="0" b="0"/>
                  <wp:docPr id="29" name="ECB019B1-382A-4266-B25C-5B523AA43C14-1" descr="C:/Users/Lenovo/AppData/Local/Temp/wps.vDmpM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1" descr="C:/Users/Lenovo/AppData/Local/Temp/wps.vDmpMUwps"/>
                          <pic:cNvPicPr>
                            <a:picLocks noChangeAspect="1"/>
                          </pic:cNvPicPr>
                        </pic:nvPicPr>
                        <pic:blipFill>
                          <a:blip r:embed="rId14"/>
                          <a:stretch>
                            <a:fillRect/>
                          </a:stretch>
                        </pic:blipFill>
                        <pic:spPr>
                          <a:xfrm>
                            <a:off x="0" y="0"/>
                            <a:ext cx="5345430" cy="2260600"/>
                          </a:xfrm>
                          <a:prstGeom prst="rect">
                            <a:avLst/>
                          </a:prstGeom>
                        </pic:spPr>
                      </pic:pic>
                    </a:graphicData>
                  </a:graphic>
                </wp:inline>
              </w:drawing>
            </w:r>
          </w:p>
          <w:p>
            <w:pPr>
              <w:widowControl/>
              <w:numPr>
                <w:ilvl w:val="0"/>
                <w:numId w:val="6"/>
              </w:numPr>
              <w:spacing w:before="120" w:beforeLines="50" w:after="120" w:afterLines="50"/>
              <w:ind w:left="420"/>
              <w:jc w:val="center"/>
              <w:rPr>
                <w:b/>
                <w:bCs/>
                <w:szCs w:val="16"/>
              </w:rPr>
            </w:pPr>
            <w:r>
              <w:rPr>
                <w:rFonts w:hint="eastAsia"/>
                <w:b/>
                <w:bCs/>
                <w:szCs w:val="16"/>
              </w:rPr>
              <w:t>运营期治疗流程及产污节点图</w:t>
            </w:r>
          </w:p>
          <w:p>
            <w:pPr>
              <w:pStyle w:val="45"/>
              <w:ind w:firstLine="480"/>
              <w:rPr>
                <w:rFonts w:hint="eastAsia"/>
                <w:b/>
                <w:bCs/>
                <w:snapToGrid w:val="0"/>
                <w:szCs w:val="21"/>
              </w:rPr>
            </w:pPr>
            <w:r>
              <w:rPr>
                <w:rFonts w:hint="eastAsia"/>
              </w:rPr>
              <w:t>项目废水全部排入方舱医院污水处理站处理，本项目不排放废气和废水。方舱医院和本项目生产运行阶段主要产物环节详见下表。</w:t>
            </w:r>
          </w:p>
          <w:p>
            <w:pPr>
              <w:tabs>
                <w:tab w:val="left" w:pos="420"/>
              </w:tabs>
              <w:adjustRightInd w:val="0"/>
              <w:spacing w:before="120" w:beforeLines="50" w:after="120" w:afterLines="50"/>
              <w:jc w:val="center"/>
              <w:rPr>
                <w:b/>
                <w:bCs/>
                <w:snapToGrid w:val="0"/>
                <w:szCs w:val="21"/>
              </w:rPr>
            </w:pPr>
            <w:r>
              <w:rPr>
                <w:rFonts w:hint="eastAsia"/>
                <w:b/>
                <w:bCs/>
                <w:snapToGrid w:val="0"/>
                <w:szCs w:val="21"/>
              </w:rPr>
              <w:t>表2-6本项目产</w:t>
            </w:r>
            <w:r>
              <w:rPr>
                <w:b/>
                <w:bCs/>
                <w:snapToGrid w:val="0"/>
                <w:szCs w:val="21"/>
              </w:rPr>
              <w:t>排污节点一览表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695"/>
              <w:gridCol w:w="1099"/>
              <w:gridCol w:w="1165"/>
              <w:gridCol w:w="1399"/>
              <w:gridCol w:w="9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Align w:val="center"/>
                </w:tcPr>
                <w:p>
                  <w:pPr>
                    <w:pStyle w:val="49"/>
                    <w:adjustRightInd w:val="0"/>
                    <w:snapToGrid w:val="0"/>
                    <w:rPr>
                      <w:rFonts w:ascii="宋体" w:hAnsi="宋体"/>
                      <w:bCs/>
                      <w:szCs w:val="21"/>
                    </w:rPr>
                  </w:pPr>
                  <w:r>
                    <w:rPr>
                      <w:b/>
                      <w:bCs/>
                      <w:szCs w:val="21"/>
                    </w:rPr>
                    <w:t>类型</w:t>
                  </w:r>
                </w:p>
              </w:tc>
              <w:tc>
                <w:tcPr>
                  <w:tcW w:w="695" w:type="dxa"/>
                  <w:vAlign w:val="center"/>
                </w:tcPr>
                <w:p>
                  <w:pPr>
                    <w:pStyle w:val="49"/>
                    <w:adjustRightInd w:val="0"/>
                    <w:snapToGrid w:val="0"/>
                    <w:rPr>
                      <w:rFonts w:ascii="宋体" w:hAnsi="宋体"/>
                      <w:bCs/>
                      <w:szCs w:val="21"/>
                    </w:rPr>
                  </w:pPr>
                  <w:r>
                    <w:rPr>
                      <w:b/>
                      <w:bCs/>
                      <w:szCs w:val="21"/>
                    </w:rPr>
                    <w:t>序号</w:t>
                  </w:r>
                </w:p>
              </w:tc>
              <w:tc>
                <w:tcPr>
                  <w:tcW w:w="1100" w:type="dxa"/>
                  <w:vAlign w:val="center"/>
                </w:tcPr>
                <w:p>
                  <w:pPr>
                    <w:pStyle w:val="49"/>
                    <w:adjustRightInd w:val="0"/>
                    <w:snapToGrid w:val="0"/>
                    <w:rPr>
                      <w:rFonts w:ascii="宋体" w:hAnsi="宋体"/>
                      <w:bCs/>
                      <w:szCs w:val="21"/>
                    </w:rPr>
                  </w:pPr>
                  <w:r>
                    <w:rPr>
                      <w:b/>
                      <w:bCs/>
                      <w:szCs w:val="21"/>
                    </w:rPr>
                    <w:t>产生工序</w:t>
                  </w:r>
                </w:p>
              </w:tc>
              <w:tc>
                <w:tcPr>
                  <w:tcW w:w="1166" w:type="dxa"/>
                  <w:vAlign w:val="center"/>
                </w:tcPr>
                <w:p>
                  <w:pPr>
                    <w:pStyle w:val="49"/>
                    <w:adjustRightInd w:val="0"/>
                    <w:snapToGrid w:val="0"/>
                    <w:rPr>
                      <w:rFonts w:ascii="宋体" w:hAnsi="宋体"/>
                      <w:bCs/>
                      <w:szCs w:val="21"/>
                    </w:rPr>
                  </w:pPr>
                  <w:r>
                    <w:rPr>
                      <w:b/>
                      <w:bCs/>
                      <w:szCs w:val="21"/>
                    </w:rPr>
                    <w:t>污染物</w:t>
                  </w:r>
                </w:p>
              </w:tc>
              <w:tc>
                <w:tcPr>
                  <w:tcW w:w="1400" w:type="dxa"/>
                  <w:vAlign w:val="center"/>
                </w:tcPr>
                <w:p>
                  <w:pPr>
                    <w:pStyle w:val="49"/>
                    <w:adjustRightInd w:val="0"/>
                    <w:snapToGrid w:val="0"/>
                    <w:rPr>
                      <w:rFonts w:ascii="宋体" w:hAnsi="宋体"/>
                      <w:bCs/>
                      <w:szCs w:val="21"/>
                    </w:rPr>
                  </w:pPr>
                  <w:r>
                    <w:rPr>
                      <w:rFonts w:hint="eastAsia"/>
                      <w:b/>
                      <w:bCs/>
                      <w:szCs w:val="21"/>
                    </w:rPr>
                    <w:t>污染因子</w:t>
                  </w:r>
                </w:p>
              </w:tc>
              <w:tc>
                <w:tcPr>
                  <w:tcW w:w="917" w:type="dxa"/>
                  <w:vAlign w:val="center"/>
                </w:tcPr>
                <w:p>
                  <w:pPr>
                    <w:pStyle w:val="49"/>
                    <w:adjustRightInd w:val="0"/>
                    <w:snapToGrid w:val="0"/>
                    <w:rPr>
                      <w:rFonts w:ascii="宋体" w:hAnsi="宋体"/>
                      <w:bCs/>
                      <w:szCs w:val="21"/>
                    </w:rPr>
                  </w:pPr>
                  <w:r>
                    <w:rPr>
                      <w:b/>
                      <w:bCs/>
                      <w:szCs w:val="21"/>
                    </w:rPr>
                    <w:t>排放特征</w:t>
                  </w:r>
                </w:p>
              </w:tc>
              <w:tc>
                <w:tcPr>
                  <w:tcW w:w="1936" w:type="dxa"/>
                  <w:vAlign w:val="center"/>
                </w:tcPr>
                <w:p>
                  <w:pPr>
                    <w:pStyle w:val="49"/>
                    <w:adjustRightInd w:val="0"/>
                    <w:snapToGrid w:val="0"/>
                    <w:rPr>
                      <w:rFonts w:ascii="宋体" w:hAnsi="宋体"/>
                      <w:bCs/>
                      <w:szCs w:val="21"/>
                    </w:rPr>
                  </w:pPr>
                  <w:r>
                    <w:rPr>
                      <w:b/>
                      <w:bCs/>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Align w:val="center"/>
                </w:tcPr>
                <w:p>
                  <w:pPr>
                    <w:pStyle w:val="49"/>
                    <w:adjustRightInd w:val="0"/>
                    <w:snapToGrid w:val="0"/>
                    <w:rPr>
                      <w:rFonts w:ascii="宋体" w:hAnsi="宋体"/>
                      <w:bCs/>
                      <w:szCs w:val="21"/>
                    </w:rPr>
                  </w:pPr>
                  <w:r>
                    <w:rPr>
                      <w:szCs w:val="21"/>
                    </w:rPr>
                    <w:t>废气</w:t>
                  </w:r>
                </w:p>
              </w:tc>
              <w:tc>
                <w:tcPr>
                  <w:tcW w:w="695" w:type="dxa"/>
                  <w:vAlign w:val="center"/>
                </w:tcPr>
                <w:p>
                  <w:pPr>
                    <w:adjustRightInd w:val="0"/>
                    <w:snapToGrid w:val="0"/>
                    <w:jc w:val="center"/>
                    <w:rPr>
                      <w:rFonts w:ascii="宋体" w:hAnsi="宋体"/>
                      <w:bCs/>
                      <w:szCs w:val="21"/>
                    </w:rPr>
                  </w:pPr>
                  <w:r>
                    <w:rPr>
                      <w:rFonts w:hint="eastAsia" w:ascii="宋体" w:hAnsi="宋体"/>
                      <w:bCs/>
                      <w:szCs w:val="21"/>
                    </w:rPr>
                    <w:t>/</w:t>
                  </w:r>
                </w:p>
              </w:tc>
              <w:tc>
                <w:tcPr>
                  <w:tcW w:w="1100" w:type="dxa"/>
                  <w:vAlign w:val="center"/>
                </w:tcPr>
                <w:p>
                  <w:pPr>
                    <w:adjustRightInd w:val="0"/>
                    <w:snapToGrid w:val="0"/>
                    <w:jc w:val="center"/>
                    <w:rPr>
                      <w:rFonts w:ascii="宋体" w:hAnsi="宋体"/>
                      <w:bCs/>
                      <w:szCs w:val="21"/>
                    </w:rPr>
                  </w:pPr>
                  <w:r>
                    <w:rPr>
                      <w:rFonts w:hint="eastAsia" w:ascii="宋体" w:hAnsi="宋体"/>
                      <w:bCs/>
                      <w:szCs w:val="21"/>
                    </w:rPr>
                    <w:t>/</w:t>
                  </w:r>
                </w:p>
              </w:tc>
              <w:tc>
                <w:tcPr>
                  <w:tcW w:w="1166" w:type="dxa"/>
                  <w:vAlign w:val="center"/>
                </w:tcPr>
                <w:p>
                  <w:pPr>
                    <w:adjustRightInd w:val="0"/>
                    <w:snapToGrid w:val="0"/>
                    <w:jc w:val="center"/>
                    <w:rPr>
                      <w:rFonts w:ascii="宋体" w:hAnsi="宋体"/>
                      <w:bCs/>
                      <w:szCs w:val="21"/>
                    </w:rPr>
                  </w:pPr>
                  <w:r>
                    <w:rPr>
                      <w:rFonts w:hint="eastAsia" w:ascii="宋体" w:hAnsi="宋体"/>
                      <w:bCs/>
                      <w:szCs w:val="21"/>
                    </w:rPr>
                    <w:t>/</w:t>
                  </w:r>
                </w:p>
              </w:tc>
              <w:tc>
                <w:tcPr>
                  <w:tcW w:w="1400" w:type="dxa"/>
                  <w:vAlign w:val="center"/>
                </w:tcPr>
                <w:p>
                  <w:pPr>
                    <w:adjustRightInd w:val="0"/>
                    <w:snapToGrid w:val="0"/>
                    <w:jc w:val="center"/>
                    <w:rPr>
                      <w:rFonts w:ascii="宋体" w:hAnsi="宋体"/>
                      <w:bCs/>
                      <w:szCs w:val="21"/>
                    </w:rPr>
                  </w:pPr>
                  <w:r>
                    <w:rPr>
                      <w:rFonts w:hint="eastAsia" w:ascii="宋体" w:hAnsi="宋体"/>
                      <w:bCs/>
                      <w:szCs w:val="21"/>
                    </w:rPr>
                    <w:t>/</w:t>
                  </w:r>
                </w:p>
              </w:tc>
              <w:tc>
                <w:tcPr>
                  <w:tcW w:w="917" w:type="dxa"/>
                  <w:vAlign w:val="center"/>
                </w:tcPr>
                <w:p>
                  <w:pPr>
                    <w:adjustRightInd w:val="0"/>
                    <w:snapToGrid w:val="0"/>
                    <w:jc w:val="center"/>
                    <w:rPr>
                      <w:rFonts w:ascii="宋体" w:hAnsi="宋体"/>
                      <w:bCs/>
                      <w:szCs w:val="21"/>
                    </w:rPr>
                  </w:pPr>
                  <w:r>
                    <w:rPr>
                      <w:rFonts w:hint="eastAsia" w:ascii="宋体" w:hAnsi="宋体"/>
                      <w:bCs/>
                      <w:szCs w:val="21"/>
                    </w:rPr>
                    <w:t>/</w:t>
                  </w:r>
                </w:p>
              </w:tc>
              <w:tc>
                <w:tcPr>
                  <w:tcW w:w="1936" w:type="dxa"/>
                  <w:vAlign w:val="center"/>
                </w:tcPr>
                <w:p>
                  <w:pPr>
                    <w:adjustRightInd w:val="0"/>
                    <w:snapToGrid w:val="0"/>
                    <w:jc w:val="center"/>
                    <w:rPr>
                      <w:rFonts w:ascii="宋体" w:hAnsi="宋体"/>
                      <w:bCs/>
                      <w:szCs w:val="21"/>
                    </w:rPr>
                  </w:pPr>
                  <w:r>
                    <w:rPr>
                      <w:rFonts w:hint="eastAsia"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Align w:val="center"/>
                </w:tcPr>
                <w:p>
                  <w:pPr>
                    <w:pStyle w:val="49"/>
                    <w:adjustRightInd w:val="0"/>
                    <w:snapToGrid w:val="0"/>
                    <w:rPr>
                      <w:rFonts w:ascii="宋体" w:hAnsi="宋体"/>
                      <w:bCs/>
                      <w:szCs w:val="21"/>
                    </w:rPr>
                  </w:pPr>
                  <w:r>
                    <w:rPr>
                      <w:szCs w:val="21"/>
                    </w:rPr>
                    <w:t>废水</w:t>
                  </w:r>
                </w:p>
              </w:tc>
              <w:tc>
                <w:tcPr>
                  <w:tcW w:w="695" w:type="dxa"/>
                  <w:vAlign w:val="center"/>
                </w:tcPr>
                <w:p>
                  <w:pPr>
                    <w:pStyle w:val="49"/>
                    <w:adjustRightInd w:val="0"/>
                    <w:snapToGrid w:val="0"/>
                    <w:rPr>
                      <w:szCs w:val="21"/>
                    </w:rPr>
                  </w:pPr>
                  <w:r>
                    <w:rPr>
                      <w:rFonts w:hint="eastAsia"/>
                      <w:szCs w:val="21"/>
                    </w:rPr>
                    <w:t>W</w:t>
                  </w:r>
                </w:p>
              </w:tc>
              <w:tc>
                <w:tcPr>
                  <w:tcW w:w="1100" w:type="dxa"/>
                  <w:vAlign w:val="center"/>
                </w:tcPr>
                <w:p>
                  <w:pPr>
                    <w:pStyle w:val="49"/>
                    <w:adjustRightInd w:val="0"/>
                    <w:snapToGrid w:val="0"/>
                    <w:rPr>
                      <w:szCs w:val="21"/>
                    </w:rPr>
                  </w:pPr>
                  <w:r>
                    <w:rPr>
                      <w:rFonts w:hint="eastAsia"/>
                      <w:szCs w:val="21"/>
                    </w:rPr>
                    <w:t>定点医院</w:t>
                  </w:r>
                </w:p>
              </w:tc>
              <w:tc>
                <w:tcPr>
                  <w:tcW w:w="1166" w:type="dxa"/>
                  <w:vAlign w:val="center"/>
                </w:tcPr>
                <w:p>
                  <w:pPr>
                    <w:pStyle w:val="49"/>
                    <w:adjustRightInd w:val="0"/>
                    <w:snapToGrid w:val="0"/>
                    <w:rPr>
                      <w:szCs w:val="21"/>
                    </w:rPr>
                  </w:pPr>
                  <w:r>
                    <w:rPr>
                      <w:rFonts w:hint="eastAsia"/>
                      <w:szCs w:val="21"/>
                    </w:rPr>
                    <w:t>医疗污水、生活污水</w:t>
                  </w:r>
                </w:p>
              </w:tc>
              <w:tc>
                <w:tcPr>
                  <w:tcW w:w="1400" w:type="dxa"/>
                  <w:vAlign w:val="center"/>
                </w:tcPr>
                <w:p>
                  <w:pPr>
                    <w:pStyle w:val="49"/>
                    <w:adjustRightInd w:val="0"/>
                    <w:snapToGrid w:val="0"/>
                    <w:rPr>
                      <w:szCs w:val="21"/>
                    </w:rPr>
                  </w:pPr>
                  <w:r>
                    <w:rPr>
                      <w:rFonts w:hint="eastAsia"/>
                      <w:szCs w:val="21"/>
                    </w:rPr>
                    <w:t>pH、COD、BOD</w:t>
                  </w:r>
                  <w:r>
                    <w:rPr>
                      <w:rFonts w:hint="eastAsia"/>
                      <w:szCs w:val="21"/>
                      <w:vertAlign w:val="subscript"/>
                    </w:rPr>
                    <w:t>5</w:t>
                  </w:r>
                  <w:r>
                    <w:rPr>
                      <w:rFonts w:hint="eastAsia"/>
                      <w:szCs w:val="21"/>
                    </w:rPr>
                    <w:t>、SS、NH</w:t>
                  </w:r>
                  <w:r>
                    <w:rPr>
                      <w:rFonts w:hint="eastAsia"/>
                      <w:szCs w:val="21"/>
                      <w:vertAlign w:val="subscript"/>
                    </w:rPr>
                    <w:t>3</w:t>
                  </w:r>
                  <w:r>
                    <w:rPr>
                      <w:rFonts w:hint="eastAsia"/>
                      <w:szCs w:val="21"/>
                    </w:rPr>
                    <w:t>-N、粪大肠菌群数、阴离子表面活性剂等</w:t>
                  </w:r>
                </w:p>
              </w:tc>
              <w:tc>
                <w:tcPr>
                  <w:tcW w:w="917" w:type="dxa"/>
                  <w:vAlign w:val="center"/>
                </w:tcPr>
                <w:p>
                  <w:pPr>
                    <w:pStyle w:val="49"/>
                    <w:adjustRightInd w:val="0"/>
                    <w:snapToGrid w:val="0"/>
                    <w:rPr>
                      <w:szCs w:val="21"/>
                    </w:rPr>
                  </w:pPr>
                  <w:r>
                    <w:rPr>
                      <w:rFonts w:hint="eastAsia"/>
                      <w:szCs w:val="21"/>
                    </w:rPr>
                    <w:t>间断</w:t>
                  </w:r>
                </w:p>
              </w:tc>
              <w:tc>
                <w:tcPr>
                  <w:tcW w:w="1936" w:type="dxa"/>
                  <w:vAlign w:val="center"/>
                </w:tcPr>
                <w:p>
                  <w:pPr>
                    <w:pStyle w:val="49"/>
                    <w:adjustRightInd w:val="0"/>
                    <w:snapToGrid w:val="0"/>
                    <w:rPr>
                      <w:szCs w:val="21"/>
                    </w:rPr>
                  </w:pPr>
                  <w:r>
                    <w:rPr>
                      <w:rFonts w:hint="eastAsia"/>
                      <w:szCs w:val="21"/>
                    </w:rPr>
                    <w:t>排入方舱医院污水处理站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Align w:val="center"/>
                </w:tcPr>
                <w:p>
                  <w:pPr>
                    <w:pStyle w:val="49"/>
                    <w:adjustRightInd w:val="0"/>
                    <w:snapToGrid w:val="0"/>
                    <w:rPr>
                      <w:rFonts w:ascii="宋体" w:hAnsi="宋体"/>
                      <w:bCs/>
                      <w:szCs w:val="21"/>
                    </w:rPr>
                  </w:pPr>
                  <w:r>
                    <w:rPr>
                      <w:szCs w:val="21"/>
                    </w:rPr>
                    <w:t>噪声</w:t>
                  </w:r>
                </w:p>
              </w:tc>
              <w:tc>
                <w:tcPr>
                  <w:tcW w:w="695" w:type="dxa"/>
                  <w:vAlign w:val="center"/>
                </w:tcPr>
                <w:p>
                  <w:pPr>
                    <w:adjustRightInd w:val="0"/>
                    <w:snapToGrid w:val="0"/>
                    <w:jc w:val="center"/>
                    <w:rPr>
                      <w:rFonts w:ascii="宋体" w:hAnsi="宋体"/>
                      <w:bCs/>
                      <w:szCs w:val="21"/>
                    </w:rPr>
                  </w:pPr>
                  <w:r>
                    <w:rPr>
                      <w:rFonts w:hint="eastAsia"/>
                      <w:bCs/>
                      <w:szCs w:val="21"/>
                    </w:rPr>
                    <w:t>N</w:t>
                  </w:r>
                </w:p>
              </w:tc>
              <w:tc>
                <w:tcPr>
                  <w:tcW w:w="1100" w:type="dxa"/>
                  <w:vAlign w:val="center"/>
                </w:tcPr>
                <w:p>
                  <w:pPr>
                    <w:adjustRightInd w:val="0"/>
                    <w:snapToGrid w:val="0"/>
                    <w:jc w:val="center"/>
                    <w:rPr>
                      <w:rFonts w:ascii="宋体" w:hAnsi="宋体"/>
                      <w:bCs/>
                      <w:szCs w:val="21"/>
                    </w:rPr>
                  </w:pPr>
                  <w:r>
                    <w:rPr>
                      <w:rFonts w:hint="eastAsia" w:ascii="宋体" w:hAnsi="宋体"/>
                      <w:bCs/>
                      <w:szCs w:val="21"/>
                    </w:rPr>
                    <w:t>风机房</w:t>
                  </w:r>
                </w:p>
              </w:tc>
              <w:tc>
                <w:tcPr>
                  <w:tcW w:w="1166" w:type="dxa"/>
                  <w:vAlign w:val="center"/>
                </w:tcPr>
                <w:p>
                  <w:pPr>
                    <w:pStyle w:val="48"/>
                    <w:spacing w:line="260" w:lineRule="exact"/>
                    <w:rPr>
                      <w:rFonts w:ascii="宋体" w:hAnsi="宋体"/>
                      <w:bCs/>
                      <w:szCs w:val="21"/>
                    </w:rPr>
                  </w:pPr>
                  <w:r>
                    <w:rPr>
                      <w:b w:val="0"/>
                      <w:bCs/>
                      <w:szCs w:val="21"/>
                    </w:rPr>
                    <w:t>设备噪声</w:t>
                  </w:r>
                </w:p>
              </w:tc>
              <w:tc>
                <w:tcPr>
                  <w:tcW w:w="1400" w:type="dxa"/>
                  <w:vAlign w:val="center"/>
                </w:tcPr>
                <w:p>
                  <w:pPr>
                    <w:pStyle w:val="49"/>
                    <w:adjustRightInd w:val="0"/>
                    <w:snapToGrid w:val="0"/>
                    <w:rPr>
                      <w:rFonts w:ascii="宋体" w:hAnsi="宋体"/>
                      <w:bCs/>
                      <w:szCs w:val="21"/>
                    </w:rPr>
                  </w:pPr>
                  <w:r>
                    <w:t>等效连续A声级</w:t>
                  </w:r>
                </w:p>
              </w:tc>
              <w:tc>
                <w:tcPr>
                  <w:tcW w:w="917" w:type="dxa"/>
                  <w:vAlign w:val="center"/>
                </w:tcPr>
                <w:p>
                  <w:pPr>
                    <w:pStyle w:val="49"/>
                    <w:adjustRightInd w:val="0"/>
                    <w:snapToGrid w:val="0"/>
                    <w:rPr>
                      <w:rFonts w:ascii="宋体" w:hAnsi="宋体"/>
                      <w:bCs/>
                      <w:szCs w:val="21"/>
                    </w:rPr>
                  </w:pPr>
                  <w:r>
                    <w:t>连续</w:t>
                  </w:r>
                </w:p>
              </w:tc>
              <w:tc>
                <w:tcPr>
                  <w:tcW w:w="1936" w:type="dxa"/>
                  <w:vAlign w:val="center"/>
                </w:tcPr>
                <w:p>
                  <w:pPr>
                    <w:pStyle w:val="49"/>
                    <w:adjustRightInd w:val="0"/>
                    <w:snapToGrid w:val="0"/>
                    <w:rPr>
                      <w:rFonts w:ascii="宋体" w:hAnsi="宋体"/>
                      <w:bCs/>
                      <w:szCs w:val="21"/>
                    </w:rPr>
                  </w:pPr>
                  <w:r>
                    <w:rPr>
                      <w:rFonts w:hint="eastAsia"/>
                      <w:szCs w:val="21"/>
                    </w:rPr>
                    <w:t>设备间封闭、使用低噪声设备、设备础减振、合理布局等措施</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Merge w:val="restart"/>
                  <w:vAlign w:val="center"/>
                </w:tcPr>
                <w:p>
                  <w:pPr>
                    <w:pStyle w:val="49"/>
                    <w:adjustRightInd w:val="0"/>
                    <w:snapToGrid w:val="0"/>
                    <w:rPr>
                      <w:rFonts w:ascii="宋体" w:hAnsi="宋体"/>
                      <w:bCs/>
                      <w:szCs w:val="21"/>
                    </w:rPr>
                  </w:pPr>
                  <w:r>
                    <w:rPr>
                      <w:rFonts w:hint="eastAsia"/>
                      <w:szCs w:val="21"/>
                    </w:rPr>
                    <w:t>固废</w:t>
                  </w:r>
                </w:p>
              </w:tc>
              <w:tc>
                <w:tcPr>
                  <w:tcW w:w="695" w:type="dxa"/>
                  <w:vMerge w:val="restart"/>
                  <w:vAlign w:val="center"/>
                </w:tcPr>
                <w:p>
                  <w:pPr>
                    <w:pStyle w:val="49"/>
                    <w:adjustRightInd w:val="0"/>
                    <w:snapToGrid w:val="0"/>
                    <w:rPr>
                      <w:rFonts w:ascii="宋体" w:hAnsi="宋体"/>
                      <w:bCs/>
                      <w:szCs w:val="21"/>
                    </w:rPr>
                  </w:pPr>
                  <w:r>
                    <w:rPr>
                      <w:rFonts w:hint="eastAsia"/>
                      <w:szCs w:val="21"/>
                    </w:rPr>
                    <w:t>S</w:t>
                  </w:r>
                </w:p>
              </w:tc>
              <w:tc>
                <w:tcPr>
                  <w:tcW w:w="1100" w:type="dxa"/>
                  <w:vMerge w:val="restart"/>
                  <w:vAlign w:val="center"/>
                </w:tcPr>
                <w:p>
                  <w:pPr>
                    <w:pStyle w:val="48"/>
                    <w:rPr>
                      <w:rFonts w:ascii="宋体" w:hAnsi="宋体"/>
                      <w:bCs/>
                      <w:szCs w:val="21"/>
                    </w:rPr>
                  </w:pPr>
                  <w:r>
                    <w:rPr>
                      <w:rFonts w:hint="eastAsia"/>
                      <w:b w:val="0"/>
                      <w:bCs/>
                      <w:szCs w:val="21"/>
                    </w:rPr>
                    <w:t>定点医院</w:t>
                  </w:r>
                </w:p>
              </w:tc>
              <w:tc>
                <w:tcPr>
                  <w:tcW w:w="1166" w:type="dxa"/>
                  <w:vAlign w:val="center"/>
                </w:tcPr>
                <w:p>
                  <w:pPr>
                    <w:jc w:val="center"/>
                    <w:rPr>
                      <w:rFonts w:ascii="宋体" w:hAnsi="宋体"/>
                      <w:bCs/>
                      <w:szCs w:val="21"/>
                    </w:rPr>
                  </w:pPr>
                  <w:r>
                    <w:rPr>
                      <w:rFonts w:hint="eastAsia"/>
                      <w:szCs w:val="21"/>
                    </w:rPr>
                    <w:t>医疗废物</w:t>
                  </w:r>
                </w:p>
              </w:tc>
              <w:tc>
                <w:tcPr>
                  <w:tcW w:w="1400" w:type="dxa"/>
                  <w:vAlign w:val="center"/>
                </w:tcPr>
                <w:p>
                  <w:pPr>
                    <w:jc w:val="center"/>
                    <w:rPr>
                      <w:rFonts w:ascii="宋体" w:hAnsi="宋体"/>
                      <w:bCs/>
                      <w:szCs w:val="21"/>
                    </w:rPr>
                  </w:pPr>
                  <w:r>
                    <w:rPr>
                      <w:rFonts w:hint="eastAsia"/>
                      <w:szCs w:val="21"/>
                    </w:rPr>
                    <w:t>医疗废物</w:t>
                  </w:r>
                </w:p>
              </w:tc>
              <w:tc>
                <w:tcPr>
                  <w:tcW w:w="917" w:type="dxa"/>
                  <w:vAlign w:val="center"/>
                </w:tcPr>
                <w:p>
                  <w:pPr>
                    <w:pStyle w:val="49"/>
                    <w:adjustRightInd w:val="0"/>
                    <w:snapToGrid w:val="0"/>
                    <w:rPr>
                      <w:rFonts w:ascii="宋体" w:hAnsi="宋体"/>
                      <w:bCs/>
                      <w:szCs w:val="21"/>
                    </w:rPr>
                  </w:pPr>
                  <w:r>
                    <w:rPr>
                      <w:rFonts w:hint="eastAsia"/>
                      <w:szCs w:val="21"/>
                    </w:rPr>
                    <w:t>间断</w:t>
                  </w:r>
                </w:p>
              </w:tc>
              <w:tc>
                <w:tcPr>
                  <w:tcW w:w="1936" w:type="dxa"/>
                  <w:vMerge w:val="restart"/>
                  <w:vAlign w:val="center"/>
                </w:tcPr>
                <w:p>
                  <w:pPr>
                    <w:adjustRightInd w:val="0"/>
                    <w:snapToGrid w:val="0"/>
                    <w:jc w:val="center"/>
                    <w:rPr>
                      <w:rFonts w:ascii="宋体" w:hAnsi="宋体"/>
                      <w:bCs/>
                      <w:szCs w:val="21"/>
                    </w:rPr>
                  </w:pPr>
                  <w:r>
                    <w:rPr>
                      <w:rFonts w:hint="eastAsia" w:ascii="宋体" w:hAnsi="宋体"/>
                      <w:bCs/>
                      <w:szCs w:val="21"/>
                    </w:rPr>
                    <w:t>暂存于医疗废物贮存间内，定期委托有资质单位处置</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Merge w:val="continue"/>
                  <w:vAlign w:val="center"/>
                </w:tcPr>
                <w:p>
                  <w:pPr>
                    <w:adjustRightInd w:val="0"/>
                    <w:snapToGrid w:val="0"/>
                    <w:jc w:val="center"/>
                    <w:rPr>
                      <w:rFonts w:ascii="宋体" w:hAnsi="宋体"/>
                      <w:bCs/>
                      <w:szCs w:val="21"/>
                    </w:rPr>
                  </w:pPr>
                </w:p>
              </w:tc>
              <w:tc>
                <w:tcPr>
                  <w:tcW w:w="695" w:type="dxa"/>
                  <w:vMerge w:val="continue"/>
                  <w:vAlign w:val="center"/>
                </w:tcPr>
                <w:p>
                  <w:pPr>
                    <w:pStyle w:val="49"/>
                    <w:adjustRightInd w:val="0"/>
                    <w:snapToGrid w:val="0"/>
                    <w:rPr>
                      <w:rFonts w:ascii="宋体" w:hAnsi="宋体"/>
                      <w:bCs/>
                      <w:szCs w:val="21"/>
                    </w:rPr>
                  </w:pPr>
                </w:p>
              </w:tc>
              <w:tc>
                <w:tcPr>
                  <w:tcW w:w="1100" w:type="dxa"/>
                  <w:vMerge w:val="continue"/>
                  <w:vAlign w:val="center"/>
                </w:tcPr>
                <w:p>
                  <w:pPr>
                    <w:pStyle w:val="48"/>
                    <w:rPr>
                      <w:rFonts w:ascii="宋体" w:hAnsi="宋体"/>
                      <w:bCs/>
                      <w:szCs w:val="21"/>
                    </w:rPr>
                  </w:pPr>
                </w:p>
              </w:tc>
              <w:tc>
                <w:tcPr>
                  <w:tcW w:w="1166" w:type="dxa"/>
                  <w:vAlign w:val="center"/>
                </w:tcPr>
                <w:p>
                  <w:pPr>
                    <w:jc w:val="center"/>
                    <w:rPr>
                      <w:rFonts w:ascii="宋体" w:hAnsi="宋体"/>
                      <w:bCs/>
                      <w:szCs w:val="21"/>
                    </w:rPr>
                  </w:pPr>
                  <w:r>
                    <w:rPr>
                      <w:rFonts w:hint="eastAsia"/>
                      <w:szCs w:val="21"/>
                    </w:rPr>
                    <w:t>感染类生活垃圾</w:t>
                  </w:r>
                </w:p>
              </w:tc>
              <w:tc>
                <w:tcPr>
                  <w:tcW w:w="1400" w:type="dxa"/>
                  <w:vAlign w:val="center"/>
                </w:tcPr>
                <w:p>
                  <w:pPr>
                    <w:jc w:val="center"/>
                    <w:rPr>
                      <w:rFonts w:ascii="宋体" w:hAnsi="宋体"/>
                      <w:bCs/>
                      <w:szCs w:val="21"/>
                    </w:rPr>
                  </w:pPr>
                  <w:r>
                    <w:rPr>
                      <w:rFonts w:hint="eastAsia"/>
                      <w:szCs w:val="21"/>
                    </w:rPr>
                    <w:t>生活垃圾</w:t>
                  </w:r>
                </w:p>
              </w:tc>
              <w:tc>
                <w:tcPr>
                  <w:tcW w:w="917" w:type="dxa"/>
                  <w:vAlign w:val="center"/>
                </w:tcPr>
                <w:p>
                  <w:pPr>
                    <w:pStyle w:val="49"/>
                    <w:adjustRightInd w:val="0"/>
                    <w:snapToGrid w:val="0"/>
                    <w:rPr>
                      <w:rFonts w:ascii="宋体" w:hAnsi="宋体"/>
                      <w:bCs/>
                      <w:szCs w:val="21"/>
                    </w:rPr>
                  </w:pPr>
                  <w:r>
                    <w:rPr>
                      <w:rFonts w:hint="eastAsia"/>
                      <w:szCs w:val="21"/>
                    </w:rPr>
                    <w:t>间断</w:t>
                  </w:r>
                </w:p>
              </w:tc>
              <w:tc>
                <w:tcPr>
                  <w:tcW w:w="1936" w:type="dxa"/>
                  <w:vMerge w:val="continue"/>
                </w:tcPr>
                <w:p>
                  <w:pPr>
                    <w:adjustRightInd w:val="0"/>
                    <w:snapToGrid w:val="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01" w:type="dxa"/>
                  <w:vMerge w:val="continue"/>
                  <w:vAlign w:val="center"/>
                </w:tcPr>
                <w:p>
                  <w:pPr>
                    <w:adjustRightInd w:val="0"/>
                    <w:snapToGrid w:val="0"/>
                    <w:jc w:val="center"/>
                    <w:rPr>
                      <w:rFonts w:ascii="宋体" w:hAnsi="宋体"/>
                      <w:bCs/>
                      <w:szCs w:val="21"/>
                    </w:rPr>
                  </w:pPr>
                </w:p>
              </w:tc>
              <w:tc>
                <w:tcPr>
                  <w:tcW w:w="695" w:type="dxa"/>
                  <w:vMerge w:val="continue"/>
                  <w:vAlign w:val="center"/>
                </w:tcPr>
                <w:p>
                  <w:pPr>
                    <w:pStyle w:val="49"/>
                    <w:adjustRightInd w:val="0"/>
                    <w:snapToGrid w:val="0"/>
                    <w:rPr>
                      <w:rFonts w:ascii="宋体" w:hAnsi="宋体"/>
                      <w:bCs/>
                      <w:szCs w:val="21"/>
                    </w:rPr>
                  </w:pPr>
                </w:p>
              </w:tc>
              <w:tc>
                <w:tcPr>
                  <w:tcW w:w="1100" w:type="dxa"/>
                  <w:vMerge w:val="continue"/>
                  <w:vAlign w:val="center"/>
                </w:tcPr>
                <w:p>
                  <w:pPr>
                    <w:pStyle w:val="48"/>
                    <w:rPr>
                      <w:rFonts w:ascii="宋体" w:hAnsi="宋体"/>
                      <w:bCs/>
                      <w:szCs w:val="21"/>
                    </w:rPr>
                  </w:pPr>
                </w:p>
              </w:tc>
              <w:tc>
                <w:tcPr>
                  <w:tcW w:w="1166" w:type="dxa"/>
                  <w:vAlign w:val="center"/>
                </w:tcPr>
                <w:p>
                  <w:pPr>
                    <w:jc w:val="center"/>
                    <w:rPr>
                      <w:rFonts w:ascii="宋体" w:hAnsi="宋体"/>
                      <w:bCs/>
                      <w:szCs w:val="21"/>
                    </w:rPr>
                  </w:pPr>
                  <w:r>
                    <w:rPr>
                      <w:rFonts w:hint="eastAsia"/>
                      <w:szCs w:val="21"/>
                    </w:rPr>
                    <w:t>通风系统废滤材</w:t>
                  </w:r>
                </w:p>
              </w:tc>
              <w:tc>
                <w:tcPr>
                  <w:tcW w:w="1400" w:type="dxa"/>
                  <w:vAlign w:val="center"/>
                </w:tcPr>
                <w:p>
                  <w:pPr>
                    <w:jc w:val="center"/>
                    <w:rPr>
                      <w:rFonts w:ascii="宋体" w:hAnsi="宋体"/>
                      <w:bCs/>
                      <w:szCs w:val="21"/>
                    </w:rPr>
                  </w:pPr>
                  <w:r>
                    <w:rPr>
                      <w:rFonts w:hint="eastAsia"/>
                      <w:szCs w:val="21"/>
                    </w:rPr>
                    <w:t>通风系统废滤材</w:t>
                  </w:r>
                </w:p>
              </w:tc>
              <w:tc>
                <w:tcPr>
                  <w:tcW w:w="917" w:type="dxa"/>
                  <w:vAlign w:val="center"/>
                </w:tcPr>
                <w:p>
                  <w:pPr>
                    <w:pStyle w:val="49"/>
                    <w:adjustRightInd w:val="0"/>
                    <w:snapToGrid w:val="0"/>
                    <w:rPr>
                      <w:rFonts w:ascii="宋体" w:hAnsi="宋体"/>
                      <w:bCs/>
                      <w:szCs w:val="21"/>
                    </w:rPr>
                  </w:pPr>
                  <w:r>
                    <w:rPr>
                      <w:rFonts w:hint="eastAsia"/>
                      <w:szCs w:val="21"/>
                    </w:rPr>
                    <w:t>间断</w:t>
                  </w:r>
                </w:p>
              </w:tc>
              <w:tc>
                <w:tcPr>
                  <w:tcW w:w="1936" w:type="dxa"/>
                  <w:vMerge w:val="continue"/>
                </w:tcPr>
                <w:p>
                  <w:pPr>
                    <w:adjustRightInd w:val="0"/>
                    <w:snapToGrid w:val="0"/>
                    <w:jc w:val="center"/>
                    <w:rPr>
                      <w:rFonts w:ascii="宋体" w:hAnsi="宋体"/>
                      <w:bCs/>
                      <w:szCs w:val="21"/>
                    </w:rPr>
                  </w:pPr>
                </w:p>
              </w:tc>
            </w:tr>
          </w:tbl>
          <w:p>
            <w:pPr>
              <w:adjustRightInd w:val="0"/>
              <w:snapToGrid w:val="0"/>
              <w:rPr>
                <w:rFonts w:ascii="宋体" w:hAnsi="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5"/>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161" w:type="dxa"/>
          </w:tcPr>
          <w:p>
            <w:pPr>
              <w:pStyle w:val="45"/>
              <w:ind w:firstLine="0" w:firstLineChars="0"/>
              <w:rPr>
                <w:b/>
                <w:bCs/>
                <w:szCs w:val="24"/>
              </w:rPr>
            </w:pPr>
            <w:r>
              <w:rPr>
                <w:b/>
                <w:bCs/>
                <w:szCs w:val="24"/>
              </w:rPr>
              <w:t>与本项目有关的原有污染情况及主要环境问题:</w:t>
            </w:r>
          </w:p>
          <w:p>
            <w:pPr>
              <w:adjustRightInd w:val="0"/>
              <w:snapToGrid w:val="0"/>
              <w:spacing w:line="360" w:lineRule="auto"/>
              <w:ind w:firstLine="480" w:firstLineChars="200"/>
              <w:rPr>
                <w:rFonts w:ascii="宋体" w:hAnsi="宋体"/>
                <w:bCs/>
                <w:szCs w:val="21"/>
              </w:rPr>
            </w:pPr>
            <w:commentRangeStart w:id="10"/>
            <w:r>
              <w:rPr>
                <w:rFonts w:hint="eastAsia"/>
                <w:color w:val="FF0000"/>
                <w:sz w:val="24"/>
                <w:szCs w:val="28"/>
              </w:rPr>
              <w:t>本项目为新建项目，项目占地原为承德昊天硬质合金制品有限公司</w:t>
            </w:r>
            <w:r>
              <w:rPr>
                <w:rFonts w:hint="eastAsia"/>
                <w:color w:val="FF0000"/>
                <w:sz w:val="24"/>
                <w:szCs w:val="28"/>
                <w:lang w:val="en-US" w:eastAsia="zh-CN"/>
              </w:rPr>
              <w:t>内空地</w:t>
            </w:r>
            <w:r>
              <w:rPr>
                <w:rFonts w:hint="eastAsia"/>
                <w:color w:val="FF0000"/>
                <w:sz w:val="24"/>
                <w:szCs w:val="28"/>
              </w:rPr>
              <w:t>，定点医院项目</w:t>
            </w:r>
            <w:r>
              <w:rPr>
                <w:rFonts w:hint="eastAsia"/>
                <w:color w:val="FF0000"/>
                <w:sz w:val="24"/>
                <w:szCs w:val="28"/>
                <w:lang w:val="en-US" w:eastAsia="zh-CN"/>
              </w:rPr>
              <w:t>买下</w:t>
            </w:r>
            <w:r>
              <w:rPr>
                <w:rFonts w:hint="eastAsia"/>
                <w:color w:val="FF0000"/>
                <w:sz w:val="24"/>
                <w:szCs w:val="28"/>
              </w:rPr>
              <w:t>承德昊天硬质合金制品有限公司部分土地进行建设，</w:t>
            </w:r>
            <w:r>
              <w:rPr>
                <w:rFonts w:hint="eastAsia"/>
                <w:color w:val="FF0000"/>
                <w:sz w:val="24"/>
                <w:szCs w:val="28"/>
                <w:lang w:val="en-US" w:eastAsia="zh-CN"/>
              </w:rPr>
              <w:t>未涉及拆除承德昊天硬质合金制品有限公司原有建筑。</w:t>
            </w:r>
            <w:r>
              <w:rPr>
                <w:rFonts w:hint="eastAsia"/>
                <w:color w:val="FF0000"/>
                <w:sz w:val="24"/>
                <w:szCs w:val="28"/>
              </w:rPr>
              <w:t>定点医院运行期间承德昊天硬质合金制品有限公司进行生产，公司主要的业务为生产硬质合金制品、五金工具、刀具刃具、机械设备及配件，在生产的过程中，产生的主要污染物为颗粒物、二氧化硫、氮氧化物、噪声等。</w:t>
            </w:r>
            <w:commentRangeEnd w:id="10"/>
            <w:r>
              <w:commentReference w:id="10"/>
            </w:r>
          </w:p>
        </w:tc>
      </w:tr>
    </w:tbl>
    <w:p>
      <w:pPr>
        <w:pStyle w:val="15"/>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15"/>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3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72"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318" w:type="dxa"/>
            <w:vAlign w:val="center"/>
          </w:tcPr>
          <w:p>
            <w:pPr>
              <w:spacing w:before="120" w:beforeLines="50" w:line="360" w:lineRule="auto"/>
              <w:ind w:firstLine="482"/>
              <w:rPr>
                <w:b/>
                <w:sz w:val="24"/>
              </w:rPr>
            </w:pPr>
            <w:r>
              <w:rPr>
                <w:b/>
                <w:sz w:val="24"/>
              </w:rPr>
              <w:t>1．</w:t>
            </w:r>
            <w:r>
              <w:rPr>
                <w:rFonts w:hint="eastAsia"/>
                <w:b/>
                <w:sz w:val="24"/>
              </w:rPr>
              <w:t>环境空气质量现状</w:t>
            </w:r>
          </w:p>
          <w:p>
            <w:pPr>
              <w:spacing w:line="360" w:lineRule="auto"/>
              <w:ind w:firstLine="482"/>
              <w:rPr>
                <w:sz w:val="24"/>
              </w:rPr>
            </w:pPr>
            <w:bookmarkStart w:id="5" w:name="_Toc426554617"/>
            <w:r>
              <w:rPr>
                <w:rFonts w:hint="eastAsia"/>
                <w:sz w:val="24"/>
              </w:rPr>
              <w:t>（</w:t>
            </w:r>
            <w:r>
              <w:rPr>
                <w:sz w:val="24"/>
              </w:rPr>
              <w:t>1</w:t>
            </w:r>
            <w:r>
              <w:rPr>
                <w:rFonts w:hint="eastAsia"/>
                <w:sz w:val="24"/>
              </w:rPr>
              <w:t>）评价适用标准</w:t>
            </w:r>
          </w:p>
          <w:p>
            <w:pPr>
              <w:pStyle w:val="50"/>
              <w:numPr>
                <w:ilvl w:val="0"/>
                <w:numId w:val="0"/>
              </w:numPr>
              <w:ind w:firstLine="480" w:firstLineChars="200"/>
              <w:rPr>
                <w:sz w:val="24"/>
              </w:rPr>
            </w:pPr>
            <w:r>
              <w:rPr>
                <w:rFonts w:hint="eastAsia"/>
                <w:sz w:val="24"/>
              </w:rPr>
              <w:t>①环境功能区划</w:t>
            </w:r>
          </w:p>
          <w:p>
            <w:pPr>
              <w:pStyle w:val="50"/>
              <w:numPr>
                <w:ilvl w:val="0"/>
                <w:numId w:val="0"/>
              </w:numPr>
              <w:ind w:firstLine="480" w:firstLineChars="200"/>
              <w:rPr>
                <w:sz w:val="24"/>
              </w:rPr>
            </w:pPr>
            <w:r>
              <w:rPr>
                <w:sz w:val="24"/>
              </w:rPr>
              <w:t>项目占地范围处于大气环境质量功能区分类中的二类区，其环境空气质量标准执行《环境空气质量标准》（GB3096-2012）及其修改单中的二级标准</w:t>
            </w:r>
            <w:r>
              <w:rPr>
                <w:rFonts w:hint="eastAsia"/>
                <w:sz w:val="24"/>
              </w:rPr>
              <w:t>。</w:t>
            </w:r>
          </w:p>
          <w:p>
            <w:pPr>
              <w:pStyle w:val="50"/>
              <w:numPr>
                <w:ilvl w:val="0"/>
                <w:numId w:val="0"/>
              </w:numPr>
              <w:ind w:firstLine="480" w:firstLineChars="200"/>
              <w:rPr>
                <w:sz w:val="24"/>
                <w:szCs w:val="24"/>
              </w:rPr>
            </w:pPr>
            <w:r>
              <w:rPr>
                <w:rFonts w:hint="eastAsia"/>
                <w:sz w:val="24"/>
                <w:szCs w:val="24"/>
              </w:rPr>
              <w:t>②国家、地方相关环境质量标准</w:t>
            </w:r>
          </w:p>
          <w:p>
            <w:pPr>
              <w:pStyle w:val="50"/>
              <w:numPr>
                <w:ilvl w:val="0"/>
                <w:numId w:val="0"/>
              </w:numPr>
              <w:ind w:firstLine="480" w:firstLineChars="200"/>
              <w:rPr>
                <w:sz w:val="24"/>
              </w:rPr>
            </w:pPr>
            <w:r>
              <w:rPr>
                <w:sz w:val="24"/>
              </w:rPr>
              <w:t>《环境空气质量标准》（GB3095-2012）</w:t>
            </w:r>
            <w:r>
              <w:rPr>
                <w:rFonts w:hint="eastAsia"/>
                <w:sz w:val="24"/>
              </w:rPr>
              <w:t>及其修改单</w:t>
            </w:r>
            <w:r>
              <w:rPr>
                <w:sz w:val="24"/>
              </w:rPr>
              <w:t>中的二级标准</w:t>
            </w:r>
            <w:r>
              <w:rPr>
                <w:rFonts w:hint="eastAsia"/>
                <w:sz w:val="24"/>
              </w:rPr>
              <w:t>。</w:t>
            </w:r>
          </w:p>
          <w:p>
            <w:pPr>
              <w:spacing w:line="360" w:lineRule="auto"/>
              <w:ind w:firstLine="480"/>
              <w:rPr>
                <w:sz w:val="24"/>
              </w:rPr>
            </w:pPr>
            <w:r>
              <w:rPr>
                <w:rFonts w:hint="eastAsia"/>
                <w:sz w:val="24"/>
              </w:rPr>
              <w:t>（</w:t>
            </w:r>
            <w:r>
              <w:rPr>
                <w:sz w:val="24"/>
              </w:rPr>
              <w:t>2</w:t>
            </w:r>
            <w:r>
              <w:rPr>
                <w:rFonts w:hint="eastAsia"/>
                <w:sz w:val="24"/>
              </w:rPr>
              <w:t>）大气污染物基本项目环境空气质量现状</w:t>
            </w:r>
          </w:p>
          <w:p>
            <w:pPr>
              <w:spacing w:line="360" w:lineRule="auto"/>
              <w:ind w:firstLine="480"/>
              <w:rPr>
                <w:sz w:val="24"/>
              </w:rPr>
            </w:pPr>
            <w:r>
              <w:rPr>
                <w:rFonts w:hint="eastAsia"/>
                <w:sz w:val="24"/>
              </w:rPr>
              <w:t>本次评价</w:t>
            </w:r>
            <w:r>
              <w:rPr>
                <w:sz w:val="24"/>
              </w:rPr>
              <w:t>引用《2021年承德市环境状况公报》</w:t>
            </w:r>
            <w:r>
              <w:rPr>
                <w:rFonts w:hint="eastAsia"/>
                <w:sz w:val="24"/>
              </w:rPr>
              <w:t>（20</w:t>
            </w:r>
            <w:r>
              <w:rPr>
                <w:sz w:val="24"/>
              </w:rPr>
              <w:t>2</w:t>
            </w:r>
            <w:r>
              <w:rPr>
                <w:rFonts w:hint="eastAsia"/>
                <w:sz w:val="24"/>
              </w:rPr>
              <w:t>2年</w:t>
            </w:r>
            <w:r>
              <w:rPr>
                <w:sz w:val="24"/>
              </w:rPr>
              <w:t>4</w:t>
            </w:r>
            <w:r>
              <w:rPr>
                <w:rFonts w:hint="eastAsia"/>
                <w:sz w:val="24"/>
              </w:rPr>
              <w:t>月，承德市生态环境局）</w:t>
            </w:r>
            <w:r>
              <w:rPr>
                <w:sz w:val="24"/>
              </w:rPr>
              <w:t>中</w:t>
            </w:r>
            <w:r>
              <w:rPr>
                <w:rFonts w:hint="eastAsia"/>
                <w:sz w:val="24"/>
              </w:rPr>
              <w:t>宽城满族自治县环境空气大气</w:t>
            </w:r>
            <w:r>
              <w:rPr>
                <w:sz w:val="24"/>
              </w:rPr>
              <w:t>污染物</w:t>
            </w:r>
            <w:r>
              <w:rPr>
                <w:rFonts w:hint="eastAsia"/>
                <w:sz w:val="24"/>
              </w:rPr>
              <w:t>基本项目</w:t>
            </w:r>
            <w:r>
              <w:rPr>
                <w:sz w:val="24"/>
              </w:rPr>
              <w:t>中的PM</w:t>
            </w:r>
            <w:r>
              <w:rPr>
                <w:sz w:val="24"/>
                <w:vertAlign w:val="subscript"/>
              </w:rPr>
              <w:t>2.5</w:t>
            </w:r>
            <w:r>
              <w:rPr>
                <w:sz w:val="24"/>
              </w:rPr>
              <w:t>、PM</w:t>
            </w:r>
            <w:r>
              <w:rPr>
                <w:sz w:val="24"/>
                <w:vertAlign w:val="subscript"/>
              </w:rPr>
              <w:t>10</w:t>
            </w:r>
            <w:r>
              <w:rPr>
                <w:sz w:val="24"/>
              </w:rPr>
              <w:t>、SO</w:t>
            </w:r>
            <w:r>
              <w:rPr>
                <w:sz w:val="24"/>
                <w:vertAlign w:val="subscript"/>
              </w:rPr>
              <w:t>2</w:t>
            </w:r>
            <w:r>
              <w:rPr>
                <w:sz w:val="24"/>
              </w:rPr>
              <w:t>、CO、O</w:t>
            </w:r>
            <w:r>
              <w:rPr>
                <w:sz w:val="24"/>
                <w:vertAlign w:val="subscript"/>
              </w:rPr>
              <w:t>3</w:t>
            </w:r>
            <w:r>
              <w:rPr>
                <w:sz w:val="24"/>
              </w:rPr>
              <w:t>、NO</w:t>
            </w:r>
            <w:r>
              <w:rPr>
                <w:sz w:val="24"/>
                <w:vertAlign w:val="subscript"/>
              </w:rPr>
              <w:t>2</w:t>
            </w:r>
            <w:r>
              <w:rPr>
                <w:sz w:val="24"/>
              </w:rPr>
              <w:t>现状监测统计资料，来说明建设项目拟建地区的环境空气质量现状，结果见</w:t>
            </w:r>
            <w:r>
              <w:rPr>
                <w:rFonts w:hint="eastAsia"/>
                <w:sz w:val="24"/>
              </w:rPr>
              <w:t>下</w:t>
            </w:r>
            <w:r>
              <w:rPr>
                <w:sz w:val="24"/>
              </w:rPr>
              <w:t>表。</w:t>
            </w:r>
          </w:p>
          <w:p>
            <w:pPr>
              <w:pStyle w:val="51"/>
              <w:numPr>
                <w:ilvl w:val="0"/>
                <w:numId w:val="7"/>
              </w:numPr>
              <w:spacing w:line="360" w:lineRule="auto"/>
              <w:ind w:left="0" w:firstLine="0"/>
              <w:rPr>
                <w:rFonts w:eastAsia="宋体"/>
                <w:b/>
              </w:rPr>
            </w:pPr>
            <w:r>
              <w:rPr>
                <w:rFonts w:hint="eastAsia" w:eastAsia="宋体"/>
                <w:b/>
              </w:rPr>
              <w:t>20</w:t>
            </w:r>
            <w:r>
              <w:rPr>
                <w:rFonts w:eastAsia="宋体"/>
                <w:b/>
              </w:rPr>
              <w:t>21</w:t>
            </w:r>
            <w:r>
              <w:rPr>
                <w:rFonts w:hint="eastAsia" w:eastAsia="宋体"/>
                <w:b/>
              </w:rPr>
              <w:t>年宽城满族自治县环境空气质量监测结果</w:t>
            </w:r>
          </w:p>
          <w:tbl>
            <w:tblPr>
              <w:tblStyle w:val="18"/>
              <w:tblW w:w="7904" w:type="dxa"/>
              <w:jc w:val="center"/>
              <w:tblLayout w:type="fixed"/>
              <w:tblCellMar>
                <w:top w:w="0" w:type="dxa"/>
                <w:left w:w="108" w:type="dxa"/>
                <w:bottom w:w="0" w:type="dxa"/>
                <w:right w:w="108" w:type="dxa"/>
              </w:tblCellMar>
            </w:tblPr>
            <w:tblGrid>
              <w:gridCol w:w="1007"/>
              <w:gridCol w:w="1197"/>
              <w:gridCol w:w="755"/>
              <w:gridCol w:w="755"/>
              <w:gridCol w:w="755"/>
              <w:gridCol w:w="755"/>
              <w:gridCol w:w="755"/>
              <w:gridCol w:w="764"/>
              <w:gridCol w:w="1161"/>
            </w:tblGrid>
            <w:tr>
              <w:tblPrEx>
                <w:tblCellMar>
                  <w:top w:w="0" w:type="dxa"/>
                  <w:left w:w="108" w:type="dxa"/>
                  <w:bottom w:w="0" w:type="dxa"/>
                  <w:right w:w="108" w:type="dxa"/>
                </w:tblCellMar>
              </w:tblPrEx>
              <w:trPr>
                <w:cantSplit/>
                <w:trHeight w:val="340" w:hRule="atLeast"/>
                <w:jc w:val="center"/>
              </w:trPr>
              <w:tc>
                <w:tcPr>
                  <w:tcW w:w="1007"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rPr>
                  </w:pPr>
                  <w:r>
                    <w:rPr>
                      <w:b/>
                      <w:bCs/>
                    </w:rPr>
                    <w:t>县区</w:t>
                  </w:r>
                </w:p>
              </w:tc>
              <w:tc>
                <w:tcPr>
                  <w:tcW w:w="1197" w:type="dxa"/>
                  <w:vMerge w:val="restart"/>
                  <w:tcBorders>
                    <w:top w:val="single" w:color="auto" w:sz="4" w:space="0"/>
                    <w:left w:val="nil"/>
                    <w:bottom w:val="single" w:color="auto" w:sz="4" w:space="0"/>
                    <w:right w:val="single" w:color="auto" w:sz="4" w:space="0"/>
                  </w:tcBorders>
                  <w:vAlign w:val="center"/>
                </w:tcPr>
                <w:p>
                  <w:pPr>
                    <w:jc w:val="center"/>
                    <w:rPr>
                      <w:b/>
                      <w:bCs/>
                    </w:rPr>
                  </w:pPr>
                  <w:r>
                    <w:rPr>
                      <w:b/>
                      <w:bCs/>
                    </w:rPr>
                    <w:t>环境空气质量综合指数</w:t>
                  </w:r>
                </w:p>
              </w:tc>
              <w:tc>
                <w:tcPr>
                  <w:tcW w:w="4539" w:type="dxa"/>
                  <w:gridSpan w:val="6"/>
                  <w:tcBorders>
                    <w:top w:val="single" w:color="auto" w:sz="4" w:space="0"/>
                    <w:left w:val="nil"/>
                    <w:bottom w:val="single" w:color="auto" w:sz="4" w:space="0"/>
                    <w:right w:val="single" w:color="auto" w:sz="4" w:space="0"/>
                  </w:tcBorders>
                  <w:vAlign w:val="center"/>
                </w:tcPr>
                <w:p>
                  <w:pPr>
                    <w:jc w:val="center"/>
                    <w:rPr>
                      <w:b/>
                      <w:bCs/>
                    </w:rPr>
                  </w:pPr>
                  <w:r>
                    <w:rPr>
                      <w:b/>
                      <w:bCs/>
                    </w:rPr>
                    <w:t>各污染物浓度</w:t>
                  </w:r>
                </w:p>
              </w:tc>
              <w:tc>
                <w:tcPr>
                  <w:tcW w:w="1161" w:type="dxa"/>
                  <w:vMerge w:val="restart"/>
                  <w:tcBorders>
                    <w:top w:val="single" w:color="auto" w:sz="4" w:space="0"/>
                    <w:left w:val="nil"/>
                    <w:right w:val="single" w:color="auto" w:sz="4" w:space="0"/>
                  </w:tcBorders>
                  <w:vAlign w:val="center"/>
                </w:tcPr>
                <w:p>
                  <w:pPr>
                    <w:jc w:val="center"/>
                    <w:rPr>
                      <w:b/>
                      <w:bCs/>
                    </w:rPr>
                  </w:pPr>
                  <w:r>
                    <w:rPr>
                      <w:b/>
                      <w:bCs/>
                    </w:rPr>
                    <w:t>首要污染物</w:t>
                  </w:r>
                </w:p>
              </w:tc>
            </w:tr>
            <w:tr>
              <w:tblPrEx>
                <w:tblCellMar>
                  <w:top w:w="0" w:type="dxa"/>
                  <w:left w:w="108" w:type="dxa"/>
                  <w:bottom w:w="0" w:type="dxa"/>
                  <w:right w:w="108" w:type="dxa"/>
                </w:tblCellMar>
              </w:tblPrEx>
              <w:trPr>
                <w:cantSplit/>
                <w:trHeight w:val="372"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rPr>
                  </w:pPr>
                </w:p>
              </w:tc>
              <w:tc>
                <w:tcPr>
                  <w:tcW w:w="1197" w:type="dxa"/>
                  <w:vMerge w:val="continue"/>
                  <w:tcBorders>
                    <w:top w:val="single" w:color="auto" w:sz="4" w:space="0"/>
                    <w:left w:val="nil"/>
                    <w:bottom w:val="single" w:color="auto" w:sz="4" w:space="0"/>
                    <w:right w:val="single" w:color="auto" w:sz="4" w:space="0"/>
                  </w:tcBorders>
                  <w:vAlign w:val="center"/>
                </w:tcPr>
                <w:p>
                  <w:pPr>
                    <w:jc w:val="center"/>
                    <w:rPr>
                      <w:b/>
                      <w:bCs/>
                    </w:rPr>
                  </w:pPr>
                </w:p>
              </w:tc>
              <w:tc>
                <w:tcPr>
                  <w:tcW w:w="755" w:type="dxa"/>
                  <w:tcBorders>
                    <w:top w:val="single" w:color="auto" w:sz="4" w:space="0"/>
                    <w:left w:val="nil"/>
                    <w:bottom w:val="single" w:color="auto" w:sz="4" w:space="0"/>
                    <w:right w:val="single" w:color="auto" w:sz="4" w:space="0"/>
                  </w:tcBorders>
                  <w:vAlign w:val="center"/>
                </w:tcPr>
                <w:p>
                  <w:pPr>
                    <w:jc w:val="center"/>
                    <w:rPr>
                      <w:b/>
                      <w:bCs/>
                    </w:rPr>
                  </w:pPr>
                  <w:r>
                    <w:rPr>
                      <w:b/>
                      <w:bCs/>
                    </w:rPr>
                    <w:t>PM</w:t>
                  </w:r>
                  <w:r>
                    <w:rPr>
                      <w:b/>
                      <w:bCs/>
                      <w:vertAlign w:val="subscript"/>
                    </w:rPr>
                    <w:t>2.5</w:t>
                  </w:r>
                </w:p>
              </w:tc>
              <w:tc>
                <w:tcPr>
                  <w:tcW w:w="755" w:type="dxa"/>
                  <w:tcBorders>
                    <w:top w:val="single" w:color="auto" w:sz="4" w:space="0"/>
                    <w:left w:val="nil"/>
                    <w:bottom w:val="single" w:color="auto" w:sz="4" w:space="0"/>
                    <w:right w:val="single" w:color="auto" w:sz="4" w:space="0"/>
                  </w:tcBorders>
                  <w:vAlign w:val="center"/>
                </w:tcPr>
                <w:p>
                  <w:pPr>
                    <w:topLinePunct/>
                    <w:adjustRightInd w:val="0"/>
                    <w:snapToGrid w:val="0"/>
                    <w:jc w:val="center"/>
                    <w:textAlignment w:val="center"/>
                    <w:rPr>
                      <w:b/>
                      <w:bCs/>
                    </w:rPr>
                  </w:pPr>
                  <w:r>
                    <w:rPr>
                      <w:b/>
                      <w:bCs/>
                    </w:rPr>
                    <w:t>PM</w:t>
                  </w:r>
                  <w:r>
                    <w:rPr>
                      <w:b/>
                      <w:bCs/>
                      <w:vertAlign w:val="subscript"/>
                    </w:rPr>
                    <w:t>10</w:t>
                  </w:r>
                </w:p>
              </w:tc>
              <w:tc>
                <w:tcPr>
                  <w:tcW w:w="755" w:type="dxa"/>
                  <w:tcBorders>
                    <w:top w:val="single" w:color="auto" w:sz="4" w:space="0"/>
                    <w:left w:val="nil"/>
                    <w:bottom w:val="single" w:color="auto" w:sz="4" w:space="0"/>
                    <w:right w:val="single" w:color="auto" w:sz="4" w:space="0"/>
                  </w:tcBorders>
                  <w:vAlign w:val="center"/>
                </w:tcPr>
                <w:p>
                  <w:pPr>
                    <w:topLinePunct/>
                    <w:adjustRightInd w:val="0"/>
                    <w:snapToGrid w:val="0"/>
                    <w:jc w:val="center"/>
                    <w:textAlignment w:val="center"/>
                    <w:rPr>
                      <w:b/>
                      <w:bCs/>
                    </w:rPr>
                  </w:pPr>
                  <w:r>
                    <w:rPr>
                      <w:b/>
                      <w:bCs/>
                    </w:rPr>
                    <w:t>SO</w:t>
                  </w:r>
                  <w:r>
                    <w:rPr>
                      <w:b/>
                      <w:bCs/>
                      <w:vertAlign w:val="subscript"/>
                    </w:rPr>
                    <w:t>2</w:t>
                  </w:r>
                </w:p>
              </w:tc>
              <w:tc>
                <w:tcPr>
                  <w:tcW w:w="755" w:type="dxa"/>
                  <w:tcBorders>
                    <w:top w:val="single" w:color="auto" w:sz="4" w:space="0"/>
                    <w:left w:val="nil"/>
                    <w:bottom w:val="single" w:color="auto" w:sz="4" w:space="0"/>
                    <w:right w:val="single" w:color="auto" w:sz="4" w:space="0"/>
                  </w:tcBorders>
                  <w:vAlign w:val="center"/>
                </w:tcPr>
                <w:p>
                  <w:pPr>
                    <w:topLinePunct/>
                    <w:adjustRightInd w:val="0"/>
                    <w:snapToGrid w:val="0"/>
                    <w:jc w:val="center"/>
                    <w:textAlignment w:val="center"/>
                    <w:rPr>
                      <w:b/>
                      <w:bCs/>
                    </w:rPr>
                  </w:pPr>
                  <w:r>
                    <w:rPr>
                      <w:b/>
                      <w:bCs/>
                    </w:rPr>
                    <w:t>CO</w:t>
                  </w:r>
                </w:p>
              </w:tc>
              <w:tc>
                <w:tcPr>
                  <w:tcW w:w="755" w:type="dxa"/>
                  <w:tcBorders>
                    <w:top w:val="single" w:color="auto" w:sz="4" w:space="0"/>
                    <w:left w:val="nil"/>
                    <w:bottom w:val="single" w:color="auto" w:sz="4" w:space="0"/>
                    <w:right w:val="single" w:color="auto" w:sz="4" w:space="0"/>
                  </w:tcBorders>
                  <w:vAlign w:val="center"/>
                </w:tcPr>
                <w:p>
                  <w:pPr>
                    <w:topLinePunct/>
                    <w:adjustRightInd w:val="0"/>
                    <w:snapToGrid w:val="0"/>
                    <w:jc w:val="center"/>
                    <w:textAlignment w:val="center"/>
                    <w:rPr>
                      <w:b/>
                      <w:bCs/>
                    </w:rPr>
                  </w:pPr>
                  <w:r>
                    <w:rPr>
                      <w:b/>
                      <w:bCs/>
                    </w:rPr>
                    <w:t>O</w:t>
                  </w:r>
                  <w:r>
                    <w:rPr>
                      <w:b/>
                      <w:bCs/>
                      <w:vertAlign w:val="subscript"/>
                    </w:rPr>
                    <w:t>3</w:t>
                  </w:r>
                </w:p>
              </w:tc>
              <w:tc>
                <w:tcPr>
                  <w:tcW w:w="764" w:type="dxa"/>
                  <w:tcBorders>
                    <w:top w:val="single" w:color="auto" w:sz="4" w:space="0"/>
                    <w:left w:val="nil"/>
                    <w:bottom w:val="single" w:color="auto" w:sz="4" w:space="0"/>
                    <w:right w:val="single" w:color="auto" w:sz="4" w:space="0"/>
                  </w:tcBorders>
                  <w:vAlign w:val="center"/>
                </w:tcPr>
                <w:p>
                  <w:pPr>
                    <w:topLinePunct/>
                    <w:adjustRightInd w:val="0"/>
                    <w:snapToGrid w:val="0"/>
                    <w:jc w:val="center"/>
                    <w:textAlignment w:val="center"/>
                    <w:rPr>
                      <w:b/>
                      <w:bCs/>
                    </w:rPr>
                  </w:pPr>
                  <w:r>
                    <w:rPr>
                      <w:b/>
                      <w:bCs/>
                    </w:rPr>
                    <w:t>NO</w:t>
                  </w:r>
                  <w:r>
                    <w:rPr>
                      <w:b/>
                      <w:bCs/>
                      <w:vertAlign w:val="subscript"/>
                    </w:rPr>
                    <w:t>2</w:t>
                  </w:r>
                </w:p>
              </w:tc>
              <w:tc>
                <w:tcPr>
                  <w:tcW w:w="1161" w:type="dxa"/>
                  <w:vMerge w:val="continue"/>
                  <w:tcBorders>
                    <w:left w:val="nil"/>
                    <w:bottom w:val="single" w:color="auto" w:sz="4" w:space="0"/>
                    <w:right w:val="single" w:color="auto" w:sz="4" w:space="0"/>
                  </w:tcBorders>
                  <w:vAlign w:val="center"/>
                </w:tcPr>
                <w:p>
                  <w:pPr>
                    <w:topLinePunct/>
                    <w:adjustRightInd w:val="0"/>
                    <w:snapToGrid w:val="0"/>
                    <w:jc w:val="center"/>
                    <w:textAlignment w:val="center"/>
                    <w:rPr>
                      <w:b/>
                      <w:bCs/>
                    </w:rPr>
                  </w:pPr>
                </w:p>
              </w:tc>
            </w:tr>
            <w:tr>
              <w:tblPrEx>
                <w:tblCellMar>
                  <w:top w:w="0" w:type="dxa"/>
                  <w:left w:w="108" w:type="dxa"/>
                  <w:bottom w:w="0" w:type="dxa"/>
                  <w:right w:w="108" w:type="dxa"/>
                </w:tblCellMar>
              </w:tblPrEx>
              <w:trPr>
                <w:cantSplit/>
                <w:trHeight w:val="288" w:hRule="atLeast"/>
                <w:jc w:val="center"/>
              </w:trPr>
              <w:tc>
                <w:tcPr>
                  <w:tcW w:w="1007" w:type="dxa"/>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宽城满族自治县</w:t>
                  </w:r>
                </w:p>
              </w:tc>
              <w:tc>
                <w:tcPr>
                  <w:tcW w:w="1197" w:type="dxa"/>
                  <w:tcBorders>
                    <w:top w:val="single" w:color="auto" w:sz="4" w:space="0"/>
                    <w:left w:val="nil"/>
                    <w:bottom w:val="single" w:color="auto" w:sz="4" w:space="0"/>
                    <w:right w:val="single" w:color="auto" w:sz="4" w:space="0"/>
                  </w:tcBorders>
                  <w:vAlign w:val="center"/>
                </w:tcPr>
                <w:p>
                  <w:pPr>
                    <w:jc w:val="center"/>
                    <w:rPr>
                      <w:bCs/>
                    </w:rPr>
                  </w:pPr>
                  <w:r>
                    <w:rPr>
                      <w:rFonts w:hint="eastAsia"/>
                      <w:bCs/>
                    </w:rPr>
                    <w:t>3.11</w:t>
                  </w:r>
                </w:p>
              </w:tc>
              <w:tc>
                <w:tcPr>
                  <w:tcW w:w="75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bCs/>
                      <w:color w:val="000000" w:themeColor="text1"/>
                      <w14:textFill>
                        <w14:solidFill>
                          <w14:schemeClr w14:val="tx1"/>
                        </w14:solidFill>
                      </w14:textFill>
                    </w:rPr>
                  </w:pPr>
                  <w:r>
                    <w:rPr>
                      <w:szCs w:val="21"/>
                    </w:rPr>
                    <w:t>30</w:t>
                  </w:r>
                </w:p>
              </w:tc>
              <w:tc>
                <w:tcPr>
                  <w:tcW w:w="75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bCs/>
                      <w:color w:val="000000" w:themeColor="text1"/>
                      <w14:textFill>
                        <w14:solidFill>
                          <w14:schemeClr w14:val="tx1"/>
                        </w14:solidFill>
                      </w14:textFill>
                    </w:rPr>
                  </w:pPr>
                  <w:r>
                    <w:rPr>
                      <w:szCs w:val="21"/>
                    </w:rPr>
                    <w:t>55</w:t>
                  </w:r>
                </w:p>
              </w:tc>
              <w:tc>
                <w:tcPr>
                  <w:tcW w:w="75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bCs/>
                      <w:color w:val="000000" w:themeColor="text1"/>
                      <w14:textFill>
                        <w14:solidFill>
                          <w14:schemeClr w14:val="tx1"/>
                        </w14:solidFill>
                      </w14:textFill>
                    </w:rPr>
                  </w:pPr>
                  <w:r>
                    <w:rPr>
                      <w:szCs w:val="21"/>
                    </w:rPr>
                    <w:t>16</w:t>
                  </w:r>
                </w:p>
              </w:tc>
              <w:tc>
                <w:tcPr>
                  <w:tcW w:w="755" w:type="dxa"/>
                  <w:tcBorders>
                    <w:top w:val="single" w:color="auto" w:sz="4" w:space="0"/>
                    <w:left w:val="nil"/>
                    <w:right w:val="single" w:color="auto" w:sz="4" w:space="0"/>
                  </w:tcBorders>
                  <w:vAlign w:val="center"/>
                </w:tcPr>
                <w:p>
                  <w:pPr>
                    <w:widowControl/>
                    <w:adjustRightInd w:val="0"/>
                    <w:snapToGrid w:val="0"/>
                    <w:jc w:val="center"/>
                    <w:rPr>
                      <w:bCs/>
                      <w:color w:val="000000" w:themeColor="text1"/>
                      <w14:textFill>
                        <w14:solidFill>
                          <w14:schemeClr w14:val="tx1"/>
                        </w14:solidFill>
                      </w14:textFill>
                    </w:rPr>
                  </w:pPr>
                  <w:r>
                    <w:rPr>
                      <w:szCs w:val="21"/>
                    </w:rPr>
                    <w:t>1.6</w:t>
                  </w:r>
                </w:p>
              </w:tc>
              <w:tc>
                <w:tcPr>
                  <w:tcW w:w="755" w:type="dxa"/>
                  <w:tcBorders>
                    <w:top w:val="single" w:color="auto" w:sz="4" w:space="0"/>
                    <w:left w:val="nil"/>
                    <w:right w:val="single" w:color="auto" w:sz="4" w:space="0"/>
                  </w:tcBorders>
                  <w:vAlign w:val="center"/>
                </w:tcPr>
                <w:p>
                  <w:pPr>
                    <w:widowControl/>
                    <w:adjustRightInd w:val="0"/>
                    <w:snapToGrid w:val="0"/>
                    <w:jc w:val="center"/>
                    <w:rPr>
                      <w:bCs/>
                      <w:color w:val="000000" w:themeColor="text1"/>
                      <w14:textFill>
                        <w14:solidFill>
                          <w14:schemeClr w14:val="tx1"/>
                        </w14:solidFill>
                      </w14:textFill>
                    </w:rPr>
                  </w:pPr>
                  <w:r>
                    <w:rPr>
                      <w:szCs w:val="21"/>
                    </w:rPr>
                    <w:t>147</w:t>
                  </w:r>
                </w:p>
              </w:tc>
              <w:tc>
                <w:tcPr>
                  <w:tcW w:w="764" w:type="dxa"/>
                  <w:tcBorders>
                    <w:top w:val="single" w:color="auto" w:sz="4" w:space="0"/>
                    <w:left w:val="nil"/>
                    <w:right w:val="single" w:color="auto" w:sz="4" w:space="0"/>
                  </w:tcBorders>
                  <w:vAlign w:val="center"/>
                </w:tcPr>
                <w:p>
                  <w:pPr>
                    <w:widowControl/>
                    <w:adjustRightInd w:val="0"/>
                    <w:snapToGrid w:val="0"/>
                    <w:jc w:val="center"/>
                    <w:rPr>
                      <w:bCs/>
                    </w:rPr>
                  </w:pPr>
                  <w:r>
                    <w:rPr>
                      <w:szCs w:val="21"/>
                    </w:rPr>
                    <w:t>25</w:t>
                  </w:r>
                </w:p>
              </w:tc>
              <w:tc>
                <w:tcPr>
                  <w:tcW w:w="1161" w:type="dxa"/>
                  <w:tcBorders>
                    <w:top w:val="single" w:color="auto" w:sz="4" w:space="0"/>
                    <w:left w:val="nil"/>
                    <w:right w:val="single" w:color="auto" w:sz="4" w:space="0"/>
                  </w:tcBorders>
                  <w:vAlign w:val="center"/>
                </w:tcPr>
                <w:p>
                  <w:pPr>
                    <w:widowControl/>
                    <w:jc w:val="center"/>
                    <w:rPr>
                      <w:b/>
                      <w:bCs/>
                    </w:rPr>
                  </w:pPr>
                  <w:r>
                    <w:rPr>
                      <w:b/>
                      <w:bCs/>
                    </w:rPr>
                    <w:t>O</w:t>
                  </w:r>
                  <w:r>
                    <w:rPr>
                      <w:b/>
                      <w:bCs/>
                      <w:vertAlign w:val="subscript"/>
                    </w:rPr>
                    <w:t>3</w:t>
                  </w:r>
                </w:p>
              </w:tc>
            </w:tr>
            <w:tr>
              <w:tblPrEx>
                <w:tblCellMar>
                  <w:top w:w="0" w:type="dxa"/>
                  <w:left w:w="108" w:type="dxa"/>
                  <w:bottom w:w="0" w:type="dxa"/>
                  <w:right w:w="108" w:type="dxa"/>
                </w:tblCellMar>
              </w:tblPrEx>
              <w:trPr>
                <w:cantSplit/>
                <w:trHeight w:val="315" w:hRule="atLeast"/>
                <w:jc w:val="center"/>
              </w:trPr>
              <w:tc>
                <w:tcPr>
                  <w:tcW w:w="2204" w:type="dxa"/>
                  <w:gridSpan w:val="2"/>
                  <w:tcBorders>
                    <w:top w:val="single" w:color="auto" w:sz="4" w:space="0"/>
                    <w:left w:val="single" w:color="auto" w:sz="4" w:space="0"/>
                    <w:bottom w:val="single" w:color="auto" w:sz="4" w:space="0"/>
                    <w:right w:val="single" w:color="auto" w:sz="4" w:space="0"/>
                  </w:tcBorders>
                  <w:vAlign w:val="center"/>
                </w:tcPr>
                <w:p>
                  <w:pPr>
                    <w:jc w:val="center"/>
                    <w:rPr>
                      <w:bCs/>
                    </w:rPr>
                  </w:pPr>
                  <w:r>
                    <w:rPr>
                      <w:bCs/>
                    </w:rPr>
                    <w:t>年均浓度限值</w:t>
                  </w:r>
                </w:p>
              </w:tc>
              <w:tc>
                <w:tcPr>
                  <w:tcW w:w="755" w:type="dxa"/>
                  <w:tcBorders>
                    <w:top w:val="single" w:color="auto" w:sz="4" w:space="0"/>
                    <w:left w:val="nil"/>
                    <w:bottom w:val="single" w:color="auto" w:sz="4" w:space="0"/>
                    <w:right w:val="single" w:color="auto" w:sz="4" w:space="0"/>
                  </w:tcBorders>
                  <w:vAlign w:val="center"/>
                </w:tcPr>
                <w:p>
                  <w:pPr>
                    <w:jc w:val="center"/>
                    <w:rPr>
                      <w:bCs/>
                    </w:rPr>
                  </w:pPr>
                  <w:r>
                    <w:rPr>
                      <w:bCs/>
                    </w:rPr>
                    <w:t>35</w:t>
                  </w:r>
                </w:p>
              </w:tc>
              <w:tc>
                <w:tcPr>
                  <w:tcW w:w="755" w:type="dxa"/>
                  <w:tcBorders>
                    <w:top w:val="single" w:color="auto" w:sz="4" w:space="0"/>
                    <w:left w:val="nil"/>
                    <w:bottom w:val="single" w:color="auto" w:sz="4" w:space="0"/>
                    <w:right w:val="single" w:color="auto" w:sz="4" w:space="0"/>
                  </w:tcBorders>
                  <w:vAlign w:val="center"/>
                </w:tcPr>
                <w:p>
                  <w:pPr>
                    <w:widowControl/>
                    <w:jc w:val="center"/>
                    <w:rPr>
                      <w:bCs/>
                    </w:rPr>
                  </w:pPr>
                  <w:r>
                    <w:rPr>
                      <w:bCs/>
                    </w:rPr>
                    <w:t>70</w:t>
                  </w:r>
                </w:p>
              </w:tc>
              <w:tc>
                <w:tcPr>
                  <w:tcW w:w="755" w:type="dxa"/>
                  <w:tcBorders>
                    <w:top w:val="single" w:color="auto" w:sz="4" w:space="0"/>
                    <w:left w:val="nil"/>
                    <w:bottom w:val="single" w:color="auto" w:sz="4" w:space="0"/>
                    <w:right w:val="single" w:color="auto" w:sz="4" w:space="0"/>
                  </w:tcBorders>
                  <w:vAlign w:val="center"/>
                </w:tcPr>
                <w:p>
                  <w:pPr>
                    <w:jc w:val="center"/>
                    <w:rPr>
                      <w:bCs/>
                    </w:rPr>
                  </w:pPr>
                  <w:r>
                    <w:rPr>
                      <w:bCs/>
                    </w:rPr>
                    <w:t>60</w:t>
                  </w:r>
                </w:p>
              </w:tc>
              <w:tc>
                <w:tcPr>
                  <w:tcW w:w="755" w:type="dxa"/>
                  <w:tcBorders>
                    <w:top w:val="single" w:color="auto" w:sz="4" w:space="0"/>
                    <w:left w:val="nil"/>
                    <w:bottom w:val="single" w:color="auto" w:sz="4" w:space="0"/>
                    <w:right w:val="single" w:color="auto" w:sz="4" w:space="0"/>
                  </w:tcBorders>
                  <w:vAlign w:val="center"/>
                </w:tcPr>
                <w:p>
                  <w:pPr>
                    <w:jc w:val="center"/>
                    <w:rPr>
                      <w:bCs/>
                    </w:rPr>
                  </w:pPr>
                  <w:r>
                    <w:rPr>
                      <w:bCs/>
                    </w:rPr>
                    <w:t>4</w:t>
                  </w:r>
                </w:p>
              </w:tc>
              <w:tc>
                <w:tcPr>
                  <w:tcW w:w="755" w:type="dxa"/>
                  <w:tcBorders>
                    <w:top w:val="single" w:color="auto" w:sz="4" w:space="0"/>
                    <w:left w:val="nil"/>
                    <w:bottom w:val="single" w:color="auto" w:sz="4" w:space="0"/>
                    <w:right w:val="single" w:color="auto" w:sz="4" w:space="0"/>
                  </w:tcBorders>
                  <w:vAlign w:val="center"/>
                </w:tcPr>
                <w:p>
                  <w:pPr>
                    <w:jc w:val="center"/>
                    <w:rPr>
                      <w:bCs/>
                    </w:rPr>
                  </w:pPr>
                  <w:r>
                    <w:rPr>
                      <w:bCs/>
                    </w:rPr>
                    <w:t>160</w:t>
                  </w:r>
                </w:p>
              </w:tc>
              <w:tc>
                <w:tcPr>
                  <w:tcW w:w="764" w:type="dxa"/>
                  <w:tcBorders>
                    <w:top w:val="single" w:color="auto" w:sz="4" w:space="0"/>
                    <w:left w:val="nil"/>
                    <w:bottom w:val="single" w:color="auto" w:sz="4" w:space="0"/>
                    <w:right w:val="single" w:color="auto" w:sz="4" w:space="0"/>
                  </w:tcBorders>
                  <w:vAlign w:val="center"/>
                </w:tcPr>
                <w:p>
                  <w:pPr>
                    <w:jc w:val="center"/>
                    <w:rPr>
                      <w:bCs/>
                    </w:rPr>
                  </w:pPr>
                  <w:r>
                    <w:rPr>
                      <w:bCs/>
                    </w:rPr>
                    <w:t>40</w:t>
                  </w:r>
                </w:p>
              </w:tc>
              <w:tc>
                <w:tcPr>
                  <w:tcW w:w="1161" w:type="dxa"/>
                  <w:tcBorders>
                    <w:top w:val="single" w:color="auto" w:sz="4" w:space="0"/>
                    <w:left w:val="nil"/>
                    <w:bottom w:val="single" w:color="auto" w:sz="4" w:space="0"/>
                    <w:right w:val="single" w:color="auto" w:sz="4" w:space="0"/>
                  </w:tcBorders>
                  <w:vAlign w:val="center"/>
                </w:tcPr>
                <w:p>
                  <w:pPr>
                    <w:jc w:val="center"/>
                    <w:rPr>
                      <w:bCs/>
                    </w:rPr>
                  </w:pPr>
                  <w:r>
                    <w:rPr>
                      <w:bCs/>
                    </w:rPr>
                    <w:t>/</w:t>
                  </w:r>
                </w:p>
              </w:tc>
            </w:tr>
          </w:tbl>
          <w:p>
            <w:pPr>
              <w:spacing w:line="360" w:lineRule="auto"/>
              <w:ind w:firstLine="361"/>
              <w:rPr>
                <w:b/>
                <w:bCs/>
                <w:sz w:val="18"/>
              </w:rPr>
            </w:pPr>
            <w:r>
              <w:rPr>
                <w:b/>
                <w:bCs/>
                <w:sz w:val="18"/>
              </w:rPr>
              <w:t>注：</w:t>
            </w:r>
            <w:r>
              <w:rPr>
                <w:rFonts w:hint="eastAsia"/>
                <w:b/>
                <w:bCs/>
                <w:sz w:val="18"/>
              </w:rPr>
              <w:t>1.CO的浓度单位是mg/m</w:t>
            </w:r>
            <w:r>
              <w:rPr>
                <w:rFonts w:hint="eastAsia"/>
                <w:b/>
                <w:bCs/>
                <w:sz w:val="18"/>
                <w:vertAlign w:val="superscript"/>
              </w:rPr>
              <w:t>3</w:t>
            </w:r>
            <w:r>
              <w:rPr>
                <w:rFonts w:hint="eastAsia"/>
                <w:b/>
                <w:bCs/>
                <w:sz w:val="18"/>
              </w:rPr>
              <w:t>，PM</w:t>
            </w:r>
            <w:r>
              <w:rPr>
                <w:rFonts w:hint="eastAsia"/>
                <w:b/>
                <w:bCs/>
                <w:sz w:val="18"/>
                <w:vertAlign w:val="subscript"/>
              </w:rPr>
              <w:t>2.5</w:t>
            </w:r>
            <w:r>
              <w:rPr>
                <w:rFonts w:hint="eastAsia"/>
                <w:b/>
                <w:bCs/>
                <w:sz w:val="18"/>
              </w:rPr>
              <w:t>、PM</w:t>
            </w:r>
            <w:r>
              <w:rPr>
                <w:rFonts w:hint="eastAsia"/>
                <w:b/>
                <w:bCs/>
                <w:sz w:val="18"/>
                <w:vertAlign w:val="subscript"/>
              </w:rPr>
              <w:t>10</w:t>
            </w:r>
            <w:r>
              <w:rPr>
                <w:rFonts w:hint="eastAsia"/>
                <w:b/>
                <w:bCs/>
                <w:sz w:val="18"/>
              </w:rPr>
              <w:t>、NO</w:t>
            </w:r>
            <w:r>
              <w:rPr>
                <w:rFonts w:hint="eastAsia"/>
                <w:b/>
                <w:bCs/>
                <w:sz w:val="18"/>
                <w:vertAlign w:val="subscript"/>
              </w:rPr>
              <w:t>2</w:t>
            </w:r>
            <w:r>
              <w:rPr>
                <w:rFonts w:hint="eastAsia"/>
                <w:b/>
                <w:bCs/>
                <w:sz w:val="18"/>
              </w:rPr>
              <w:t>、SO</w:t>
            </w:r>
            <w:r>
              <w:rPr>
                <w:rFonts w:hint="eastAsia"/>
                <w:b/>
                <w:bCs/>
                <w:sz w:val="18"/>
                <w:vertAlign w:val="subscript"/>
              </w:rPr>
              <w:t>2</w:t>
            </w:r>
            <w:r>
              <w:rPr>
                <w:rFonts w:hint="eastAsia"/>
                <w:b/>
                <w:bCs/>
                <w:sz w:val="18"/>
              </w:rPr>
              <w:t>、O</w:t>
            </w:r>
            <w:r>
              <w:rPr>
                <w:rFonts w:hint="eastAsia"/>
                <w:b/>
                <w:bCs/>
                <w:sz w:val="18"/>
                <w:vertAlign w:val="subscript"/>
              </w:rPr>
              <w:t>3</w:t>
            </w:r>
            <w:r>
              <w:rPr>
                <w:rFonts w:hint="eastAsia"/>
                <w:b/>
                <w:bCs/>
                <w:sz w:val="18"/>
              </w:rPr>
              <w:t>的浓度单位是μg/m</w:t>
            </w:r>
            <w:r>
              <w:rPr>
                <w:rFonts w:hint="eastAsia"/>
                <w:b/>
                <w:bCs/>
                <w:sz w:val="18"/>
                <w:vertAlign w:val="superscript"/>
              </w:rPr>
              <w:t>3</w:t>
            </w:r>
            <w:r>
              <w:rPr>
                <w:rFonts w:hint="eastAsia"/>
                <w:b/>
                <w:bCs/>
                <w:sz w:val="18"/>
              </w:rPr>
              <w:t>；2.CO</w:t>
            </w:r>
            <w:r>
              <w:rPr>
                <w:b/>
                <w:bCs/>
                <w:sz w:val="18"/>
              </w:rPr>
              <w:t>为24小时平均第</w:t>
            </w:r>
            <w:r>
              <w:rPr>
                <w:rFonts w:hint="eastAsia"/>
                <w:b/>
                <w:bCs/>
                <w:sz w:val="18"/>
              </w:rPr>
              <w:t>95百分位数，</w:t>
            </w:r>
            <w:r>
              <w:rPr>
                <w:b/>
                <w:bCs/>
                <w:sz w:val="18"/>
              </w:rPr>
              <w:t>O</w:t>
            </w:r>
            <w:r>
              <w:rPr>
                <w:b/>
                <w:bCs/>
                <w:sz w:val="18"/>
                <w:vertAlign w:val="subscript"/>
              </w:rPr>
              <w:t>3</w:t>
            </w:r>
            <w:r>
              <w:rPr>
                <w:b/>
                <w:bCs/>
                <w:sz w:val="18"/>
              </w:rPr>
              <w:t>为日最大8小时平均</w:t>
            </w:r>
            <w:r>
              <w:rPr>
                <w:rFonts w:hint="eastAsia"/>
                <w:b/>
                <w:bCs/>
                <w:sz w:val="18"/>
              </w:rPr>
              <w:t>第90百分位数。</w:t>
            </w:r>
          </w:p>
          <w:p>
            <w:pPr>
              <w:pStyle w:val="51"/>
              <w:numPr>
                <w:ilvl w:val="0"/>
                <w:numId w:val="7"/>
              </w:numPr>
              <w:spacing w:line="360" w:lineRule="auto"/>
              <w:ind w:left="0" w:firstLine="0"/>
              <w:rPr>
                <w:rFonts w:eastAsia="宋体"/>
                <w:b/>
              </w:rPr>
            </w:pPr>
            <w:r>
              <w:rPr>
                <w:rFonts w:eastAsia="宋体"/>
                <w:b/>
              </w:rPr>
              <w:t>区域环境空气质量现状评价表（</w:t>
            </w:r>
            <w:r>
              <w:rPr>
                <w:rFonts w:hint="eastAsia" w:eastAsia="宋体"/>
                <w:b/>
              </w:rPr>
              <w:t>丰宁</w:t>
            </w:r>
            <w:r>
              <w:rPr>
                <w:rFonts w:eastAsia="宋体"/>
                <w:b/>
              </w:rPr>
              <w:t>县）</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642"/>
              <w:gridCol w:w="876"/>
              <w:gridCol w:w="876"/>
              <w:gridCol w:w="876"/>
              <w:gridCol w:w="876"/>
              <w:gridCol w:w="876"/>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2" w:type="pct"/>
                  <w:vAlign w:val="center"/>
                </w:tcPr>
                <w:p>
                  <w:pPr>
                    <w:jc w:val="center"/>
                    <w:rPr>
                      <w:b/>
                      <w:bCs/>
                      <w:szCs w:val="21"/>
                    </w:rPr>
                  </w:pPr>
                  <w:r>
                    <w:rPr>
                      <w:b/>
                      <w:bCs/>
                      <w:szCs w:val="21"/>
                    </w:rPr>
                    <w:t>年份</w:t>
                  </w:r>
                </w:p>
              </w:tc>
              <w:tc>
                <w:tcPr>
                  <w:tcW w:w="1015" w:type="pct"/>
                  <w:vAlign w:val="center"/>
                </w:tcPr>
                <w:p>
                  <w:pPr>
                    <w:jc w:val="center"/>
                    <w:rPr>
                      <w:b/>
                      <w:bCs/>
                      <w:szCs w:val="21"/>
                    </w:rPr>
                  </w:pPr>
                  <w:r>
                    <w:rPr>
                      <w:b/>
                      <w:bCs/>
                      <w:szCs w:val="21"/>
                    </w:rPr>
                    <w:t>环境空气质量综合指数</w:t>
                  </w:r>
                </w:p>
              </w:tc>
              <w:tc>
                <w:tcPr>
                  <w:tcW w:w="541" w:type="pct"/>
                  <w:vAlign w:val="center"/>
                </w:tcPr>
                <w:p>
                  <w:pPr>
                    <w:widowControl/>
                    <w:jc w:val="center"/>
                    <w:textAlignment w:val="center"/>
                    <w:rPr>
                      <w:b/>
                      <w:bCs/>
                      <w:szCs w:val="21"/>
                    </w:rPr>
                  </w:pPr>
                  <w:r>
                    <w:rPr>
                      <w:b/>
                      <w:color w:val="000000"/>
                      <w:kern w:val="0"/>
                      <w:szCs w:val="21"/>
                      <w:lang w:bidi="ar"/>
                    </w:rPr>
                    <w:t>PM</w:t>
                  </w:r>
                  <w:r>
                    <w:rPr>
                      <w:rStyle w:val="47"/>
                      <w:rFonts w:hint="default" w:ascii="Times New Roman" w:hAnsi="Times New Roman" w:cs="Times New Roman"/>
                      <w:sz w:val="21"/>
                      <w:szCs w:val="21"/>
                      <w:vertAlign w:val="subscript"/>
                      <w:lang w:bidi="ar"/>
                    </w:rPr>
                    <w:t>10</w:t>
                  </w:r>
                </w:p>
              </w:tc>
              <w:tc>
                <w:tcPr>
                  <w:tcW w:w="541" w:type="pct"/>
                  <w:vAlign w:val="center"/>
                </w:tcPr>
                <w:p>
                  <w:pPr>
                    <w:widowControl/>
                    <w:jc w:val="center"/>
                    <w:textAlignment w:val="center"/>
                    <w:rPr>
                      <w:b/>
                      <w:bCs/>
                      <w:szCs w:val="21"/>
                    </w:rPr>
                  </w:pPr>
                  <w:r>
                    <w:rPr>
                      <w:b/>
                      <w:color w:val="000000"/>
                      <w:kern w:val="0"/>
                      <w:szCs w:val="21"/>
                      <w:lang w:bidi="ar"/>
                    </w:rPr>
                    <w:t>PM</w:t>
                  </w:r>
                  <w:r>
                    <w:rPr>
                      <w:rStyle w:val="47"/>
                      <w:rFonts w:hint="default" w:ascii="Times New Roman" w:hAnsi="Times New Roman" w:cs="Times New Roman"/>
                      <w:sz w:val="21"/>
                      <w:szCs w:val="21"/>
                      <w:vertAlign w:val="subscript"/>
                      <w:lang w:bidi="ar"/>
                    </w:rPr>
                    <w:t>2.5</w:t>
                  </w:r>
                </w:p>
              </w:tc>
              <w:tc>
                <w:tcPr>
                  <w:tcW w:w="541" w:type="pct"/>
                  <w:vAlign w:val="center"/>
                </w:tcPr>
                <w:p>
                  <w:pPr>
                    <w:widowControl/>
                    <w:jc w:val="center"/>
                    <w:textAlignment w:val="center"/>
                    <w:rPr>
                      <w:b/>
                      <w:bCs/>
                      <w:szCs w:val="21"/>
                    </w:rPr>
                  </w:pPr>
                  <w:r>
                    <w:rPr>
                      <w:b/>
                      <w:color w:val="000000"/>
                      <w:kern w:val="0"/>
                      <w:szCs w:val="21"/>
                      <w:lang w:bidi="ar"/>
                    </w:rPr>
                    <w:t>SO</w:t>
                  </w:r>
                  <w:r>
                    <w:rPr>
                      <w:rStyle w:val="47"/>
                      <w:rFonts w:hint="default" w:ascii="Times New Roman" w:hAnsi="Times New Roman" w:cs="Times New Roman"/>
                      <w:sz w:val="21"/>
                      <w:szCs w:val="21"/>
                      <w:vertAlign w:val="subscript"/>
                      <w:lang w:bidi="ar"/>
                    </w:rPr>
                    <w:t>2</w:t>
                  </w:r>
                </w:p>
              </w:tc>
              <w:tc>
                <w:tcPr>
                  <w:tcW w:w="541" w:type="pct"/>
                  <w:vAlign w:val="center"/>
                </w:tcPr>
                <w:p>
                  <w:pPr>
                    <w:widowControl/>
                    <w:jc w:val="center"/>
                    <w:textAlignment w:val="center"/>
                    <w:rPr>
                      <w:b/>
                      <w:bCs/>
                      <w:szCs w:val="21"/>
                    </w:rPr>
                  </w:pPr>
                  <w:r>
                    <w:rPr>
                      <w:b/>
                      <w:color w:val="000000"/>
                      <w:kern w:val="0"/>
                      <w:szCs w:val="21"/>
                      <w:lang w:bidi="ar"/>
                    </w:rPr>
                    <w:t>CO</w:t>
                  </w:r>
                </w:p>
              </w:tc>
              <w:tc>
                <w:tcPr>
                  <w:tcW w:w="541" w:type="pct"/>
                  <w:vAlign w:val="center"/>
                </w:tcPr>
                <w:p>
                  <w:pPr>
                    <w:widowControl/>
                    <w:jc w:val="center"/>
                    <w:textAlignment w:val="center"/>
                    <w:rPr>
                      <w:b/>
                      <w:bCs/>
                      <w:szCs w:val="21"/>
                    </w:rPr>
                  </w:pPr>
                  <w:r>
                    <w:rPr>
                      <w:b/>
                      <w:color w:val="000000"/>
                      <w:kern w:val="0"/>
                      <w:szCs w:val="21"/>
                      <w:lang w:bidi="ar"/>
                    </w:rPr>
                    <w:t>O</w:t>
                  </w:r>
                  <w:r>
                    <w:rPr>
                      <w:rStyle w:val="47"/>
                      <w:rFonts w:hint="default" w:ascii="Times New Roman" w:hAnsi="Times New Roman" w:cs="Times New Roman"/>
                      <w:sz w:val="21"/>
                      <w:szCs w:val="21"/>
                      <w:vertAlign w:val="subscript"/>
                      <w:lang w:bidi="ar"/>
                    </w:rPr>
                    <w:t>3</w:t>
                  </w:r>
                </w:p>
              </w:tc>
              <w:tc>
                <w:tcPr>
                  <w:tcW w:w="541" w:type="pct"/>
                  <w:vAlign w:val="center"/>
                </w:tcPr>
                <w:p>
                  <w:pPr>
                    <w:widowControl/>
                    <w:jc w:val="center"/>
                    <w:textAlignment w:val="center"/>
                    <w:rPr>
                      <w:b/>
                      <w:bCs/>
                      <w:szCs w:val="21"/>
                    </w:rPr>
                  </w:pPr>
                  <w:r>
                    <w:rPr>
                      <w:b/>
                      <w:color w:val="000000"/>
                      <w:kern w:val="0"/>
                      <w:szCs w:val="21"/>
                      <w:lang w:bidi="ar"/>
                    </w:rPr>
                    <w:t>NO</w:t>
                  </w:r>
                  <w:r>
                    <w:rPr>
                      <w:rStyle w:val="47"/>
                      <w:rFonts w:hint="default" w:ascii="Times New Roman" w:hAnsi="Times New Roman" w:cs="Times New Roman"/>
                      <w:sz w:val="21"/>
                      <w:szCs w:val="21"/>
                      <w:vertAlign w:val="subscrip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pct"/>
                  <w:vMerge w:val="restart"/>
                  <w:vAlign w:val="center"/>
                </w:tcPr>
                <w:p>
                  <w:pPr>
                    <w:jc w:val="center"/>
                    <w:rPr>
                      <w:szCs w:val="21"/>
                    </w:rPr>
                  </w:pPr>
                  <w:r>
                    <w:rPr>
                      <w:rFonts w:hint="eastAsia"/>
                      <w:szCs w:val="21"/>
                    </w:rPr>
                    <w:t>2021</w:t>
                  </w:r>
                </w:p>
              </w:tc>
              <w:tc>
                <w:tcPr>
                  <w:tcW w:w="1015" w:type="pct"/>
                  <w:vAlign w:val="center"/>
                </w:tcPr>
                <w:p>
                  <w:pPr>
                    <w:jc w:val="center"/>
                    <w:rPr>
                      <w:rFonts w:eastAsiaTheme="minorEastAsia"/>
                      <w:kern w:val="0"/>
                      <w:szCs w:val="21"/>
                    </w:rPr>
                  </w:pPr>
                  <w:r>
                    <w:rPr>
                      <w:color w:val="000000"/>
                      <w:kern w:val="0"/>
                      <w:szCs w:val="21"/>
                    </w:rPr>
                    <w:t>现状浓度/（µg/m</w:t>
                  </w:r>
                  <w:r>
                    <w:rPr>
                      <w:color w:val="000000"/>
                      <w:kern w:val="0"/>
                      <w:szCs w:val="21"/>
                      <w:vertAlign w:val="superscript"/>
                    </w:rPr>
                    <w:t>3</w:t>
                  </w:r>
                  <w:r>
                    <w:rPr>
                      <w:color w:val="000000"/>
                      <w:kern w:val="0"/>
                      <w:szCs w:val="21"/>
                    </w:rPr>
                    <w:t>）</w:t>
                  </w:r>
                </w:p>
              </w:tc>
              <w:tc>
                <w:tcPr>
                  <w:tcW w:w="862" w:type="dxa"/>
                  <w:vAlign w:val="center"/>
                </w:tcPr>
                <w:p>
                  <w:pPr>
                    <w:widowControl/>
                    <w:adjustRightInd w:val="0"/>
                    <w:snapToGrid w:val="0"/>
                    <w:jc w:val="center"/>
                    <w:rPr>
                      <w:kern w:val="0"/>
                      <w:szCs w:val="21"/>
                    </w:rPr>
                  </w:pPr>
                  <w:r>
                    <w:rPr>
                      <w:rFonts w:hint="eastAsia"/>
                      <w:szCs w:val="21"/>
                    </w:rPr>
                    <w:t>55</w:t>
                  </w:r>
                </w:p>
              </w:tc>
              <w:tc>
                <w:tcPr>
                  <w:tcW w:w="862" w:type="dxa"/>
                  <w:vAlign w:val="center"/>
                </w:tcPr>
                <w:p>
                  <w:pPr>
                    <w:widowControl/>
                    <w:adjustRightInd w:val="0"/>
                    <w:snapToGrid w:val="0"/>
                    <w:jc w:val="center"/>
                    <w:rPr>
                      <w:kern w:val="0"/>
                      <w:szCs w:val="21"/>
                    </w:rPr>
                  </w:pPr>
                  <w:r>
                    <w:rPr>
                      <w:rFonts w:hint="eastAsia"/>
                      <w:szCs w:val="21"/>
                    </w:rPr>
                    <w:t>30</w:t>
                  </w:r>
                </w:p>
              </w:tc>
              <w:tc>
                <w:tcPr>
                  <w:tcW w:w="862" w:type="dxa"/>
                  <w:vAlign w:val="center"/>
                </w:tcPr>
                <w:p>
                  <w:pPr>
                    <w:widowControl/>
                    <w:adjustRightInd w:val="0"/>
                    <w:snapToGrid w:val="0"/>
                    <w:jc w:val="center"/>
                    <w:rPr>
                      <w:kern w:val="0"/>
                      <w:szCs w:val="21"/>
                    </w:rPr>
                  </w:pPr>
                  <w:r>
                    <w:rPr>
                      <w:szCs w:val="21"/>
                    </w:rPr>
                    <w:t>16</w:t>
                  </w:r>
                </w:p>
              </w:tc>
              <w:tc>
                <w:tcPr>
                  <w:tcW w:w="862" w:type="dxa"/>
                  <w:vAlign w:val="center"/>
                </w:tcPr>
                <w:p>
                  <w:pPr>
                    <w:widowControl/>
                    <w:adjustRightInd w:val="0"/>
                    <w:snapToGrid w:val="0"/>
                    <w:jc w:val="center"/>
                    <w:rPr>
                      <w:kern w:val="0"/>
                      <w:szCs w:val="21"/>
                    </w:rPr>
                  </w:pPr>
                  <w:r>
                    <w:rPr>
                      <w:szCs w:val="21"/>
                    </w:rPr>
                    <w:t>1.6</w:t>
                  </w:r>
                </w:p>
              </w:tc>
              <w:tc>
                <w:tcPr>
                  <w:tcW w:w="862" w:type="dxa"/>
                  <w:vAlign w:val="center"/>
                </w:tcPr>
                <w:p>
                  <w:pPr>
                    <w:widowControl/>
                    <w:adjustRightInd w:val="0"/>
                    <w:snapToGrid w:val="0"/>
                    <w:jc w:val="center"/>
                    <w:rPr>
                      <w:kern w:val="0"/>
                      <w:szCs w:val="21"/>
                    </w:rPr>
                  </w:pPr>
                  <w:r>
                    <w:rPr>
                      <w:szCs w:val="21"/>
                    </w:rPr>
                    <w:t>147</w:t>
                  </w:r>
                </w:p>
              </w:tc>
              <w:tc>
                <w:tcPr>
                  <w:tcW w:w="863" w:type="dxa"/>
                  <w:vAlign w:val="center"/>
                </w:tcPr>
                <w:p>
                  <w:pPr>
                    <w:widowControl/>
                    <w:adjustRightInd w:val="0"/>
                    <w:snapToGrid w:val="0"/>
                    <w:jc w:val="center"/>
                    <w:rPr>
                      <w:kern w:val="0"/>
                      <w:szCs w:val="21"/>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pct"/>
                  <w:vMerge w:val="continue"/>
                  <w:vAlign w:val="center"/>
                </w:tcPr>
                <w:p>
                  <w:pPr>
                    <w:jc w:val="center"/>
                    <w:rPr>
                      <w:szCs w:val="21"/>
                    </w:rPr>
                  </w:pPr>
                </w:p>
              </w:tc>
              <w:tc>
                <w:tcPr>
                  <w:tcW w:w="1015" w:type="pct"/>
                  <w:vAlign w:val="center"/>
                </w:tcPr>
                <w:p>
                  <w:pPr>
                    <w:widowControl/>
                    <w:jc w:val="center"/>
                    <w:rPr>
                      <w:rFonts w:eastAsiaTheme="minorEastAsia"/>
                      <w:szCs w:val="21"/>
                    </w:rPr>
                  </w:pPr>
                  <w:r>
                    <w:rPr>
                      <w:color w:val="000000"/>
                      <w:kern w:val="0"/>
                      <w:szCs w:val="21"/>
                    </w:rPr>
                    <w:t>标准值/（µg/m</w:t>
                  </w:r>
                  <w:r>
                    <w:rPr>
                      <w:color w:val="000000"/>
                      <w:kern w:val="0"/>
                      <w:szCs w:val="21"/>
                      <w:vertAlign w:val="superscript"/>
                    </w:rPr>
                    <w:t>3</w:t>
                  </w:r>
                  <w:r>
                    <w:rPr>
                      <w:color w:val="000000"/>
                      <w:kern w:val="0"/>
                      <w:szCs w:val="21"/>
                    </w:rPr>
                    <w:t>）</w:t>
                  </w:r>
                </w:p>
              </w:tc>
              <w:tc>
                <w:tcPr>
                  <w:tcW w:w="541" w:type="pct"/>
                  <w:vAlign w:val="center"/>
                </w:tcPr>
                <w:p>
                  <w:pPr>
                    <w:widowControl/>
                    <w:jc w:val="center"/>
                    <w:textAlignment w:val="center"/>
                    <w:rPr>
                      <w:kern w:val="0"/>
                      <w:szCs w:val="21"/>
                    </w:rPr>
                  </w:pPr>
                  <w:r>
                    <w:rPr>
                      <w:color w:val="000000"/>
                      <w:kern w:val="0"/>
                      <w:szCs w:val="21"/>
                      <w:lang w:bidi="ar"/>
                    </w:rPr>
                    <w:t>70</w:t>
                  </w:r>
                </w:p>
              </w:tc>
              <w:tc>
                <w:tcPr>
                  <w:tcW w:w="541" w:type="pct"/>
                  <w:vAlign w:val="center"/>
                </w:tcPr>
                <w:p>
                  <w:pPr>
                    <w:widowControl/>
                    <w:jc w:val="center"/>
                    <w:textAlignment w:val="center"/>
                    <w:rPr>
                      <w:kern w:val="0"/>
                      <w:szCs w:val="21"/>
                    </w:rPr>
                  </w:pPr>
                  <w:r>
                    <w:rPr>
                      <w:color w:val="000000"/>
                      <w:kern w:val="0"/>
                      <w:szCs w:val="21"/>
                      <w:lang w:bidi="ar"/>
                    </w:rPr>
                    <w:t>35</w:t>
                  </w:r>
                </w:p>
              </w:tc>
              <w:tc>
                <w:tcPr>
                  <w:tcW w:w="541" w:type="pct"/>
                  <w:vAlign w:val="center"/>
                </w:tcPr>
                <w:p>
                  <w:pPr>
                    <w:widowControl/>
                    <w:jc w:val="center"/>
                    <w:textAlignment w:val="center"/>
                    <w:rPr>
                      <w:kern w:val="0"/>
                      <w:szCs w:val="21"/>
                    </w:rPr>
                  </w:pPr>
                  <w:r>
                    <w:rPr>
                      <w:color w:val="000000"/>
                      <w:kern w:val="0"/>
                      <w:szCs w:val="21"/>
                      <w:lang w:bidi="ar"/>
                    </w:rPr>
                    <w:t>60</w:t>
                  </w:r>
                </w:p>
              </w:tc>
              <w:tc>
                <w:tcPr>
                  <w:tcW w:w="541" w:type="pct"/>
                  <w:vAlign w:val="center"/>
                </w:tcPr>
                <w:p>
                  <w:pPr>
                    <w:widowControl/>
                    <w:jc w:val="center"/>
                    <w:textAlignment w:val="center"/>
                    <w:rPr>
                      <w:kern w:val="0"/>
                      <w:szCs w:val="21"/>
                    </w:rPr>
                  </w:pPr>
                  <w:r>
                    <w:rPr>
                      <w:color w:val="000000"/>
                      <w:kern w:val="0"/>
                      <w:szCs w:val="21"/>
                      <w:lang w:bidi="ar"/>
                    </w:rPr>
                    <w:t>4</w:t>
                  </w:r>
                </w:p>
              </w:tc>
              <w:tc>
                <w:tcPr>
                  <w:tcW w:w="541" w:type="pct"/>
                  <w:vAlign w:val="center"/>
                </w:tcPr>
                <w:p>
                  <w:pPr>
                    <w:widowControl/>
                    <w:jc w:val="center"/>
                    <w:textAlignment w:val="center"/>
                    <w:rPr>
                      <w:kern w:val="0"/>
                      <w:szCs w:val="21"/>
                    </w:rPr>
                  </w:pPr>
                  <w:r>
                    <w:rPr>
                      <w:color w:val="000000"/>
                      <w:kern w:val="0"/>
                      <w:szCs w:val="21"/>
                      <w:lang w:bidi="ar"/>
                    </w:rPr>
                    <w:t>160</w:t>
                  </w:r>
                </w:p>
              </w:tc>
              <w:tc>
                <w:tcPr>
                  <w:tcW w:w="541" w:type="pct"/>
                  <w:vAlign w:val="center"/>
                </w:tcPr>
                <w:p>
                  <w:pPr>
                    <w:widowControl/>
                    <w:jc w:val="center"/>
                    <w:textAlignment w:val="center"/>
                    <w:rPr>
                      <w:kern w:val="0"/>
                      <w:szCs w:val="21"/>
                    </w:rPr>
                  </w:pPr>
                  <w:r>
                    <w:rPr>
                      <w:color w:val="000000"/>
                      <w:kern w:val="0"/>
                      <w:szCs w:val="21"/>
                      <w:lang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pct"/>
                  <w:vMerge w:val="continue"/>
                  <w:vAlign w:val="center"/>
                </w:tcPr>
                <w:p>
                  <w:pPr>
                    <w:jc w:val="center"/>
                    <w:rPr>
                      <w:rFonts w:eastAsiaTheme="minorEastAsia"/>
                      <w:szCs w:val="21"/>
                    </w:rPr>
                  </w:pPr>
                </w:p>
              </w:tc>
              <w:tc>
                <w:tcPr>
                  <w:tcW w:w="1015" w:type="pct"/>
                  <w:vAlign w:val="center"/>
                </w:tcPr>
                <w:p>
                  <w:pPr>
                    <w:jc w:val="center"/>
                    <w:rPr>
                      <w:rFonts w:eastAsiaTheme="minorEastAsia"/>
                      <w:kern w:val="0"/>
                      <w:szCs w:val="21"/>
                    </w:rPr>
                  </w:pPr>
                  <w:r>
                    <w:rPr>
                      <w:kern w:val="0"/>
                      <w:szCs w:val="21"/>
                    </w:rPr>
                    <w:t>占标率</w:t>
                  </w:r>
                </w:p>
              </w:tc>
              <w:tc>
                <w:tcPr>
                  <w:tcW w:w="862" w:type="dxa"/>
                  <w:vAlign w:val="center"/>
                </w:tcPr>
                <w:p>
                  <w:pPr>
                    <w:widowControl/>
                    <w:adjustRightInd w:val="0"/>
                    <w:snapToGrid w:val="0"/>
                    <w:jc w:val="center"/>
                    <w:rPr>
                      <w:szCs w:val="21"/>
                    </w:rPr>
                  </w:pPr>
                  <w:r>
                    <w:rPr>
                      <w:rFonts w:hint="eastAsia"/>
                      <w:szCs w:val="21"/>
                    </w:rPr>
                    <w:t>78.57</w:t>
                  </w:r>
                </w:p>
              </w:tc>
              <w:tc>
                <w:tcPr>
                  <w:tcW w:w="862" w:type="dxa"/>
                  <w:vAlign w:val="center"/>
                </w:tcPr>
                <w:p>
                  <w:pPr>
                    <w:widowControl/>
                    <w:adjustRightInd w:val="0"/>
                    <w:snapToGrid w:val="0"/>
                    <w:jc w:val="center"/>
                    <w:rPr>
                      <w:szCs w:val="21"/>
                    </w:rPr>
                  </w:pPr>
                  <w:r>
                    <w:rPr>
                      <w:rFonts w:hint="eastAsia"/>
                      <w:szCs w:val="21"/>
                    </w:rPr>
                    <w:t>85.71</w:t>
                  </w:r>
                </w:p>
              </w:tc>
              <w:tc>
                <w:tcPr>
                  <w:tcW w:w="862" w:type="dxa"/>
                  <w:vAlign w:val="center"/>
                </w:tcPr>
                <w:p>
                  <w:pPr>
                    <w:widowControl/>
                    <w:adjustRightInd w:val="0"/>
                    <w:snapToGrid w:val="0"/>
                    <w:jc w:val="center"/>
                    <w:rPr>
                      <w:szCs w:val="21"/>
                    </w:rPr>
                  </w:pPr>
                  <w:r>
                    <w:rPr>
                      <w:rFonts w:hint="eastAsia"/>
                      <w:szCs w:val="21"/>
                    </w:rPr>
                    <w:t>26.66</w:t>
                  </w:r>
                </w:p>
              </w:tc>
              <w:tc>
                <w:tcPr>
                  <w:tcW w:w="862" w:type="dxa"/>
                  <w:vAlign w:val="center"/>
                </w:tcPr>
                <w:p>
                  <w:pPr>
                    <w:widowControl/>
                    <w:adjustRightInd w:val="0"/>
                    <w:snapToGrid w:val="0"/>
                    <w:jc w:val="center"/>
                    <w:rPr>
                      <w:szCs w:val="21"/>
                    </w:rPr>
                  </w:pPr>
                  <w:r>
                    <w:rPr>
                      <w:rFonts w:hint="eastAsia"/>
                      <w:szCs w:val="21"/>
                    </w:rPr>
                    <w:t>40</w:t>
                  </w:r>
                </w:p>
              </w:tc>
              <w:tc>
                <w:tcPr>
                  <w:tcW w:w="862" w:type="dxa"/>
                  <w:vAlign w:val="center"/>
                </w:tcPr>
                <w:p>
                  <w:pPr>
                    <w:widowControl/>
                    <w:adjustRightInd w:val="0"/>
                    <w:snapToGrid w:val="0"/>
                    <w:jc w:val="center"/>
                    <w:rPr>
                      <w:szCs w:val="21"/>
                    </w:rPr>
                  </w:pPr>
                  <w:r>
                    <w:rPr>
                      <w:rFonts w:hint="eastAsia"/>
                      <w:szCs w:val="21"/>
                    </w:rPr>
                    <w:t>91.87</w:t>
                  </w:r>
                </w:p>
              </w:tc>
              <w:tc>
                <w:tcPr>
                  <w:tcW w:w="863" w:type="dxa"/>
                  <w:vAlign w:val="center"/>
                </w:tcPr>
                <w:p>
                  <w:pPr>
                    <w:widowControl/>
                    <w:adjustRightInd w:val="0"/>
                    <w:snapToGrid w:val="0"/>
                    <w:jc w:val="center"/>
                    <w:rPr>
                      <w:szCs w:val="21"/>
                    </w:rPr>
                  </w:pPr>
                  <w:r>
                    <w:rPr>
                      <w:rFonts w:hint="eastAsia"/>
                      <w:szCs w:val="21"/>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pct"/>
                  <w:vMerge w:val="continue"/>
                  <w:vAlign w:val="center"/>
                </w:tcPr>
                <w:p>
                  <w:pPr>
                    <w:jc w:val="center"/>
                    <w:rPr>
                      <w:szCs w:val="21"/>
                    </w:rPr>
                  </w:pPr>
                </w:p>
              </w:tc>
              <w:tc>
                <w:tcPr>
                  <w:tcW w:w="1015" w:type="pct"/>
                  <w:vAlign w:val="center"/>
                </w:tcPr>
                <w:p>
                  <w:pPr>
                    <w:widowControl/>
                    <w:jc w:val="center"/>
                    <w:rPr>
                      <w:rFonts w:eastAsiaTheme="minorEastAsia"/>
                      <w:szCs w:val="21"/>
                    </w:rPr>
                  </w:pPr>
                  <w:r>
                    <w:rPr>
                      <w:szCs w:val="21"/>
                    </w:rPr>
                    <w:t>达标情况</w:t>
                  </w:r>
                </w:p>
              </w:tc>
              <w:tc>
                <w:tcPr>
                  <w:tcW w:w="541" w:type="pct"/>
                  <w:vAlign w:val="center"/>
                </w:tcPr>
                <w:p>
                  <w:pPr>
                    <w:widowControl/>
                    <w:jc w:val="center"/>
                    <w:textAlignment w:val="center"/>
                    <w:rPr>
                      <w:kern w:val="0"/>
                      <w:szCs w:val="21"/>
                    </w:rPr>
                  </w:pPr>
                  <w:r>
                    <w:rPr>
                      <w:color w:val="000000"/>
                      <w:kern w:val="0"/>
                      <w:szCs w:val="21"/>
                      <w:lang w:bidi="ar"/>
                    </w:rPr>
                    <w:t>达标</w:t>
                  </w:r>
                </w:p>
              </w:tc>
              <w:tc>
                <w:tcPr>
                  <w:tcW w:w="541" w:type="pct"/>
                  <w:vAlign w:val="center"/>
                </w:tcPr>
                <w:p>
                  <w:pPr>
                    <w:widowControl/>
                    <w:jc w:val="center"/>
                    <w:textAlignment w:val="center"/>
                    <w:rPr>
                      <w:kern w:val="0"/>
                      <w:szCs w:val="21"/>
                    </w:rPr>
                  </w:pPr>
                  <w:r>
                    <w:rPr>
                      <w:color w:val="000000"/>
                      <w:kern w:val="0"/>
                      <w:szCs w:val="21"/>
                      <w:lang w:bidi="ar"/>
                    </w:rPr>
                    <w:t>达标</w:t>
                  </w:r>
                </w:p>
              </w:tc>
              <w:tc>
                <w:tcPr>
                  <w:tcW w:w="541" w:type="pct"/>
                  <w:vAlign w:val="center"/>
                </w:tcPr>
                <w:p>
                  <w:pPr>
                    <w:widowControl/>
                    <w:jc w:val="center"/>
                    <w:textAlignment w:val="center"/>
                    <w:rPr>
                      <w:kern w:val="0"/>
                      <w:szCs w:val="21"/>
                    </w:rPr>
                  </w:pPr>
                  <w:r>
                    <w:rPr>
                      <w:color w:val="000000"/>
                      <w:kern w:val="0"/>
                      <w:szCs w:val="21"/>
                      <w:lang w:bidi="ar"/>
                    </w:rPr>
                    <w:t>达标</w:t>
                  </w:r>
                </w:p>
              </w:tc>
              <w:tc>
                <w:tcPr>
                  <w:tcW w:w="541" w:type="pct"/>
                  <w:vAlign w:val="center"/>
                </w:tcPr>
                <w:p>
                  <w:pPr>
                    <w:widowControl/>
                    <w:jc w:val="center"/>
                    <w:textAlignment w:val="center"/>
                    <w:rPr>
                      <w:kern w:val="0"/>
                      <w:szCs w:val="21"/>
                    </w:rPr>
                  </w:pPr>
                  <w:r>
                    <w:rPr>
                      <w:color w:val="000000"/>
                      <w:kern w:val="0"/>
                      <w:szCs w:val="21"/>
                      <w:lang w:bidi="ar"/>
                    </w:rPr>
                    <w:t>达标</w:t>
                  </w:r>
                </w:p>
              </w:tc>
              <w:tc>
                <w:tcPr>
                  <w:tcW w:w="541" w:type="pct"/>
                  <w:vAlign w:val="center"/>
                </w:tcPr>
                <w:p>
                  <w:pPr>
                    <w:widowControl/>
                    <w:jc w:val="center"/>
                    <w:textAlignment w:val="center"/>
                    <w:rPr>
                      <w:kern w:val="0"/>
                      <w:szCs w:val="21"/>
                    </w:rPr>
                  </w:pPr>
                  <w:r>
                    <w:rPr>
                      <w:color w:val="000000"/>
                      <w:kern w:val="0"/>
                      <w:szCs w:val="21"/>
                      <w:lang w:bidi="ar"/>
                    </w:rPr>
                    <w:t>达标</w:t>
                  </w:r>
                </w:p>
              </w:tc>
              <w:tc>
                <w:tcPr>
                  <w:tcW w:w="541" w:type="pct"/>
                  <w:vAlign w:val="center"/>
                </w:tcPr>
                <w:p>
                  <w:pPr>
                    <w:widowControl/>
                    <w:jc w:val="center"/>
                    <w:textAlignment w:val="center"/>
                    <w:rPr>
                      <w:kern w:val="0"/>
                      <w:szCs w:val="21"/>
                    </w:rPr>
                  </w:pPr>
                  <w:r>
                    <w:rPr>
                      <w:color w:val="000000"/>
                      <w:kern w:val="0"/>
                      <w:szCs w:val="21"/>
                      <w:lang w:bidi="ar"/>
                    </w:rPr>
                    <w:t>达标</w:t>
                  </w:r>
                </w:p>
              </w:tc>
            </w:tr>
          </w:tbl>
          <w:p>
            <w:pPr>
              <w:spacing w:line="360" w:lineRule="auto"/>
              <w:ind w:firstLine="480"/>
              <w:rPr>
                <w:sz w:val="24"/>
              </w:rPr>
            </w:pPr>
            <w:r>
              <w:rPr>
                <w:sz w:val="24"/>
              </w:rPr>
              <w:t>由上表可知，</w:t>
            </w:r>
            <w:r>
              <w:rPr>
                <w:rFonts w:hint="eastAsia"/>
                <w:sz w:val="24"/>
              </w:rPr>
              <w:t>2021</w:t>
            </w:r>
            <w:r>
              <w:rPr>
                <w:sz w:val="24"/>
              </w:rPr>
              <w:t>年</w:t>
            </w:r>
            <w:r>
              <w:rPr>
                <w:rFonts w:hint="eastAsia"/>
                <w:sz w:val="24"/>
              </w:rPr>
              <w:t>宽城县</w:t>
            </w:r>
            <w:r>
              <w:rPr>
                <w:sz w:val="24"/>
              </w:rPr>
              <w:t>环境空气质量中PM</w:t>
            </w:r>
            <w:r>
              <w:rPr>
                <w:sz w:val="24"/>
                <w:vertAlign w:val="subscript"/>
              </w:rPr>
              <w:t>2.5</w:t>
            </w:r>
            <w:r>
              <w:rPr>
                <w:sz w:val="24"/>
              </w:rPr>
              <w:t>、PM</w:t>
            </w:r>
            <w:r>
              <w:rPr>
                <w:sz w:val="24"/>
                <w:vertAlign w:val="subscript"/>
              </w:rPr>
              <w:t>10</w:t>
            </w:r>
            <w:r>
              <w:rPr>
                <w:sz w:val="24"/>
              </w:rPr>
              <w:t>、SO</w:t>
            </w:r>
            <w:r>
              <w:rPr>
                <w:sz w:val="24"/>
                <w:vertAlign w:val="subscript"/>
              </w:rPr>
              <w:t>2</w:t>
            </w:r>
            <w:r>
              <w:rPr>
                <w:sz w:val="24"/>
              </w:rPr>
              <w:t>、CO、O</w:t>
            </w:r>
            <w:r>
              <w:rPr>
                <w:sz w:val="24"/>
                <w:vertAlign w:val="subscript"/>
              </w:rPr>
              <w:t>3</w:t>
            </w:r>
            <w:r>
              <w:rPr>
                <w:sz w:val="24"/>
              </w:rPr>
              <w:t>、NO</w:t>
            </w:r>
            <w:r>
              <w:rPr>
                <w:sz w:val="24"/>
                <w:vertAlign w:val="subscript"/>
              </w:rPr>
              <w:t>2</w:t>
            </w:r>
            <w:r>
              <w:rPr>
                <w:sz w:val="24"/>
              </w:rPr>
              <w:t>六项常规污染物监测结果中：PM</w:t>
            </w:r>
            <w:r>
              <w:rPr>
                <w:sz w:val="24"/>
                <w:vertAlign w:val="subscript"/>
              </w:rPr>
              <w:t>2.5</w:t>
            </w:r>
            <w:r>
              <w:rPr>
                <w:sz w:val="24"/>
              </w:rPr>
              <w:t>的年平均质量浓度、PM</w:t>
            </w:r>
            <w:r>
              <w:rPr>
                <w:sz w:val="24"/>
                <w:vertAlign w:val="subscript"/>
              </w:rPr>
              <w:t>10</w:t>
            </w:r>
            <w:r>
              <w:rPr>
                <w:sz w:val="24"/>
              </w:rPr>
              <w:t>年平均质量浓度和O</w:t>
            </w:r>
            <w:r>
              <w:rPr>
                <w:sz w:val="24"/>
                <w:vertAlign w:val="subscript"/>
              </w:rPr>
              <w:t>3</w:t>
            </w:r>
            <w:r>
              <w:rPr>
                <w:sz w:val="24"/>
              </w:rPr>
              <w:t>第90百分位数日最大8小时平均浓度</w:t>
            </w:r>
            <w:r>
              <w:rPr>
                <w:rFonts w:hint="eastAsia"/>
                <w:sz w:val="24"/>
              </w:rPr>
              <w:t>、</w:t>
            </w:r>
            <w:r>
              <w:rPr>
                <w:sz w:val="24"/>
              </w:rPr>
              <w:t>SO</w:t>
            </w:r>
            <w:r>
              <w:rPr>
                <w:sz w:val="24"/>
                <w:vertAlign w:val="subscript"/>
              </w:rPr>
              <w:t>2</w:t>
            </w:r>
            <w:r>
              <w:rPr>
                <w:sz w:val="24"/>
              </w:rPr>
              <w:t>、NO</w:t>
            </w:r>
            <w:r>
              <w:rPr>
                <w:sz w:val="24"/>
                <w:vertAlign w:val="subscript"/>
              </w:rPr>
              <w:t>2</w:t>
            </w:r>
            <w:r>
              <w:rPr>
                <w:sz w:val="24"/>
              </w:rPr>
              <w:t>的年平均质量浓度和CO的第95百分位数24小时平均浓度</w:t>
            </w:r>
            <w:r>
              <w:rPr>
                <w:rFonts w:hint="eastAsia"/>
                <w:sz w:val="24"/>
              </w:rPr>
              <w:t>均</w:t>
            </w:r>
            <w:r>
              <w:rPr>
                <w:sz w:val="24"/>
              </w:rPr>
              <w:t>达标。</w:t>
            </w:r>
            <w:r>
              <w:rPr>
                <w:rFonts w:hint="eastAsia"/>
                <w:sz w:val="24"/>
              </w:rPr>
              <w:t>均满足《环境空气质量标准》（GB3095-2012）及其修改单中的二级标准。</w:t>
            </w:r>
          </w:p>
          <w:p>
            <w:pPr>
              <w:spacing w:line="360" w:lineRule="auto"/>
              <w:ind w:firstLine="480"/>
              <w:rPr>
                <w:sz w:val="24"/>
              </w:rPr>
            </w:pPr>
            <w:r>
              <w:rPr>
                <w:sz w:val="24"/>
              </w:rPr>
              <w:t>根据上述分析判定，项目所在区域为环境空气质量达标区。</w:t>
            </w:r>
          </w:p>
          <w:p>
            <w:pPr>
              <w:spacing w:line="360" w:lineRule="auto"/>
              <w:ind w:firstLine="482"/>
              <w:rPr>
                <w:b/>
                <w:sz w:val="24"/>
              </w:rPr>
            </w:pPr>
            <w:r>
              <w:rPr>
                <w:b/>
                <w:sz w:val="24"/>
              </w:rPr>
              <w:t>2．</w:t>
            </w:r>
            <w:r>
              <w:rPr>
                <w:rFonts w:hint="eastAsia"/>
                <w:b/>
                <w:sz w:val="24"/>
              </w:rPr>
              <w:t>地表水环境质量现状</w:t>
            </w:r>
          </w:p>
          <w:p>
            <w:pPr>
              <w:spacing w:line="360" w:lineRule="auto"/>
              <w:ind w:firstLine="480"/>
              <w:rPr>
                <w:sz w:val="24"/>
              </w:rPr>
            </w:pPr>
            <w:r>
              <w:rPr>
                <w:rFonts w:hint="eastAsia"/>
                <w:sz w:val="24"/>
              </w:rPr>
              <w:t>本项目西南侧100m为瀑河，按照河北省水利厅与省环保局联合下发的《河北省水功能区划》（冀水资[2017]127号）的要求，瀑河保护级别为地表水Ⅲ类水体。根据《2021年承德市环境状况公报》，瀑河共布设地表水常规监测断面2个，2021年大桑园、党坝断面水质类别均为II类，瀑河流域总体水质状况为优，与2020年相比水环境质量基本持平。瀑河水质现状如下：</w:t>
            </w:r>
          </w:p>
          <w:p>
            <w:pPr>
              <w:pStyle w:val="51"/>
              <w:numPr>
                <w:ilvl w:val="0"/>
                <w:numId w:val="7"/>
              </w:numPr>
              <w:spacing w:line="360" w:lineRule="auto"/>
              <w:ind w:left="0" w:firstLine="0"/>
              <w:rPr>
                <w:rFonts w:eastAsia="宋体"/>
                <w:b/>
              </w:rPr>
            </w:pPr>
            <w:r>
              <w:rPr>
                <w:rFonts w:eastAsia="宋体"/>
                <w:b/>
              </w:rPr>
              <w:t>20</w:t>
            </w:r>
            <w:r>
              <w:rPr>
                <w:rFonts w:hint="eastAsia" w:eastAsia="宋体"/>
                <w:b/>
              </w:rPr>
              <w:t>21</w:t>
            </w:r>
            <w:r>
              <w:rPr>
                <w:rFonts w:eastAsia="宋体"/>
                <w:b/>
              </w:rPr>
              <w:t>年</w:t>
            </w:r>
            <w:r>
              <w:rPr>
                <w:rFonts w:hint="eastAsia" w:eastAsia="宋体"/>
                <w:b/>
              </w:rPr>
              <w:t>瀑河</w:t>
            </w:r>
            <w:r>
              <w:rPr>
                <w:rFonts w:eastAsia="宋体"/>
                <w:b/>
              </w:rPr>
              <w:t>水质及断面水质状况</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57"/>
              <w:gridCol w:w="775"/>
              <w:gridCol w:w="808"/>
              <w:gridCol w:w="1346"/>
              <w:gridCol w:w="1183"/>
              <w:gridCol w:w="1167"/>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restart"/>
                  <w:vAlign w:val="center"/>
                </w:tcPr>
                <w:p>
                  <w:pPr>
                    <w:adjustRightInd w:val="0"/>
                    <w:snapToGrid w:val="0"/>
                    <w:jc w:val="center"/>
                    <w:rPr>
                      <w:b/>
                      <w:bCs/>
                      <w:szCs w:val="21"/>
                    </w:rPr>
                  </w:pPr>
                  <w:r>
                    <w:rPr>
                      <w:b/>
                      <w:bCs/>
                      <w:szCs w:val="21"/>
                    </w:rPr>
                    <w:t>河流</w:t>
                  </w:r>
                </w:p>
                <w:p>
                  <w:pPr>
                    <w:adjustRightInd w:val="0"/>
                    <w:snapToGrid w:val="0"/>
                    <w:jc w:val="center"/>
                    <w:rPr>
                      <w:b/>
                      <w:bCs/>
                      <w:szCs w:val="21"/>
                    </w:rPr>
                  </w:pPr>
                  <w:r>
                    <w:rPr>
                      <w:b/>
                      <w:bCs/>
                      <w:szCs w:val="21"/>
                    </w:rPr>
                    <w:t>名称</w:t>
                  </w:r>
                </w:p>
              </w:tc>
              <w:tc>
                <w:tcPr>
                  <w:tcW w:w="714" w:type="pct"/>
                  <w:vMerge w:val="restart"/>
                  <w:vAlign w:val="center"/>
                </w:tcPr>
                <w:p>
                  <w:pPr>
                    <w:adjustRightInd w:val="0"/>
                    <w:snapToGrid w:val="0"/>
                    <w:jc w:val="center"/>
                    <w:rPr>
                      <w:b/>
                      <w:bCs/>
                      <w:szCs w:val="21"/>
                    </w:rPr>
                  </w:pPr>
                  <w:r>
                    <w:rPr>
                      <w:b/>
                      <w:bCs/>
                      <w:szCs w:val="21"/>
                    </w:rPr>
                    <w:t>断面名称</w:t>
                  </w:r>
                </w:p>
              </w:tc>
              <w:tc>
                <w:tcPr>
                  <w:tcW w:w="2541" w:type="pct"/>
                  <w:gridSpan w:val="4"/>
                  <w:vAlign w:val="center"/>
                </w:tcPr>
                <w:p>
                  <w:pPr>
                    <w:adjustRightInd w:val="0"/>
                    <w:snapToGrid w:val="0"/>
                    <w:jc w:val="center"/>
                    <w:rPr>
                      <w:b/>
                      <w:bCs/>
                      <w:szCs w:val="21"/>
                    </w:rPr>
                  </w:pPr>
                  <w:r>
                    <w:rPr>
                      <w:b/>
                      <w:bCs/>
                      <w:szCs w:val="21"/>
                    </w:rPr>
                    <w:t>各监测断面水质情况</w:t>
                  </w:r>
                </w:p>
              </w:tc>
              <w:tc>
                <w:tcPr>
                  <w:tcW w:w="721" w:type="pct"/>
                  <w:vMerge w:val="restart"/>
                  <w:vAlign w:val="center"/>
                </w:tcPr>
                <w:p>
                  <w:pPr>
                    <w:adjustRightInd w:val="0"/>
                    <w:snapToGrid w:val="0"/>
                    <w:jc w:val="center"/>
                    <w:rPr>
                      <w:b/>
                      <w:bCs/>
                      <w:szCs w:val="21"/>
                    </w:rPr>
                  </w:pPr>
                  <w:r>
                    <w:rPr>
                      <w:b/>
                      <w:bCs/>
                      <w:szCs w:val="21"/>
                    </w:rPr>
                    <w:t>20</w:t>
                  </w:r>
                  <w:r>
                    <w:rPr>
                      <w:rFonts w:hint="eastAsia"/>
                      <w:b/>
                      <w:bCs/>
                      <w:szCs w:val="21"/>
                    </w:rPr>
                    <w:t>20</w:t>
                  </w:r>
                  <w:r>
                    <w:rPr>
                      <w:b/>
                      <w:bCs/>
                      <w:szCs w:val="21"/>
                    </w:rPr>
                    <w:t>年河流水质状况</w:t>
                  </w:r>
                </w:p>
              </w:tc>
              <w:tc>
                <w:tcPr>
                  <w:tcW w:w="652" w:type="pct"/>
                  <w:vMerge w:val="restart"/>
                  <w:vAlign w:val="center"/>
                </w:tcPr>
                <w:p>
                  <w:pPr>
                    <w:adjustRightInd w:val="0"/>
                    <w:snapToGrid w:val="0"/>
                    <w:jc w:val="center"/>
                    <w:rPr>
                      <w:b/>
                      <w:bCs/>
                      <w:szCs w:val="21"/>
                    </w:rPr>
                  </w:pPr>
                  <w:r>
                    <w:rPr>
                      <w:b/>
                      <w:bCs/>
                      <w:szCs w:val="21"/>
                    </w:rPr>
                    <w:t>20</w:t>
                  </w:r>
                  <w:r>
                    <w:rPr>
                      <w:rFonts w:hint="eastAsia"/>
                      <w:b/>
                      <w:bCs/>
                      <w:szCs w:val="21"/>
                    </w:rPr>
                    <w:t>21</w:t>
                  </w:r>
                  <w:r>
                    <w:rPr>
                      <w:b/>
                      <w:bCs/>
                      <w:szCs w:val="21"/>
                    </w:rPr>
                    <w:t>年河流水质状况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vAlign w:val="center"/>
                </w:tcPr>
                <w:p>
                  <w:pPr>
                    <w:adjustRightInd w:val="0"/>
                    <w:snapToGrid w:val="0"/>
                    <w:jc w:val="center"/>
                    <w:rPr>
                      <w:b/>
                      <w:bCs/>
                      <w:szCs w:val="21"/>
                    </w:rPr>
                  </w:pPr>
                </w:p>
              </w:tc>
              <w:tc>
                <w:tcPr>
                  <w:tcW w:w="714" w:type="pct"/>
                  <w:vMerge w:val="continue"/>
                  <w:vAlign w:val="center"/>
                </w:tcPr>
                <w:p>
                  <w:pPr>
                    <w:adjustRightInd w:val="0"/>
                    <w:snapToGrid w:val="0"/>
                    <w:jc w:val="center"/>
                    <w:rPr>
                      <w:b/>
                      <w:bCs/>
                      <w:szCs w:val="21"/>
                    </w:rPr>
                  </w:pPr>
                </w:p>
              </w:tc>
              <w:tc>
                <w:tcPr>
                  <w:tcW w:w="479" w:type="pct"/>
                  <w:vAlign w:val="center"/>
                </w:tcPr>
                <w:p>
                  <w:pPr>
                    <w:autoSpaceDE w:val="0"/>
                    <w:autoSpaceDN w:val="0"/>
                    <w:adjustRightInd w:val="0"/>
                    <w:snapToGrid w:val="0"/>
                    <w:jc w:val="center"/>
                    <w:rPr>
                      <w:b/>
                      <w:bCs/>
                      <w:szCs w:val="21"/>
                    </w:rPr>
                  </w:pPr>
                  <w:r>
                    <w:rPr>
                      <w:b/>
                      <w:bCs/>
                      <w:szCs w:val="21"/>
                    </w:rPr>
                    <w:t>20</w:t>
                  </w:r>
                  <w:r>
                    <w:rPr>
                      <w:rFonts w:hint="eastAsia"/>
                      <w:b/>
                      <w:bCs/>
                      <w:szCs w:val="21"/>
                    </w:rPr>
                    <w:t>20</w:t>
                  </w:r>
                  <w:r>
                    <w:rPr>
                      <w:b/>
                      <w:bCs/>
                      <w:szCs w:val="21"/>
                    </w:rPr>
                    <w:t>年</w:t>
                  </w:r>
                </w:p>
              </w:tc>
              <w:tc>
                <w:tcPr>
                  <w:tcW w:w="499" w:type="pct"/>
                  <w:vAlign w:val="center"/>
                </w:tcPr>
                <w:p>
                  <w:pPr>
                    <w:autoSpaceDE w:val="0"/>
                    <w:autoSpaceDN w:val="0"/>
                    <w:adjustRightInd w:val="0"/>
                    <w:snapToGrid w:val="0"/>
                    <w:jc w:val="center"/>
                    <w:rPr>
                      <w:b/>
                      <w:bCs/>
                      <w:szCs w:val="21"/>
                    </w:rPr>
                  </w:pPr>
                  <w:r>
                    <w:rPr>
                      <w:b/>
                      <w:bCs/>
                      <w:szCs w:val="21"/>
                    </w:rPr>
                    <w:t>20</w:t>
                  </w:r>
                  <w:r>
                    <w:rPr>
                      <w:rFonts w:hint="eastAsia"/>
                      <w:b/>
                      <w:bCs/>
                      <w:szCs w:val="21"/>
                    </w:rPr>
                    <w:t>21</w:t>
                  </w:r>
                  <w:r>
                    <w:rPr>
                      <w:b/>
                      <w:bCs/>
                      <w:szCs w:val="21"/>
                    </w:rPr>
                    <w:t>年</w:t>
                  </w:r>
                </w:p>
              </w:tc>
              <w:tc>
                <w:tcPr>
                  <w:tcW w:w="832" w:type="pct"/>
                  <w:vAlign w:val="center"/>
                </w:tcPr>
                <w:p>
                  <w:pPr>
                    <w:autoSpaceDE w:val="0"/>
                    <w:autoSpaceDN w:val="0"/>
                    <w:adjustRightInd w:val="0"/>
                    <w:snapToGrid w:val="0"/>
                    <w:jc w:val="center"/>
                    <w:rPr>
                      <w:b/>
                      <w:bCs/>
                      <w:szCs w:val="21"/>
                    </w:rPr>
                  </w:pPr>
                  <w:r>
                    <w:rPr>
                      <w:b/>
                      <w:bCs/>
                      <w:szCs w:val="21"/>
                    </w:rPr>
                    <w:t>水质达标情况</w:t>
                  </w:r>
                </w:p>
              </w:tc>
              <w:tc>
                <w:tcPr>
                  <w:tcW w:w="729" w:type="pct"/>
                  <w:vAlign w:val="center"/>
                </w:tcPr>
                <w:p>
                  <w:pPr>
                    <w:autoSpaceDE w:val="0"/>
                    <w:autoSpaceDN w:val="0"/>
                    <w:adjustRightInd w:val="0"/>
                    <w:snapToGrid w:val="0"/>
                    <w:jc w:val="center"/>
                    <w:rPr>
                      <w:b/>
                      <w:bCs/>
                      <w:szCs w:val="21"/>
                    </w:rPr>
                  </w:pPr>
                  <w:r>
                    <w:rPr>
                      <w:b/>
                      <w:bCs/>
                      <w:szCs w:val="21"/>
                    </w:rPr>
                    <w:t>主要污染物</w:t>
                  </w:r>
                </w:p>
              </w:tc>
              <w:tc>
                <w:tcPr>
                  <w:tcW w:w="721" w:type="pct"/>
                  <w:vMerge w:val="continue"/>
                  <w:vAlign w:val="center"/>
                </w:tcPr>
                <w:p>
                  <w:pPr>
                    <w:adjustRightInd w:val="0"/>
                    <w:snapToGrid w:val="0"/>
                    <w:jc w:val="center"/>
                    <w:rPr>
                      <w:szCs w:val="21"/>
                    </w:rPr>
                  </w:pPr>
                </w:p>
              </w:tc>
              <w:tc>
                <w:tcPr>
                  <w:tcW w:w="652"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restart"/>
                  <w:vAlign w:val="center"/>
                </w:tcPr>
                <w:p>
                  <w:pPr>
                    <w:adjustRightInd w:val="0"/>
                    <w:snapToGrid w:val="0"/>
                    <w:spacing w:line="0" w:lineRule="atLeast"/>
                    <w:jc w:val="center"/>
                    <w:rPr>
                      <w:szCs w:val="21"/>
                    </w:rPr>
                  </w:pPr>
                  <w:r>
                    <w:rPr>
                      <w:rFonts w:hint="eastAsia"/>
                      <w:szCs w:val="21"/>
                    </w:rPr>
                    <w:t>瀑河</w:t>
                  </w:r>
                </w:p>
              </w:tc>
              <w:tc>
                <w:tcPr>
                  <w:tcW w:w="714" w:type="pct"/>
                  <w:vAlign w:val="center"/>
                </w:tcPr>
                <w:p>
                  <w:pPr>
                    <w:adjustRightInd w:val="0"/>
                    <w:snapToGrid w:val="0"/>
                    <w:spacing w:line="0" w:lineRule="atLeast"/>
                    <w:jc w:val="center"/>
                    <w:rPr>
                      <w:szCs w:val="21"/>
                    </w:rPr>
                  </w:pPr>
                  <w:r>
                    <w:rPr>
                      <w:rFonts w:hint="eastAsia"/>
                      <w:szCs w:val="21"/>
                    </w:rPr>
                    <w:t>大桑园</w:t>
                  </w:r>
                </w:p>
              </w:tc>
              <w:tc>
                <w:tcPr>
                  <w:tcW w:w="479" w:type="pct"/>
                  <w:vAlign w:val="center"/>
                </w:tcPr>
                <w:p>
                  <w:pPr>
                    <w:adjustRightInd w:val="0"/>
                    <w:snapToGrid w:val="0"/>
                    <w:spacing w:line="0" w:lineRule="atLeast"/>
                    <w:jc w:val="center"/>
                    <w:rPr>
                      <w:szCs w:val="21"/>
                    </w:rPr>
                  </w:pPr>
                  <w:r>
                    <w:rPr>
                      <w:szCs w:val="21"/>
                    </w:rPr>
                    <w:t>II</w:t>
                  </w:r>
                </w:p>
              </w:tc>
              <w:tc>
                <w:tcPr>
                  <w:tcW w:w="499" w:type="pct"/>
                  <w:vAlign w:val="center"/>
                </w:tcPr>
                <w:p>
                  <w:pPr>
                    <w:adjustRightInd w:val="0"/>
                    <w:snapToGrid w:val="0"/>
                    <w:spacing w:line="0" w:lineRule="atLeast"/>
                    <w:jc w:val="center"/>
                    <w:rPr>
                      <w:szCs w:val="21"/>
                    </w:rPr>
                  </w:pPr>
                  <w:r>
                    <w:rPr>
                      <w:szCs w:val="21"/>
                    </w:rPr>
                    <w:t>II</w:t>
                  </w:r>
                </w:p>
              </w:tc>
              <w:tc>
                <w:tcPr>
                  <w:tcW w:w="832" w:type="pct"/>
                  <w:vAlign w:val="center"/>
                </w:tcPr>
                <w:p>
                  <w:pPr>
                    <w:adjustRightInd w:val="0"/>
                    <w:snapToGrid w:val="0"/>
                    <w:spacing w:line="0" w:lineRule="atLeast"/>
                    <w:jc w:val="center"/>
                    <w:rPr>
                      <w:szCs w:val="21"/>
                    </w:rPr>
                  </w:pPr>
                  <w:r>
                    <w:rPr>
                      <w:szCs w:val="21"/>
                    </w:rPr>
                    <w:t>达标</w:t>
                  </w:r>
                </w:p>
              </w:tc>
              <w:tc>
                <w:tcPr>
                  <w:tcW w:w="729" w:type="pct"/>
                  <w:vAlign w:val="center"/>
                </w:tcPr>
                <w:p>
                  <w:pPr>
                    <w:adjustRightInd w:val="0"/>
                    <w:snapToGrid w:val="0"/>
                    <w:spacing w:line="0" w:lineRule="atLeast"/>
                    <w:jc w:val="center"/>
                    <w:rPr>
                      <w:szCs w:val="21"/>
                    </w:rPr>
                  </w:pPr>
                  <w:r>
                    <w:rPr>
                      <w:szCs w:val="21"/>
                    </w:rPr>
                    <w:t>/</w:t>
                  </w:r>
                </w:p>
              </w:tc>
              <w:tc>
                <w:tcPr>
                  <w:tcW w:w="721" w:type="pct"/>
                  <w:vMerge w:val="restart"/>
                  <w:vAlign w:val="center"/>
                </w:tcPr>
                <w:p>
                  <w:pPr>
                    <w:adjustRightInd w:val="0"/>
                    <w:snapToGrid w:val="0"/>
                    <w:jc w:val="center"/>
                    <w:rPr>
                      <w:szCs w:val="21"/>
                    </w:rPr>
                  </w:pPr>
                  <w:r>
                    <w:rPr>
                      <w:rFonts w:hint="eastAsia"/>
                      <w:szCs w:val="21"/>
                    </w:rPr>
                    <w:t>优</w:t>
                  </w:r>
                </w:p>
              </w:tc>
              <w:tc>
                <w:tcPr>
                  <w:tcW w:w="652" w:type="pct"/>
                  <w:vMerge w:val="restart"/>
                  <w:vAlign w:val="center"/>
                </w:tcPr>
                <w:p>
                  <w:pPr>
                    <w:adjustRightInd w:val="0"/>
                    <w:snapToGrid w:val="0"/>
                    <w:jc w:val="center"/>
                    <w:rPr>
                      <w:szCs w:val="21"/>
                    </w:rPr>
                  </w:pPr>
                  <w:r>
                    <w:rPr>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vAlign w:val="center"/>
                </w:tcPr>
                <w:p>
                  <w:pPr>
                    <w:adjustRightInd w:val="0"/>
                    <w:snapToGrid w:val="0"/>
                    <w:spacing w:line="0" w:lineRule="atLeast"/>
                    <w:jc w:val="center"/>
                    <w:rPr>
                      <w:szCs w:val="21"/>
                    </w:rPr>
                  </w:pPr>
                </w:p>
              </w:tc>
              <w:tc>
                <w:tcPr>
                  <w:tcW w:w="714" w:type="pct"/>
                  <w:vAlign w:val="center"/>
                </w:tcPr>
                <w:p>
                  <w:pPr>
                    <w:adjustRightInd w:val="0"/>
                    <w:snapToGrid w:val="0"/>
                    <w:spacing w:line="0" w:lineRule="atLeast"/>
                    <w:jc w:val="center"/>
                    <w:rPr>
                      <w:szCs w:val="21"/>
                    </w:rPr>
                  </w:pPr>
                  <w:r>
                    <w:rPr>
                      <w:rFonts w:hint="eastAsia"/>
                      <w:szCs w:val="21"/>
                    </w:rPr>
                    <w:t>党坝</w:t>
                  </w:r>
                </w:p>
              </w:tc>
              <w:tc>
                <w:tcPr>
                  <w:tcW w:w="479" w:type="pct"/>
                  <w:vAlign w:val="center"/>
                </w:tcPr>
                <w:p>
                  <w:pPr>
                    <w:adjustRightInd w:val="0"/>
                    <w:snapToGrid w:val="0"/>
                    <w:spacing w:line="0" w:lineRule="atLeast"/>
                    <w:jc w:val="center"/>
                    <w:rPr>
                      <w:szCs w:val="21"/>
                    </w:rPr>
                  </w:pPr>
                  <w:r>
                    <w:rPr>
                      <w:szCs w:val="21"/>
                    </w:rPr>
                    <w:t>II</w:t>
                  </w:r>
                </w:p>
              </w:tc>
              <w:tc>
                <w:tcPr>
                  <w:tcW w:w="499" w:type="pct"/>
                  <w:vAlign w:val="center"/>
                </w:tcPr>
                <w:p>
                  <w:pPr>
                    <w:adjustRightInd w:val="0"/>
                    <w:snapToGrid w:val="0"/>
                    <w:spacing w:line="0" w:lineRule="atLeast"/>
                    <w:jc w:val="center"/>
                    <w:rPr>
                      <w:szCs w:val="21"/>
                    </w:rPr>
                  </w:pPr>
                  <w:r>
                    <w:rPr>
                      <w:szCs w:val="21"/>
                    </w:rPr>
                    <w:t>II</w:t>
                  </w:r>
                </w:p>
              </w:tc>
              <w:tc>
                <w:tcPr>
                  <w:tcW w:w="832" w:type="pct"/>
                  <w:vAlign w:val="center"/>
                </w:tcPr>
                <w:p>
                  <w:pPr>
                    <w:adjustRightInd w:val="0"/>
                    <w:snapToGrid w:val="0"/>
                    <w:spacing w:line="0" w:lineRule="atLeast"/>
                    <w:jc w:val="center"/>
                    <w:rPr>
                      <w:szCs w:val="21"/>
                    </w:rPr>
                  </w:pPr>
                  <w:r>
                    <w:rPr>
                      <w:szCs w:val="21"/>
                    </w:rPr>
                    <w:t>达标</w:t>
                  </w:r>
                </w:p>
              </w:tc>
              <w:tc>
                <w:tcPr>
                  <w:tcW w:w="729" w:type="pct"/>
                  <w:vAlign w:val="center"/>
                </w:tcPr>
                <w:p>
                  <w:pPr>
                    <w:adjustRightInd w:val="0"/>
                    <w:snapToGrid w:val="0"/>
                    <w:spacing w:line="0" w:lineRule="atLeast"/>
                    <w:jc w:val="center"/>
                    <w:rPr>
                      <w:szCs w:val="21"/>
                    </w:rPr>
                  </w:pPr>
                  <w:r>
                    <w:rPr>
                      <w:szCs w:val="21"/>
                    </w:rPr>
                    <w:t>/</w:t>
                  </w:r>
                </w:p>
              </w:tc>
              <w:tc>
                <w:tcPr>
                  <w:tcW w:w="721" w:type="pct"/>
                  <w:vMerge w:val="continue"/>
                  <w:vAlign w:val="center"/>
                </w:tcPr>
                <w:p>
                  <w:pPr>
                    <w:adjustRightInd w:val="0"/>
                    <w:snapToGrid w:val="0"/>
                    <w:jc w:val="center"/>
                    <w:rPr>
                      <w:szCs w:val="21"/>
                    </w:rPr>
                  </w:pPr>
                </w:p>
              </w:tc>
              <w:tc>
                <w:tcPr>
                  <w:tcW w:w="652" w:type="pct"/>
                  <w:vMerge w:val="continue"/>
                  <w:vAlign w:val="center"/>
                </w:tcPr>
                <w:p>
                  <w:pPr>
                    <w:adjustRightInd w:val="0"/>
                    <w:snapToGrid w:val="0"/>
                    <w:jc w:val="center"/>
                    <w:rPr>
                      <w:szCs w:val="21"/>
                    </w:rPr>
                  </w:pPr>
                </w:p>
              </w:tc>
            </w:tr>
            <w:bookmarkEnd w:id="5"/>
          </w:tbl>
          <w:p>
            <w:pPr>
              <w:spacing w:before="120" w:beforeLines="50" w:line="360" w:lineRule="auto"/>
              <w:ind w:firstLine="482"/>
              <w:rPr>
                <w:b/>
                <w:sz w:val="24"/>
              </w:rPr>
            </w:pPr>
            <w:r>
              <w:rPr>
                <w:b/>
                <w:sz w:val="24"/>
              </w:rPr>
              <w:t>3．</w:t>
            </w:r>
            <w:r>
              <w:rPr>
                <w:rFonts w:hint="eastAsia"/>
                <w:b/>
                <w:sz w:val="24"/>
              </w:rPr>
              <w:t>声环境质量现状</w:t>
            </w:r>
          </w:p>
          <w:p>
            <w:pPr>
              <w:spacing w:line="360" w:lineRule="auto"/>
              <w:ind w:firstLine="482"/>
              <w:rPr>
                <w:sz w:val="24"/>
              </w:rPr>
            </w:pPr>
            <w:r>
              <w:rPr>
                <w:rFonts w:hint="eastAsia"/>
                <w:sz w:val="24"/>
              </w:rPr>
              <w:t>根据现状调查，项目厂界外周边50米范围内声环境保护目标为东侧20m的方舱医院，方舱医院对噪声进行过补充监测，项目引用方舱医院西厂界的监测数据。</w:t>
            </w:r>
          </w:p>
          <w:p>
            <w:pPr>
              <w:numPr>
                <w:ilvl w:val="0"/>
                <w:numId w:val="8"/>
              </w:numPr>
              <w:spacing w:line="360" w:lineRule="auto"/>
              <w:rPr>
                <w:sz w:val="24"/>
              </w:rPr>
            </w:pPr>
            <w:r>
              <w:rPr>
                <w:rFonts w:hint="eastAsia"/>
                <w:sz w:val="24"/>
              </w:rPr>
              <mc:AlternateContent>
                <mc:Choice Requires="wps">
                  <w:drawing>
                    <wp:anchor distT="0" distB="0" distL="114300" distR="114300" simplePos="0" relativeHeight="251659264" behindDoc="0" locked="0" layoutInCell="0" allowOverlap="1">
                      <wp:simplePos x="0" y="0"/>
                      <wp:positionH relativeFrom="column">
                        <wp:posOffset>-1244600</wp:posOffset>
                      </wp:positionH>
                      <wp:positionV relativeFrom="paragraph">
                        <wp:posOffset>0</wp:posOffset>
                      </wp:positionV>
                      <wp:extent cx="635" cy="1018540"/>
                      <wp:effectExtent l="4445" t="0" r="13970" b="10160"/>
                      <wp:wrapNone/>
                      <wp:docPr id="23" name="直接连接符 23"/>
                      <wp:cNvGraphicFramePr/>
                      <a:graphic xmlns:a="http://schemas.openxmlformats.org/drawingml/2006/main">
                        <a:graphicData uri="http://schemas.microsoft.com/office/word/2010/wordprocessingShape">
                          <wps:wsp>
                            <wps:cNvCnPr/>
                            <wps:spPr>
                              <a:xfrm>
                                <a:off x="0" y="0"/>
                                <a:ext cx="635" cy="1018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pt;margin-top:0pt;height:80.2pt;width:0.05pt;z-index:251659264;mso-width-relative:page;mso-height-relative:page;" filled="f" stroked="t" coordsize="21600,21600" o:allowincell="f" o:gfxdata="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ydkCNcAAAAKAQAADwAAAAAAAAABACAAAAAiAAAAZHJzL2Rvd25yZXYueG1sUEsB&#10;AhQAFAAAAAgAh07iQLvWA0H2AQAA6gMAAA4AAAAAAAAAAQAgAAAAJgEAAGRycy9lMm9Eb2MueG1s&#10;UEsFBgAAAAAGAAYAWQEAAI4FAAAAAA==&#10;">
                      <v:fill on="f" focussize="0,0"/>
                      <v:stroke color="#000000" joinstyle="round"/>
                      <v:imagedata o:title=""/>
                      <o:lock v:ext="edit" aspectratio="f"/>
                    </v:line>
                  </w:pict>
                </mc:Fallback>
              </mc:AlternateContent>
            </w:r>
            <w:r>
              <w:rPr>
                <w:rFonts w:hint="eastAsia"/>
                <w:sz w:val="24"/>
              </w:rPr>
              <w:t>监测点布置</w:t>
            </w:r>
          </w:p>
          <w:p>
            <w:pPr>
              <w:spacing w:line="360" w:lineRule="auto"/>
              <w:ind w:firstLine="482"/>
              <w:rPr>
                <w:sz w:val="24"/>
              </w:rPr>
            </w:pPr>
            <w:r>
              <w:rPr>
                <w:rFonts w:hint="eastAsia"/>
                <w:sz w:val="24"/>
              </w:rPr>
              <w:t>监测点位：1个</w:t>
            </w:r>
          </w:p>
          <w:p>
            <w:pPr>
              <w:spacing w:line="360" w:lineRule="auto"/>
              <w:ind w:firstLine="482"/>
              <w:rPr>
                <w:sz w:val="24"/>
              </w:rPr>
            </w:pPr>
            <w:r>
              <w:rPr>
                <w:sz w:val="24"/>
              </w:rPr>
              <w:t>Zs</w:t>
            </w:r>
            <w:r>
              <w:rPr>
                <w:rFonts w:hint="eastAsia"/>
                <w:sz w:val="24"/>
              </w:rPr>
              <w:t>1</w:t>
            </w:r>
            <w:r>
              <w:rPr>
                <w:sz w:val="24"/>
              </w:rPr>
              <w:t>#——项目院区西厂界；</w:t>
            </w:r>
          </w:p>
          <w:p>
            <w:pPr>
              <w:numPr>
                <w:ilvl w:val="0"/>
                <w:numId w:val="8"/>
              </w:numPr>
              <w:spacing w:line="360" w:lineRule="auto"/>
              <w:rPr>
                <w:sz w:val="24"/>
              </w:rPr>
            </w:pPr>
            <w:r>
              <w:rPr>
                <w:rFonts w:hint="eastAsia"/>
                <w:sz w:val="24"/>
              </w:rPr>
              <mc:AlternateContent>
                <mc:Choice Requires="wps">
                  <w:drawing>
                    <wp:anchor distT="0" distB="0" distL="114300" distR="114300" simplePos="0" relativeHeight="251660288" behindDoc="0" locked="0" layoutInCell="0" allowOverlap="1">
                      <wp:simplePos x="0" y="0"/>
                      <wp:positionH relativeFrom="column">
                        <wp:posOffset>-1244600</wp:posOffset>
                      </wp:positionH>
                      <wp:positionV relativeFrom="paragraph">
                        <wp:posOffset>0</wp:posOffset>
                      </wp:positionV>
                      <wp:extent cx="635" cy="1018540"/>
                      <wp:effectExtent l="4445" t="0" r="13970" b="10160"/>
                      <wp:wrapNone/>
                      <wp:docPr id="19" name="直接连接符 19"/>
                      <wp:cNvGraphicFramePr/>
                      <a:graphic xmlns:a="http://schemas.openxmlformats.org/drawingml/2006/main">
                        <a:graphicData uri="http://schemas.microsoft.com/office/word/2010/wordprocessingShape">
                          <wps:wsp>
                            <wps:cNvCnPr/>
                            <wps:spPr>
                              <a:xfrm>
                                <a:off x="0" y="0"/>
                                <a:ext cx="635" cy="1018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pt;margin-top:0pt;height:80.2pt;width:0.05pt;z-index:251660288;mso-width-relative:page;mso-height-relative:page;" filled="f" stroked="t" coordsize="21600,21600" o:allowincell="f" o:gfxdata="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ydkCNcAAAAKAQAADwAAAAAAAAABACAAAAAiAAAAZHJzL2Rvd25yZXYueG1sUEsB&#10;AhQAFAAAAAgAh07iQHpZZDz2AQAA6gMAAA4AAAAAAAAAAQAgAAAAJgEAAGRycy9lMm9Eb2MueG1s&#10;UEsFBgAAAAAGAAYAWQEAAI4FAAAAAA==&#10;">
                      <v:fill on="f" focussize="0,0"/>
                      <v:stroke color="#000000" joinstyle="round"/>
                      <v:imagedata o:title=""/>
                      <o:lock v:ext="edit" aspectratio="f"/>
                    </v:line>
                  </w:pict>
                </mc:Fallback>
              </mc:AlternateContent>
            </w:r>
            <w:r>
              <w:rPr>
                <w:rFonts w:hint="eastAsia"/>
                <w:sz w:val="24"/>
              </w:rPr>
              <w:t>监测项目</w:t>
            </w:r>
          </w:p>
          <w:p>
            <w:pPr>
              <w:spacing w:line="360" w:lineRule="auto"/>
              <w:ind w:firstLine="480" w:firstLineChars="200"/>
              <w:rPr>
                <w:sz w:val="24"/>
              </w:rPr>
            </w:pPr>
            <w:r>
              <w:rPr>
                <w:rFonts w:hint="eastAsia"/>
                <w:sz w:val="24"/>
              </w:rPr>
              <w:t>监测项目：等效连续A声级。</w:t>
            </w:r>
          </w:p>
          <w:p>
            <w:pPr>
              <w:numPr>
                <w:ilvl w:val="0"/>
                <w:numId w:val="8"/>
              </w:numPr>
              <w:spacing w:line="360" w:lineRule="auto"/>
              <w:rPr>
                <w:sz w:val="24"/>
              </w:rPr>
            </w:pPr>
            <w:r>
              <w:rPr>
                <w:rFonts w:hint="eastAsia"/>
                <w:sz w:val="24"/>
              </w:rPr>
              <w:t>监测时间和频次</w:t>
            </w:r>
          </w:p>
          <w:p>
            <w:pPr>
              <w:spacing w:line="360" w:lineRule="auto"/>
              <w:ind w:firstLine="480" w:firstLineChars="200"/>
              <w:rPr>
                <w:sz w:val="24"/>
              </w:rPr>
            </w:pPr>
            <w:r>
              <w:rPr>
                <w:rFonts w:hint="eastAsia"/>
                <w:sz w:val="24"/>
              </w:rPr>
              <w:t>监测日期为2022年5月20日，监测两天，昼、夜间各监测1次。</w:t>
            </w:r>
          </w:p>
          <w:p>
            <w:pPr>
              <w:numPr>
                <w:ilvl w:val="0"/>
                <w:numId w:val="8"/>
              </w:numPr>
              <w:spacing w:line="360" w:lineRule="auto"/>
              <w:rPr>
                <w:sz w:val="24"/>
              </w:rPr>
            </w:pPr>
            <w:r>
              <w:rPr>
                <w:rFonts w:hint="eastAsia"/>
                <w:sz w:val="24"/>
              </w:rPr>
              <mc:AlternateContent>
                <mc:Choice Requires="wps">
                  <w:drawing>
                    <wp:anchor distT="0" distB="0" distL="114300" distR="114300" simplePos="0" relativeHeight="251661312" behindDoc="0" locked="0" layoutInCell="0" allowOverlap="1">
                      <wp:simplePos x="0" y="0"/>
                      <wp:positionH relativeFrom="column">
                        <wp:posOffset>-1244600</wp:posOffset>
                      </wp:positionH>
                      <wp:positionV relativeFrom="paragraph">
                        <wp:posOffset>0</wp:posOffset>
                      </wp:positionV>
                      <wp:extent cx="635" cy="1018540"/>
                      <wp:effectExtent l="4445" t="0" r="13970" b="10160"/>
                      <wp:wrapNone/>
                      <wp:docPr id="20" name="直接连接符 20"/>
                      <wp:cNvGraphicFramePr/>
                      <a:graphic xmlns:a="http://schemas.openxmlformats.org/drawingml/2006/main">
                        <a:graphicData uri="http://schemas.microsoft.com/office/word/2010/wordprocessingShape">
                          <wps:wsp>
                            <wps:cNvCnPr/>
                            <wps:spPr>
                              <a:xfrm>
                                <a:off x="0" y="0"/>
                                <a:ext cx="635" cy="1018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pt;margin-top:0pt;height:80.2pt;width:0.05pt;z-index:251661312;mso-width-relative:page;mso-height-relative:page;" filled="f" stroked="t" coordsize="21600,21600" o:allowincell="f" o:gfxdata="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J2QI1wAAAAoBAAAPAAAAAAAAAAEAIAAAACIAAABkcnMvZG93bnJldi54bWxQSwEC&#10;FAAUAAAACACHTuJAgxmWWPUBAADqAwAADgAAAAAAAAABACAAAAAmAQAAZHJzL2Uyb0RvYy54bWxQ&#10;SwUGAAAAAAYABgBZAQAAjQUAAAAA&#10;">
                      <v:fill on="f" focussize="0,0"/>
                      <v:stroke color="#000000" joinstyle="round"/>
                      <v:imagedata o:title=""/>
                      <o:lock v:ext="edit" aspectratio="f"/>
                    </v:line>
                  </w:pict>
                </mc:Fallback>
              </mc:AlternateContent>
            </w:r>
            <w:r>
              <w:rPr>
                <w:rFonts w:hint="eastAsia"/>
                <w:sz w:val="24"/>
              </w:rPr>
              <w:t>评价标准</w:t>
            </w:r>
          </w:p>
          <w:p>
            <w:pPr>
              <w:spacing w:line="360" w:lineRule="auto"/>
              <w:ind w:firstLine="482"/>
              <w:rPr>
                <w:sz w:val="24"/>
              </w:rPr>
            </w:pPr>
            <w:r>
              <w:rPr>
                <w:rFonts w:hint="eastAsia"/>
                <w:sz w:val="24"/>
              </w:rPr>
              <w:t>评价标准采用《声环境质量标准》(GB3096-2008)中的1类区标准。</w:t>
            </w:r>
          </w:p>
          <w:p>
            <w:pPr>
              <w:numPr>
                <w:ilvl w:val="0"/>
                <w:numId w:val="8"/>
              </w:numPr>
              <w:spacing w:line="360" w:lineRule="auto"/>
              <w:rPr>
                <w:sz w:val="24"/>
              </w:rPr>
            </w:pPr>
            <w:r>
              <w:rPr>
                <w:rFonts w:hint="eastAsia"/>
                <w:sz w:val="24"/>
              </w:rPr>
              <mc:AlternateContent>
                <mc:Choice Requires="wps">
                  <w:drawing>
                    <wp:anchor distT="0" distB="0" distL="114300" distR="114300" simplePos="0" relativeHeight="251662336" behindDoc="0" locked="0" layoutInCell="0" allowOverlap="1">
                      <wp:simplePos x="0" y="0"/>
                      <wp:positionH relativeFrom="column">
                        <wp:posOffset>-1244600</wp:posOffset>
                      </wp:positionH>
                      <wp:positionV relativeFrom="paragraph">
                        <wp:posOffset>0</wp:posOffset>
                      </wp:positionV>
                      <wp:extent cx="635" cy="1018540"/>
                      <wp:effectExtent l="4445" t="0" r="13970" b="10160"/>
                      <wp:wrapNone/>
                      <wp:docPr id="21" name="直接连接符 21"/>
                      <wp:cNvGraphicFramePr/>
                      <a:graphic xmlns:a="http://schemas.openxmlformats.org/drawingml/2006/main">
                        <a:graphicData uri="http://schemas.microsoft.com/office/word/2010/wordprocessingShape">
                          <wps:wsp>
                            <wps:cNvCnPr/>
                            <wps:spPr>
                              <a:xfrm>
                                <a:off x="0" y="0"/>
                                <a:ext cx="635" cy="1018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pt;margin-top:0pt;height:80.2pt;width:0.05pt;z-index:251662336;mso-width-relative:page;mso-height-relative:page;" filled="f" stroked="t" coordsize="21600,21600" o:allowincell="f" o:gfxdata="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J2QI1wAAAAoBAAAPAAAAAAAAAAEAIAAAACIAAABkcnMvZG93bnJldi54bWxQSwEC&#10;FAAUAAAACACHTuJAa6MaUPUBAADqAwAADgAAAAAAAAABACAAAAAmAQAAZHJzL2Uyb0RvYy54bWxQ&#10;SwUGAAAAAAYABgBZAQAAjQUAAAAA&#10;">
                      <v:fill on="f" focussize="0,0"/>
                      <v:stroke color="#000000" joinstyle="round"/>
                      <v:imagedata o:title=""/>
                      <o:lock v:ext="edit" aspectratio="f"/>
                    </v:line>
                  </w:pict>
                </mc:Fallback>
              </mc:AlternateContent>
            </w:r>
            <w:r>
              <w:rPr>
                <w:rFonts w:hint="eastAsia"/>
                <w:sz w:val="24"/>
              </w:rPr>
              <w:t>监测结果</w:t>
            </w:r>
          </w:p>
          <w:p>
            <w:pPr>
              <w:pStyle w:val="51"/>
              <w:numPr>
                <w:ilvl w:val="0"/>
                <w:numId w:val="7"/>
              </w:numPr>
              <w:spacing w:line="360" w:lineRule="auto"/>
              <w:ind w:left="0" w:firstLine="0"/>
              <w:rPr>
                <w:rFonts w:eastAsia="宋体"/>
                <w:b/>
              </w:rPr>
            </w:pPr>
            <w:r>
              <w:rPr>
                <w:rFonts w:eastAsia="宋体"/>
                <w:b/>
              </w:rPr>
              <w:t>噪声现状监测结果  单位：dB(A)</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3"/>
              <w:gridCol w:w="2230"/>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39" w:type="pct"/>
                  <w:vMerge w:val="restart"/>
                  <w:tcBorders>
                    <w:tl2br w:val="single" w:color="auto" w:sz="4" w:space="0"/>
                  </w:tcBorders>
                  <w:vAlign w:val="center"/>
                </w:tcPr>
                <w:p>
                  <w:pPr>
                    <w:snapToGrid w:val="0"/>
                    <w:ind w:firstLine="2530" w:firstLineChars="1200"/>
                    <w:rPr>
                      <w:b/>
                      <w:szCs w:val="21"/>
                    </w:rPr>
                  </w:pPr>
                  <w:r>
                    <w:rPr>
                      <w:b/>
                      <w:szCs w:val="21"/>
                    </w:rPr>
                    <w:t>点位</w:t>
                  </w:r>
                </w:p>
                <w:p>
                  <w:pPr>
                    <w:snapToGrid w:val="0"/>
                    <w:ind w:firstLine="422" w:firstLineChars="200"/>
                    <w:rPr>
                      <w:szCs w:val="21"/>
                    </w:rPr>
                  </w:pPr>
                  <w:r>
                    <w:rPr>
                      <w:rFonts w:hint="eastAsia"/>
                      <w:b/>
                      <w:bCs/>
                      <w:szCs w:val="21"/>
                    </w:rPr>
                    <w:t>项目</w:t>
                  </w:r>
                </w:p>
              </w:tc>
              <w:tc>
                <w:tcPr>
                  <w:tcW w:w="2760" w:type="pct"/>
                  <w:gridSpan w:val="2"/>
                  <w:vAlign w:val="center"/>
                </w:tcPr>
                <w:p>
                  <w:pPr>
                    <w:jc w:val="center"/>
                    <w:rPr>
                      <w:b/>
                      <w:szCs w:val="21"/>
                    </w:rPr>
                  </w:pPr>
                  <w:r>
                    <w:rPr>
                      <w:b/>
                      <w:szCs w:val="21"/>
                    </w:rPr>
                    <w:t>Zs</w:t>
                  </w:r>
                  <w:r>
                    <w:rPr>
                      <w:rFonts w:hint="eastAsia"/>
                      <w:b/>
                      <w:szCs w:val="21"/>
                    </w:rPr>
                    <w:t>1</w:t>
                  </w:r>
                  <w:r>
                    <w:rPr>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39" w:type="pct"/>
                  <w:vMerge w:val="continue"/>
                  <w:tcBorders>
                    <w:tl2br w:val="single" w:color="auto" w:sz="4" w:space="0"/>
                  </w:tcBorders>
                  <w:vAlign w:val="center"/>
                </w:tcPr>
                <w:p>
                  <w:pPr>
                    <w:rPr>
                      <w:szCs w:val="21"/>
                    </w:rPr>
                  </w:pPr>
                </w:p>
              </w:tc>
              <w:tc>
                <w:tcPr>
                  <w:tcW w:w="1378" w:type="pct"/>
                  <w:vAlign w:val="center"/>
                </w:tcPr>
                <w:p>
                  <w:pPr>
                    <w:jc w:val="center"/>
                    <w:rPr>
                      <w:b/>
                      <w:spacing w:val="-10"/>
                      <w:szCs w:val="21"/>
                    </w:rPr>
                  </w:pPr>
                  <w:r>
                    <w:rPr>
                      <w:b/>
                      <w:spacing w:val="-10"/>
                      <w:szCs w:val="21"/>
                    </w:rPr>
                    <w:t>昼</w:t>
                  </w:r>
                </w:p>
              </w:tc>
              <w:tc>
                <w:tcPr>
                  <w:tcW w:w="1382" w:type="pct"/>
                  <w:vAlign w:val="center"/>
                </w:tcPr>
                <w:p>
                  <w:pPr>
                    <w:jc w:val="center"/>
                    <w:rPr>
                      <w:b/>
                      <w:spacing w:val="-10"/>
                      <w:szCs w:val="21"/>
                    </w:rPr>
                  </w:pPr>
                  <w:r>
                    <w:rPr>
                      <w:b/>
                      <w:spacing w:val="-10"/>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39" w:type="pct"/>
                  <w:vAlign w:val="center"/>
                </w:tcPr>
                <w:p>
                  <w:pPr>
                    <w:jc w:val="center"/>
                    <w:rPr>
                      <w:szCs w:val="21"/>
                    </w:rPr>
                  </w:pPr>
                  <w:r>
                    <w:rPr>
                      <w:rFonts w:hint="eastAsia"/>
                      <w:szCs w:val="21"/>
                    </w:rPr>
                    <w:t>监测值</w:t>
                  </w:r>
                </w:p>
              </w:tc>
              <w:tc>
                <w:tcPr>
                  <w:tcW w:w="1378" w:type="pct"/>
                  <w:vAlign w:val="center"/>
                </w:tcPr>
                <w:p>
                  <w:pPr>
                    <w:adjustRightInd w:val="0"/>
                    <w:snapToGrid w:val="0"/>
                    <w:spacing w:line="0" w:lineRule="atLeast"/>
                    <w:jc w:val="center"/>
                    <w:rPr>
                      <w:szCs w:val="21"/>
                    </w:rPr>
                  </w:pPr>
                  <w:r>
                    <w:rPr>
                      <w:rFonts w:hint="eastAsia"/>
                      <w:szCs w:val="21"/>
                    </w:rPr>
                    <w:t>49.9</w:t>
                  </w:r>
                </w:p>
              </w:tc>
              <w:tc>
                <w:tcPr>
                  <w:tcW w:w="1382" w:type="pct"/>
                  <w:vAlign w:val="center"/>
                </w:tcPr>
                <w:p>
                  <w:pPr>
                    <w:adjustRightInd w:val="0"/>
                    <w:snapToGrid w:val="0"/>
                    <w:spacing w:line="0" w:lineRule="atLeast"/>
                    <w:jc w:val="center"/>
                    <w:rPr>
                      <w:szCs w:val="21"/>
                    </w:rPr>
                  </w:pPr>
                  <w:r>
                    <w:rPr>
                      <w:rFonts w:hint="eastAsia"/>
                      <w:szCs w:val="21"/>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39" w:type="pct"/>
                  <w:vAlign w:val="center"/>
                </w:tcPr>
                <w:p>
                  <w:pPr>
                    <w:jc w:val="center"/>
                    <w:rPr>
                      <w:szCs w:val="21"/>
                    </w:rPr>
                  </w:pPr>
                  <w:r>
                    <w:rPr>
                      <w:rFonts w:hint="eastAsia"/>
                      <w:szCs w:val="21"/>
                    </w:rPr>
                    <w:t>标准值</w:t>
                  </w:r>
                </w:p>
              </w:tc>
              <w:tc>
                <w:tcPr>
                  <w:tcW w:w="1378" w:type="pct"/>
                  <w:vAlign w:val="center"/>
                </w:tcPr>
                <w:p>
                  <w:pPr>
                    <w:adjustRightInd w:val="0"/>
                    <w:snapToGrid w:val="0"/>
                    <w:spacing w:line="0" w:lineRule="atLeast"/>
                    <w:jc w:val="center"/>
                    <w:rPr>
                      <w:szCs w:val="21"/>
                    </w:rPr>
                  </w:pPr>
                  <w:r>
                    <w:rPr>
                      <w:rFonts w:hint="eastAsia"/>
                      <w:szCs w:val="21"/>
                    </w:rPr>
                    <w:t>55</w:t>
                  </w:r>
                </w:p>
              </w:tc>
              <w:tc>
                <w:tcPr>
                  <w:tcW w:w="1382" w:type="pct"/>
                  <w:vAlign w:val="center"/>
                </w:tcPr>
                <w:p>
                  <w:pPr>
                    <w:adjustRightInd w:val="0"/>
                    <w:snapToGrid w:val="0"/>
                    <w:spacing w:line="0" w:lineRule="atLeast"/>
                    <w:jc w:val="center"/>
                    <w:rPr>
                      <w:szCs w:val="21"/>
                    </w:rPr>
                  </w:pPr>
                  <w:r>
                    <w:rPr>
                      <w:rFonts w:hint="eastAsia"/>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39" w:type="pct"/>
                  <w:vAlign w:val="center"/>
                </w:tcPr>
                <w:p>
                  <w:pPr>
                    <w:jc w:val="center"/>
                    <w:rPr>
                      <w:szCs w:val="21"/>
                    </w:rPr>
                  </w:pPr>
                  <w:r>
                    <w:rPr>
                      <w:rFonts w:hint="eastAsia"/>
                      <w:szCs w:val="21"/>
                    </w:rPr>
                    <w:t>达标情况</w:t>
                  </w:r>
                </w:p>
              </w:tc>
              <w:tc>
                <w:tcPr>
                  <w:tcW w:w="1378" w:type="pct"/>
                  <w:vAlign w:val="center"/>
                </w:tcPr>
                <w:p>
                  <w:pPr>
                    <w:adjustRightInd w:val="0"/>
                    <w:snapToGrid w:val="0"/>
                    <w:spacing w:line="0" w:lineRule="atLeast"/>
                    <w:jc w:val="center"/>
                    <w:rPr>
                      <w:szCs w:val="21"/>
                    </w:rPr>
                  </w:pPr>
                  <w:r>
                    <w:rPr>
                      <w:rFonts w:hint="eastAsia"/>
                      <w:szCs w:val="21"/>
                    </w:rPr>
                    <w:t>达标</w:t>
                  </w:r>
                </w:p>
              </w:tc>
              <w:tc>
                <w:tcPr>
                  <w:tcW w:w="1382" w:type="pct"/>
                  <w:vAlign w:val="center"/>
                </w:tcPr>
                <w:p>
                  <w:pPr>
                    <w:adjustRightInd w:val="0"/>
                    <w:snapToGrid w:val="0"/>
                    <w:spacing w:line="0" w:lineRule="atLeast"/>
                    <w:jc w:val="center"/>
                    <w:rPr>
                      <w:szCs w:val="21"/>
                    </w:rPr>
                  </w:pPr>
                  <w:r>
                    <w:rPr>
                      <w:rFonts w:hint="eastAsia"/>
                      <w:szCs w:val="21"/>
                    </w:rPr>
                    <w:t>达标</w:t>
                  </w:r>
                </w:p>
              </w:tc>
            </w:tr>
          </w:tbl>
          <w:p>
            <w:pPr>
              <w:numPr>
                <w:ilvl w:val="0"/>
                <w:numId w:val="8"/>
              </w:numPr>
              <w:spacing w:line="360" w:lineRule="auto"/>
              <w:rPr>
                <w:sz w:val="24"/>
              </w:rPr>
            </w:pPr>
            <w:r>
              <w:rPr>
                <w:rFonts w:hint="eastAsia"/>
                <w:sz w:val="24"/>
              </w:rPr>
              <mc:AlternateContent>
                <mc:Choice Requires="wps">
                  <w:drawing>
                    <wp:anchor distT="0" distB="0" distL="114300" distR="114300" simplePos="0" relativeHeight="251663360" behindDoc="0" locked="0" layoutInCell="0" allowOverlap="1">
                      <wp:simplePos x="0" y="0"/>
                      <wp:positionH relativeFrom="column">
                        <wp:posOffset>-1244600</wp:posOffset>
                      </wp:positionH>
                      <wp:positionV relativeFrom="paragraph">
                        <wp:posOffset>0</wp:posOffset>
                      </wp:positionV>
                      <wp:extent cx="635" cy="1018540"/>
                      <wp:effectExtent l="4445" t="0" r="13970" b="10160"/>
                      <wp:wrapNone/>
                      <wp:docPr id="22" name="直接连接符 22"/>
                      <wp:cNvGraphicFramePr/>
                      <a:graphic xmlns:a="http://schemas.openxmlformats.org/drawingml/2006/main">
                        <a:graphicData uri="http://schemas.microsoft.com/office/word/2010/wordprocessingShape">
                          <wps:wsp>
                            <wps:cNvCnPr/>
                            <wps:spPr>
                              <a:xfrm>
                                <a:off x="0" y="0"/>
                                <a:ext cx="635" cy="1018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pt;margin-top:0pt;height:80.2pt;width:0.05pt;z-index:251663360;mso-width-relative:page;mso-height-relative:page;" filled="f" stroked="t" coordsize="21600,21600" o:allowincell="f" o:gfxdata="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J2QI1wAAAAoBAAAPAAAAAAAAAAEAIAAAACIAAABkcnMvZG93bnJldi54bWxQSwEC&#10;FAAUAAAACACHTuJAU2yPSfUBAADqAwAADgAAAAAAAAABACAAAAAmAQAAZHJzL2Uyb0RvYy54bWxQ&#10;SwUGAAAAAAYABgBZAQAAjQUAAAAA&#10;">
                      <v:fill on="f" focussize="0,0"/>
                      <v:stroke color="#000000" joinstyle="round"/>
                      <v:imagedata o:title=""/>
                      <o:lock v:ext="edit" aspectratio="f"/>
                    </v:line>
                  </w:pict>
                </mc:Fallback>
              </mc:AlternateContent>
            </w:r>
            <w:r>
              <w:rPr>
                <w:rFonts w:hint="eastAsia"/>
                <w:sz w:val="24"/>
              </w:rPr>
              <w:t>评价结果</w:t>
            </w:r>
          </w:p>
          <w:p>
            <w:pPr>
              <w:spacing w:line="360" w:lineRule="auto"/>
              <w:ind w:firstLine="482"/>
              <w:rPr>
                <w:sz w:val="24"/>
              </w:rPr>
            </w:pPr>
            <w:r>
              <w:rPr>
                <w:rFonts w:hint="eastAsia"/>
                <w:sz w:val="24"/>
              </w:rPr>
              <w:t>根据监测结果相应噪声监测数据可知，西侧厂界声环境质量满足《声环境质量标准》（GB3096-2008）1类区标准。</w:t>
            </w:r>
          </w:p>
          <w:p>
            <w:pPr>
              <w:spacing w:line="360" w:lineRule="auto"/>
              <w:ind w:firstLine="482"/>
              <w:rPr>
                <w:b/>
                <w:sz w:val="24"/>
              </w:rPr>
            </w:pPr>
            <w:r>
              <w:rPr>
                <w:b/>
                <w:sz w:val="24"/>
              </w:rPr>
              <w:t>4．</w:t>
            </w:r>
            <w:r>
              <w:rPr>
                <w:rFonts w:hint="eastAsia"/>
                <w:b/>
                <w:sz w:val="24"/>
              </w:rPr>
              <w:t>生态环境现状</w:t>
            </w:r>
          </w:p>
          <w:p>
            <w:pPr>
              <w:pStyle w:val="52"/>
              <w:wordWrap w:val="0"/>
              <w:adjustRightInd w:val="0"/>
              <w:snapToGrid w:val="0"/>
              <w:spacing w:line="360" w:lineRule="auto"/>
              <w:ind w:firstLine="480" w:firstLineChars="200"/>
            </w:pPr>
            <w:r>
              <w:rPr>
                <w:rFonts w:hint="eastAsia" w:ascii="Times New Roman" w:hAnsi="Times New Roman"/>
                <w:sz w:val="24"/>
                <w:szCs w:val="22"/>
              </w:rPr>
              <w:t>项目选址位</w:t>
            </w:r>
            <w:r>
              <w:rPr>
                <w:rFonts w:hint="eastAsia" w:ascii="Times New Roman" w:hAnsi="Times New Roman"/>
                <w:sz w:val="24"/>
                <w:szCs w:val="24"/>
              </w:rPr>
              <w:t>于</w:t>
            </w:r>
            <w:r>
              <w:rPr>
                <w:rFonts w:hint="eastAsia" w:ascii="Times New Roman"/>
                <w:sz w:val="24"/>
                <w:szCs w:val="24"/>
              </w:rPr>
              <w:t>河北宽城经济技术开发区内</w:t>
            </w:r>
            <w:r>
              <w:rPr>
                <w:rFonts w:hint="eastAsia" w:ascii="Times New Roman" w:hAnsi="Times New Roman"/>
                <w:sz w:val="24"/>
                <w:szCs w:val="22"/>
              </w:rPr>
              <w:t>，</w:t>
            </w:r>
            <w:r>
              <w:rPr>
                <w:rFonts w:hint="eastAsia" w:ascii="Times New Roman"/>
                <w:sz w:val="24"/>
                <w:szCs w:val="22"/>
                <w:lang w:val="en-US" w:eastAsia="zh-CN"/>
              </w:rPr>
              <w:t>购买</w:t>
            </w:r>
            <w:r>
              <w:rPr>
                <w:rFonts w:hint="eastAsia" w:ascii="Times New Roman"/>
                <w:sz w:val="24"/>
                <w:szCs w:val="22"/>
              </w:rPr>
              <w:t>原有闲置承德昊天硬质合金制品有限公司场地进行建设，承德昊天硬质合金制品有限公司厂区内已经进行了硬化、绿化。</w:t>
            </w:r>
          </w:p>
          <w:p>
            <w:pPr>
              <w:spacing w:line="360" w:lineRule="auto"/>
              <w:ind w:firstLine="482"/>
              <w:rPr>
                <w:b/>
                <w:sz w:val="24"/>
              </w:rPr>
            </w:pPr>
            <w:r>
              <w:rPr>
                <w:b/>
                <w:sz w:val="24"/>
              </w:rPr>
              <w:t>5．</w:t>
            </w:r>
            <w:r>
              <w:rPr>
                <w:rFonts w:hint="eastAsia"/>
                <w:b/>
                <w:sz w:val="24"/>
              </w:rPr>
              <w:t>地下水、土壤环境现状</w:t>
            </w:r>
          </w:p>
          <w:p>
            <w:pPr>
              <w:spacing w:line="360" w:lineRule="auto"/>
              <w:ind w:firstLine="482"/>
              <w:rPr>
                <w:rFonts w:ascii="宋体" w:hAnsi="宋体" w:cs="宋体"/>
                <w:kern w:val="0"/>
                <w:szCs w:val="21"/>
              </w:rPr>
            </w:pPr>
            <w:r>
              <w:rPr>
                <w:rFonts w:hint="eastAsia"/>
                <w:sz w:val="24"/>
              </w:rPr>
              <w:t>根据识别，结合工程分析，拟建项目不存在土壤、地下水环境污染途径，因此本次评价不进行地下水、土壤环境质量的现状调查。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72"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318" w:type="dxa"/>
            <w:vAlign w:val="center"/>
          </w:tcPr>
          <w:p>
            <w:pPr>
              <w:spacing w:before="120" w:beforeLines="50" w:line="360" w:lineRule="auto"/>
              <w:ind w:firstLine="482"/>
              <w:rPr>
                <w:b/>
                <w:sz w:val="24"/>
              </w:rPr>
            </w:pPr>
            <w:r>
              <w:rPr>
                <w:rFonts w:hint="eastAsia"/>
                <w:b/>
                <w:sz w:val="24"/>
              </w:rPr>
              <w:t>1</w:t>
            </w:r>
            <w:r>
              <w:rPr>
                <w:b/>
                <w:sz w:val="24"/>
              </w:rPr>
              <w:t>．</w:t>
            </w:r>
            <w:r>
              <w:rPr>
                <w:rFonts w:hint="eastAsia"/>
                <w:b/>
                <w:sz w:val="24"/>
              </w:rPr>
              <w:t>环境空气保护目标</w:t>
            </w:r>
          </w:p>
          <w:p>
            <w:pPr>
              <w:spacing w:line="360" w:lineRule="auto"/>
              <w:ind w:firstLine="480"/>
              <w:rPr>
                <w:sz w:val="24"/>
              </w:rPr>
            </w:pPr>
            <w:r>
              <w:rPr>
                <w:rFonts w:hint="eastAsia"/>
                <w:sz w:val="24"/>
              </w:rPr>
              <w:t>项目厂界外5</w:t>
            </w:r>
            <w:r>
              <w:rPr>
                <w:sz w:val="24"/>
              </w:rPr>
              <w:t>00m</w:t>
            </w:r>
            <w:r>
              <w:rPr>
                <w:rFonts w:hint="eastAsia"/>
                <w:sz w:val="24"/>
              </w:rPr>
              <w:t>范围内的环境空气保护目标情况列表如下：</w:t>
            </w:r>
          </w:p>
          <w:p>
            <w:pPr>
              <w:pStyle w:val="51"/>
              <w:numPr>
                <w:ilvl w:val="0"/>
                <w:numId w:val="7"/>
              </w:numPr>
              <w:spacing w:line="360" w:lineRule="auto"/>
              <w:ind w:left="0" w:firstLine="0"/>
              <w:rPr>
                <w:rFonts w:eastAsia="宋体"/>
                <w:b/>
              </w:rPr>
            </w:pPr>
            <w:r>
              <w:rPr>
                <w:rFonts w:hint="eastAsia" w:eastAsia="宋体"/>
                <w:b/>
              </w:rPr>
              <w:t>项目厂界外5</w:t>
            </w:r>
            <w:r>
              <w:rPr>
                <w:rFonts w:eastAsia="宋体"/>
                <w:b/>
              </w:rPr>
              <w:t>00m</w:t>
            </w:r>
            <w:r>
              <w:rPr>
                <w:rFonts w:hint="eastAsia" w:eastAsia="宋体"/>
                <w:b/>
              </w:rPr>
              <w:t>范围内的环境空气保护目标一览表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555"/>
              <w:gridCol w:w="1456"/>
              <w:gridCol w:w="973"/>
              <w:gridCol w:w="830"/>
              <w:gridCol w:w="682"/>
              <w:gridCol w:w="546"/>
              <w:gridCol w:w="684"/>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22" w:type="pct"/>
                  <w:vMerge w:val="restart"/>
                  <w:vAlign w:val="center"/>
                </w:tcPr>
                <w:p>
                  <w:pPr>
                    <w:jc w:val="center"/>
                    <w:rPr>
                      <w:b/>
                      <w:szCs w:val="21"/>
                    </w:rPr>
                  </w:pPr>
                  <w:r>
                    <w:rPr>
                      <w:rFonts w:hint="eastAsia"/>
                      <w:b/>
                      <w:szCs w:val="21"/>
                    </w:rPr>
                    <w:t>类别</w:t>
                  </w:r>
                </w:p>
              </w:tc>
              <w:tc>
                <w:tcPr>
                  <w:tcW w:w="1859" w:type="pct"/>
                  <w:gridSpan w:val="2"/>
                  <w:vAlign w:val="center"/>
                </w:tcPr>
                <w:p>
                  <w:pPr>
                    <w:jc w:val="center"/>
                    <w:rPr>
                      <w:b/>
                      <w:szCs w:val="21"/>
                    </w:rPr>
                  </w:pPr>
                  <w:r>
                    <w:rPr>
                      <w:rFonts w:hint="eastAsia"/>
                      <w:b/>
                      <w:szCs w:val="21"/>
                    </w:rPr>
                    <w:t>坐标</w:t>
                  </w:r>
                </w:p>
              </w:tc>
              <w:tc>
                <w:tcPr>
                  <w:tcW w:w="601" w:type="pct"/>
                  <w:vMerge w:val="restart"/>
                  <w:vAlign w:val="center"/>
                </w:tcPr>
                <w:p>
                  <w:pPr>
                    <w:jc w:val="center"/>
                    <w:rPr>
                      <w:b/>
                      <w:szCs w:val="21"/>
                    </w:rPr>
                  </w:pPr>
                  <w:r>
                    <w:rPr>
                      <w:rFonts w:hint="eastAsia"/>
                      <w:b/>
                      <w:szCs w:val="21"/>
                    </w:rPr>
                    <w:t>保护对象名称</w:t>
                  </w:r>
                </w:p>
              </w:tc>
              <w:tc>
                <w:tcPr>
                  <w:tcW w:w="513" w:type="pct"/>
                  <w:vMerge w:val="restart"/>
                  <w:vAlign w:val="center"/>
                </w:tcPr>
                <w:p>
                  <w:pPr>
                    <w:jc w:val="center"/>
                    <w:rPr>
                      <w:b/>
                      <w:szCs w:val="21"/>
                    </w:rPr>
                  </w:pPr>
                  <w:r>
                    <w:rPr>
                      <w:rFonts w:hint="eastAsia"/>
                      <w:b/>
                      <w:szCs w:val="21"/>
                    </w:rPr>
                    <w:t>保护内容</w:t>
                  </w:r>
                </w:p>
              </w:tc>
              <w:tc>
                <w:tcPr>
                  <w:tcW w:w="422" w:type="pct"/>
                  <w:vMerge w:val="restart"/>
                  <w:vAlign w:val="center"/>
                </w:tcPr>
                <w:p>
                  <w:pPr>
                    <w:jc w:val="center"/>
                    <w:rPr>
                      <w:b/>
                      <w:szCs w:val="21"/>
                    </w:rPr>
                  </w:pPr>
                  <w:r>
                    <w:rPr>
                      <w:rFonts w:hint="eastAsia"/>
                      <w:b/>
                      <w:szCs w:val="21"/>
                    </w:rPr>
                    <w:t>环境功能区</w:t>
                  </w:r>
                </w:p>
              </w:tc>
              <w:tc>
                <w:tcPr>
                  <w:tcW w:w="1280" w:type="pct"/>
                  <w:gridSpan w:val="3"/>
                  <w:vAlign w:val="center"/>
                </w:tcPr>
                <w:p>
                  <w:pPr>
                    <w:jc w:val="center"/>
                    <w:rPr>
                      <w:b/>
                      <w:szCs w:val="21"/>
                    </w:rPr>
                  </w:pPr>
                  <w:r>
                    <w:rPr>
                      <w:rFonts w:hint="eastAsia"/>
                      <w:b/>
                      <w:szCs w:val="21"/>
                    </w:rPr>
                    <w:t>定点医院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22" w:type="pct"/>
                  <w:vMerge w:val="continue"/>
                  <w:vAlign w:val="center"/>
                </w:tcPr>
                <w:p>
                  <w:pPr>
                    <w:jc w:val="center"/>
                    <w:rPr>
                      <w:b/>
                      <w:szCs w:val="21"/>
                    </w:rPr>
                  </w:pPr>
                </w:p>
              </w:tc>
              <w:tc>
                <w:tcPr>
                  <w:tcW w:w="960" w:type="pct"/>
                  <w:vAlign w:val="center"/>
                </w:tcPr>
                <w:p>
                  <w:pPr>
                    <w:jc w:val="center"/>
                    <w:rPr>
                      <w:b/>
                      <w:szCs w:val="21"/>
                    </w:rPr>
                  </w:pPr>
                  <w:r>
                    <w:rPr>
                      <w:rFonts w:hint="eastAsia"/>
                      <w:b/>
                      <w:szCs w:val="21"/>
                    </w:rPr>
                    <w:t>E</w:t>
                  </w:r>
                </w:p>
              </w:tc>
              <w:tc>
                <w:tcPr>
                  <w:tcW w:w="898" w:type="pct"/>
                  <w:vAlign w:val="center"/>
                </w:tcPr>
                <w:p>
                  <w:pPr>
                    <w:jc w:val="center"/>
                    <w:rPr>
                      <w:b/>
                      <w:szCs w:val="21"/>
                    </w:rPr>
                  </w:pPr>
                  <w:r>
                    <w:rPr>
                      <w:rFonts w:hint="eastAsia"/>
                      <w:b/>
                      <w:szCs w:val="21"/>
                    </w:rPr>
                    <w:t>N</w:t>
                  </w:r>
                </w:p>
              </w:tc>
              <w:tc>
                <w:tcPr>
                  <w:tcW w:w="601" w:type="pct"/>
                  <w:vMerge w:val="continue"/>
                  <w:vAlign w:val="center"/>
                </w:tcPr>
                <w:p>
                  <w:pPr>
                    <w:jc w:val="center"/>
                    <w:rPr>
                      <w:b/>
                      <w:szCs w:val="21"/>
                    </w:rPr>
                  </w:pPr>
                </w:p>
              </w:tc>
              <w:tc>
                <w:tcPr>
                  <w:tcW w:w="513" w:type="pct"/>
                  <w:vMerge w:val="continue"/>
                  <w:vAlign w:val="center"/>
                </w:tcPr>
                <w:p>
                  <w:pPr>
                    <w:jc w:val="center"/>
                    <w:rPr>
                      <w:b/>
                      <w:szCs w:val="21"/>
                    </w:rPr>
                  </w:pPr>
                </w:p>
              </w:tc>
              <w:tc>
                <w:tcPr>
                  <w:tcW w:w="422" w:type="pct"/>
                  <w:vMerge w:val="continue"/>
                  <w:vAlign w:val="center"/>
                </w:tcPr>
                <w:p>
                  <w:pPr>
                    <w:jc w:val="center"/>
                    <w:rPr>
                      <w:b/>
                      <w:szCs w:val="21"/>
                    </w:rPr>
                  </w:pPr>
                </w:p>
              </w:tc>
              <w:tc>
                <w:tcPr>
                  <w:tcW w:w="337" w:type="pct"/>
                  <w:vAlign w:val="center"/>
                </w:tcPr>
                <w:p>
                  <w:pPr>
                    <w:jc w:val="center"/>
                    <w:rPr>
                      <w:b/>
                      <w:szCs w:val="21"/>
                    </w:rPr>
                  </w:pPr>
                  <w:r>
                    <w:rPr>
                      <w:rFonts w:hint="eastAsia"/>
                      <w:b/>
                      <w:szCs w:val="21"/>
                    </w:rPr>
                    <w:t>最近厂界</w:t>
                  </w:r>
                </w:p>
              </w:tc>
              <w:tc>
                <w:tcPr>
                  <w:tcW w:w="423" w:type="pct"/>
                  <w:vAlign w:val="center"/>
                </w:tcPr>
                <w:p>
                  <w:pPr>
                    <w:jc w:val="center"/>
                    <w:rPr>
                      <w:b/>
                      <w:szCs w:val="21"/>
                    </w:rPr>
                  </w:pPr>
                  <w:r>
                    <w:rPr>
                      <w:rFonts w:hint="eastAsia"/>
                      <w:b/>
                      <w:szCs w:val="21"/>
                    </w:rPr>
                    <w:t>相对厂界方位</w:t>
                  </w:r>
                </w:p>
              </w:tc>
              <w:tc>
                <w:tcPr>
                  <w:tcW w:w="518" w:type="pct"/>
                  <w:vAlign w:val="center"/>
                </w:tcPr>
                <w:p>
                  <w:pPr>
                    <w:jc w:val="center"/>
                    <w:rPr>
                      <w:b/>
                      <w:szCs w:val="21"/>
                    </w:rPr>
                  </w:pPr>
                  <w:r>
                    <w:rPr>
                      <w:rFonts w:hint="eastAsia"/>
                      <w:b/>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22" w:type="pct"/>
                  <w:vMerge w:val="restart"/>
                  <w:vAlign w:val="center"/>
                </w:tcPr>
                <w:p>
                  <w:pPr>
                    <w:jc w:val="center"/>
                    <w:rPr>
                      <w:szCs w:val="21"/>
                    </w:rPr>
                  </w:pPr>
                  <w:r>
                    <w:rPr>
                      <w:rFonts w:hint="eastAsia"/>
                      <w:szCs w:val="21"/>
                    </w:rPr>
                    <w:t>环境空气</w:t>
                  </w:r>
                </w:p>
              </w:tc>
              <w:tc>
                <w:tcPr>
                  <w:tcW w:w="960" w:type="pct"/>
                  <w:vAlign w:val="center"/>
                </w:tcPr>
                <w:p>
                  <w:pPr>
                    <w:jc w:val="center"/>
                    <w:rPr>
                      <w:szCs w:val="21"/>
                    </w:rPr>
                  </w:pPr>
                  <w:r>
                    <w:rPr>
                      <w:szCs w:val="21"/>
                    </w:rPr>
                    <w:t>118°31′26.369″</w:t>
                  </w:r>
                </w:p>
              </w:tc>
              <w:tc>
                <w:tcPr>
                  <w:tcW w:w="898" w:type="pct"/>
                  <w:vAlign w:val="center"/>
                </w:tcPr>
                <w:p>
                  <w:pPr>
                    <w:jc w:val="center"/>
                    <w:rPr>
                      <w:szCs w:val="21"/>
                    </w:rPr>
                  </w:pPr>
                  <w:r>
                    <w:rPr>
                      <w:szCs w:val="21"/>
                    </w:rPr>
                    <w:t>40°37′30.171″</w:t>
                  </w:r>
                </w:p>
              </w:tc>
              <w:tc>
                <w:tcPr>
                  <w:tcW w:w="601" w:type="pct"/>
                  <w:vAlign w:val="center"/>
                </w:tcPr>
                <w:p>
                  <w:pPr>
                    <w:jc w:val="center"/>
                    <w:rPr>
                      <w:szCs w:val="21"/>
                    </w:rPr>
                  </w:pPr>
                  <w:r>
                    <w:rPr>
                      <w:rFonts w:hint="eastAsia"/>
                      <w:szCs w:val="21"/>
                    </w:rPr>
                    <w:t>偏山子村</w:t>
                  </w:r>
                </w:p>
              </w:tc>
              <w:tc>
                <w:tcPr>
                  <w:tcW w:w="513" w:type="pct"/>
                  <w:vAlign w:val="center"/>
                </w:tcPr>
                <w:p>
                  <w:pPr>
                    <w:jc w:val="center"/>
                    <w:rPr>
                      <w:szCs w:val="21"/>
                    </w:rPr>
                  </w:pPr>
                  <w:r>
                    <w:rPr>
                      <w:rFonts w:hint="eastAsia"/>
                      <w:szCs w:val="21"/>
                    </w:rPr>
                    <w:t>居住</w:t>
                  </w:r>
                </w:p>
              </w:tc>
              <w:tc>
                <w:tcPr>
                  <w:tcW w:w="422" w:type="pct"/>
                  <w:vAlign w:val="center"/>
                </w:tcPr>
                <w:p>
                  <w:pPr>
                    <w:jc w:val="center"/>
                    <w:rPr>
                      <w:szCs w:val="21"/>
                    </w:rPr>
                  </w:pPr>
                  <w:r>
                    <w:rPr>
                      <w:rFonts w:hint="eastAsia"/>
                      <w:szCs w:val="21"/>
                    </w:rPr>
                    <w:t>二类区</w:t>
                  </w:r>
                </w:p>
              </w:tc>
              <w:tc>
                <w:tcPr>
                  <w:tcW w:w="337" w:type="pct"/>
                  <w:vAlign w:val="center"/>
                </w:tcPr>
                <w:p>
                  <w:pPr>
                    <w:jc w:val="center"/>
                    <w:rPr>
                      <w:szCs w:val="21"/>
                    </w:rPr>
                  </w:pPr>
                  <w:r>
                    <w:rPr>
                      <w:rFonts w:hint="eastAsia"/>
                      <w:szCs w:val="21"/>
                    </w:rPr>
                    <w:t>东</w:t>
                  </w:r>
                </w:p>
              </w:tc>
              <w:tc>
                <w:tcPr>
                  <w:tcW w:w="423" w:type="pct"/>
                  <w:vAlign w:val="center"/>
                </w:tcPr>
                <w:p>
                  <w:pPr>
                    <w:jc w:val="center"/>
                    <w:rPr>
                      <w:szCs w:val="21"/>
                    </w:rPr>
                  </w:pPr>
                  <w:r>
                    <w:rPr>
                      <w:rFonts w:hint="eastAsia"/>
                      <w:szCs w:val="21"/>
                    </w:rPr>
                    <w:t>东北</w:t>
                  </w:r>
                </w:p>
              </w:tc>
              <w:tc>
                <w:tcPr>
                  <w:tcW w:w="518" w:type="pct"/>
                  <w:vAlign w:val="center"/>
                </w:tcPr>
                <w:p>
                  <w:pPr>
                    <w:jc w:val="center"/>
                    <w:rPr>
                      <w:szCs w:val="21"/>
                    </w:rPr>
                  </w:pPr>
                  <w:r>
                    <w:rPr>
                      <w:rFonts w:hint="eastAsia"/>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22" w:type="pct"/>
                  <w:vMerge w:val="continue"/>
                  <w:vAlign w:val="center"/>
                </w:tcPr>
                <w:p>
                  <w:pPr>
                    <w:jc w:val="center"/>
                    <w:rPr>
                      <w:szCs w:val="21"/>
                    </w:rPr>
                  </w:pPr>
                </w:p>
              </w:tc>
              <w:tc>
                <w:tcPr>
                  <w:tcW w:w="960" w:type="pct"/>
                  <w:vAlign w:val="center"/>
                </w:tcPr>
                <w:p>
                  <w:pPr>
                    <w:jc w:val="center"/>
                    <w:rPr>
                      <w:szCs w:val="21"/>
                    </w:rPr>
                  </w:pPr>
                  <w:r>
                    <w:t>118°31′1.765″</w:t>
                  </w:r>
                </w:p>
              </w:tc>
              <w:tc>
                <w:tcPr>
                  <w:tcW w:w="898" w:type="pct"/>
                  <w:vAlign w:val="center"/>
                </w:tcPr>
                <w:p>
                  <w:pPr>
                    <w:jc w:val="center"/>
                    <w:rPr>
                      <w:szCs w:val="21"/>
                    </w:rPr>
                  </w:pPr>
                  <w:r>
                    <w:rPr>
                      <w:szCs w:val="21"/>
                    </w:rPr>
                    <w:t>40°37′37.355″</w:t>
                  </w:r>
                </w:p>
              </w:tc>
              <w:tc>
                <w:tcPr>
                  <w:tcW w:w="601" w:type="pct"/>
                  <w:vAlign w:val="center"/>
                </w:tcPr>
                <w:p>
                  <w:pPr>
                    <w:jc w:val="center"/>
                    <w:rPr>
                      <w:szCs w:val="21"/>
                    </w:rPr>
                  </w:pPr>
                  <w:r>
                    <w:rPr>
                      <w:rFonts w:hint="eastAsia"/>
                      <w:szCs w:val="21"/>
                    </w:rPr>
                    <w:t>二道河子村</w:t>
                  </w:r>
                </w:p>
              </w:tc>
              <w:tc>
                <w:tcPr>
                  <w:tcW w:w="513" w:type="pct"/>
                  <w:vAlign w:val="center"/>
                </w:tcPr>
                <w:p>
                  <w:pPr>
                    <w:jc w:val="center"/>
                    <w:rPr>
                      <w:szCs w:val="21"/>
                    </w:rPr>
                  </w:pPr>
                  <w:r>
                    <w:rPr>
                      <w:rFonts w:hint="eastAsia"/>
                      <w:szCs w:val="21"/>
                    </w:rPr>
                    <w:t>居住</w:t>
                  </w:r>
                </w:p>
              </w:tc>
              <w:tc>
                <w:tcPr>
                  <w:tcW w:w="422" w:type="pct"/>
                  <w:vAlign w:val="center"/>
                </w:tcPr>
                <w:p>
                  <w:pPr>
                    <w:jc w:val="center"/>
                    <w:rPr>
                      <w:szCs w:val="21"/>
                    </w:rPr>
                  </w:pPr>
                  <w:r>
                    <w:rPr>
                      <w:rFonts w:hint="eastAsia"/>
                      <w:szCs w:val="21"/>
                    </w:rPr>
                    <w:t>二类区</w:t>
                  </w:r>
                </w:p>
              </w:tc>
              <w:tc>
                <w:tcPr>
                  <w:tcW w:w="337" w:type="pct"/>
                  <w:vAlign w:val="center"/>
                </w:tcPr>
                <w:p>
                  <w:pPr>
                    <w:jc w:val="center"/>
                    <w:rPr>
                      <w:szCs w:val="21"/>
                    </w:rPr>
                  </w:pPr>
                  <w:r>
                    <w:rPr>
                      <w:rFonts w:hint="eastAsia"/>
                      <w:szCs w:val="21"/>
                    </w:rPr>
                    <w:t>西</w:t>
                  </w:r>
                </w:p>
              </w:tc>
              <w:tc>
                <w:tcPr>
                  <w:tcW w:w="423" w:type="pct"/>
                  <w:vAlign w:val="center"/>
                </w:tcPr>
                <w:p>
                  <w:pPr>
                    <w:jc w:val="center"/>
                    <w:rPr>
                      <w:szCs w:val="21"/>
                    </w:rPr>
                  </w:pPr>
                  <w:r>
                    <w:rPr>
                      <w:rFonts w:hint="eastAsia"/>
                      <w:szCs w:val="21"/>
                    </w:rPr>
                    <w:t>西北</w:t>
                  </w:r>
                </w:p>
              </w:tc>
              <w:tc>
                <w:tcPr>
                  <w:tcW w:w="518" w:type="pct"/>
                  <w:vAlign w:val="center"/>
                </w:tcPr>
                <w:p>
                  <w:pPr>
                    <w:jc w:val="center"/>
                    <w:rPr>
                      <w:szCs w:val="21"/>
                    </w:rPr>
                  </w:pPr>
                  <w:r>
                    <w:rPr>
                      <w:rFonts w:hint="eastAsia"/>
                      <w:szCs w:val="21"/>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22" w:type="pct"/>
                  <w:vMerge w:val="continue"/>
                  <w:vAlign w:val="center"/>
                </w:tcPr>
                <w:p>
                  <w:pPr>
                    <w:jc w:val="center"/>
                    <w:rPr>
                      <w:szCs w:val="21"/>
                    </w:rPr>
                  </w:pPr>
                </w:p>
              </w:tc>
              <w:tc>
                <w:tcPr>
                  <w:tcW w:w="960" w:type="pct"/>
                  <w:vAlign w:val="center"/>
                </w:tcPr>
                <w:p>
                  <w:pPr>
                    <w:jc w:val="center"/>
                    <w:rPr>
                      <w:szCs w:val="21"/>
                    </w:rPr>
                  </w:pPr>
                  <w:r>
                    <w:rPr>
                      <w:szCs w:val="21"/>
                    </w:rPr>
                    <w:t>118°31′17.891″</w:t>
                  </w:r>
                </w:p>
              </w:tc>
              <w:tc>
                <w:tcPr>
                  <w:tcW w:w="898" w:type="pct"/>
                  <w:vAlign w:val="center"/>
                </w:tcPr>
                <w:p>
                  <w:pPr>
                    <w:jc w:val="center"/>
                    <w:rPr>
                      <w:szCs w:val="21"/>
                    </w:rPr>
                  </w:pPr>
                  <w:r>
                    <w:rPr>
                      <w:szCs w:val="21"/>
                    </w:rPr>
                    <w:t>40°37′24.493″</w:t>
                  </w:r>
                </w:p>
              </w:tc>
              <w:tc>
                <w:tcPr>
                  <w:tcW w:w="601" w:type="pct"/>
                  <w:vAlign w:val="center"/>
                </w:tcPr>
                <w:p>
                  <w:pPr>
                    <w:jc w:val="center"/>
                    <w:rPr>
                      <w:szCs w:val="21"/>
                    </w:rPr>
                  </w:pPr>
                  <w:r>
                    <w:rPr>
                      <w:rFonts w:hint="eastAsia"/>
                      <w:szCs w:val="21"/>
                    </w:rPr>
                    <w:t>方舱医院</w:t>
                  </w:r>
                </w:p>
              </w:tc>
              <w:tc>
                <w:tcPr>
                  <w:tcW w:w="513" w:type="pct"/>
                  <w:vAlign w:val="center"/>
                </w:tcPr>
                <w:p>
                  <w:pPr>
                    <w:jc w:val="center"/>
                    <w:rPr>
                      <w:szCs w:val="21"/>
                    </w:rPr>
                  </w:pPr>
                  <w:r>
                    <w:rPr>
                      <w:rFonts w:hint="eastAsia"/>
                      <w:szCs w:val="21"/>
                    </w:rPr>
                    <w:t>医疗</w:t>
                  </w:r>
                </w:p>
              </w:tc>
              <w:tc>
                <w:tcPr>
                  <w:tcW w:w="422" w:type="pct"/>
                  <w:vAlign w:val="center"/>
                </w:tcPr>
                <w:p>
                  <w:pPr>
                    <w:jc w:val="center"/>
                    <w:rPr>
                      <w:szCs w:val="21"/>
                    </w:rPr>
                  </w:pPr>
                  <w:r>
                    <w:rPr>
                      <w:rFonts w:hint="eastAsia"/>
                      <w:szCs w:val="21"/>
                    </w:rPr>
                    <w:t>二类区</w:t>
                  </w:r>
                </w:p>
              </w:tc>
              <w:tc>
                <w:tcPr>
                  <w:tcW w:w="337" w:type="pct"/>
                  <w:vAlign w:val="center"/>
                </w:tcPr>
                <w:p>
                  <w:pPr>
                    <w:jc w:val="center"/>
                    <w:rPr>
                      <w:szCs w:val="21"/>
                    </w:rPr>
                  </w:pPr>
                  <w:r>
                    <w:rPr>
                      <w:rFonts w:hint="eastAsia"/>
                      <w:szCs w:val="21"/>
                    </w:rPr>
                    <w:t>东</w:t>
                  </w:r>
                </w:p>
              </w:tc>
              <w:tc>
                <w:tcPr>
                  <w:tcW w:w="423" w:type="pct"/>
                  <w:vAlign w:val="center"/>
                </w:tcPr>
                <w:p>
                  <w:pPr>
                    <w:jc w:val="center"/>
                    <w:rPr>
                      <w:szCs w:val="21"/>
                    </w:rPr>
                  </w:pPr>
                  <w:r>
                    <w:rPr>
                      <w:rFonts w:hint="eastAsia"/>
                      <w:szCs w:val="21"/>
                    </w:rPr>
                    <w:t>东</w:t>
                  </w:r>
                </w:p>
              </w:tc>
              <w:tc>
                <w:tcPr>
                  <w:tcW w:w="518" w:type="pct"/>
                  <w:vAlign w:val="center"/>
                </w:tcPr>
                <w:p>
                  <w:pPr>
                    <w:jc w:val="center"/>
                    <w:rPr>
                      <w:szCs w:val="21"/>
                    </w:rPr>
                  </w:pPr>
                  <w:r>
                    <w:rPr>
                      <w:rFonts w:hint="eastAsia"/>
                      <w:szCs w:val="21"/>
                    </w:rPr>
                    <w:t>20</w:t>
                  </w:r>
                </w:p>
              </w:tc>
            </w:tr>
          </w:tbl>
          <w:p>
            <w:pPr>
              <w:spacing w:before="120" w:beforeLines="50" w:line="360" w:lineRule="auto"/>
              <w:ind w:firstLine="482"/>
              <w:rPr>
                <w:b/>
                <w:sz w:val="24"/>
              </w:rPr>
            </w:pPr>
            <w:r>
              <w:rPr>
                <w:b/>
                <w:sz w:val="24"/>
              </w:rPr>
              <w:t>2．</w:t>
            </w:r>
            <w:r>
              <w:rPr>
                <w:rFonts w:hint="eastAsia"/>
                <w:b/>
                <w:sz w:val="24"/>
              </w:rPr>
              <w:t>声环境保护目标</w:t>
            </w:r>
          </w:p>
          <w:p>
            <w:pPr>
              <w:spacing w:before="120" w:beforeLines="50" w:line="360" w:lineRule="auto"/>
              <w:ind w:firstLine="482"/>
              <w:rPr>
                <w:sz w:val="24"/>
              </w:rPr>
            </w:pPr>
            <w:r>
              <w:rPr>
                <w:rFonts w:hint="eastAsia"/>
                <w:sz w:val="24"/>
              </w:rPr>
              <w:t>根据现状调查，项目厂界外周边50米范围内声环境保护目标为东侧20m的方舱医院。</w:t>
            </w:r>
          </w:p>
          <w:p>
            <w:pPr>
              <w:pStyle w:val="51"/>
              <w:numPr>
                <w:ilvl w:val="0"/>
                <w:numId w:val="7"/>
              </w:numPr>
              <w:spacing w:line="360" w:lineRule="auto"/>
              <w:ind w:left="0" w:firstLine="0"/>
              <w:rPr>
                <w:rFonts w:eastAsia="宋体"/>
                <w:b/>
              </w:rPr>
            </w:pPr>
            <w:r>
              <w:rPr>
                <w:rFonts w:hint="eastAsia" w:eastAsia="宋体"/>
                <w:b/>
              </w:rPr>
              <w:t>项目厂界外5</w:t>
            </w:r>
            <w:r>
              <w:rPr>
                <w:rFonts w:eastAsia="宋体"/>
                <w:b/>
              </w:rPr>
              <w:t>0m</w:t>
            </w:r>
            <w:r>
              <w:rPr>
                <w:rFonts w:hint="eastAsia" w:eastAsia="宋体"/>
                <w:b/>
              </w:rPr>
              <w:t>范围内的声环境保护目标一览表</w:t>
            </w:r>
          </w:p>
          <w:tbl>
            <w:tblPr>
              <w:tblStyle w:val="19"/>
              <w:tblW w:w="8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787"/>
              <w:gridCol w:w="1555"/>
              <w:gridCol w:w="915"/>
              <w:gridCol w:w="750"/>
              <w:gridCol w:w="726"/>
              <w:gridCol w:w="540"/>
              <w:gridCol w:w="615"/>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39" w:type="dxa"/>
                  <w:vMerge w:val="restart"/>
                  <w:vAlign w:val="center"/>
                </w:tcPr>
                <w:p>
                  <w:pPr>
                    <w:jc w:val="center"/>
                    <w:rPr>
                      <w:b/>
                      <w:szCs w:val="21"/>
                    </w:rPr>
                  </w:pPr>
                  <w:r>
                    <w:rPr>
                      <w:rFonts w:hint="eastAsia"/>
                      <w:b/>
                      <w:szCs w:val="21"/>
                    </w:rPr>
                    <w:t>类别</w:t>
                  </w:r>
                </w:p>
              </w:tc>
              <w:tc>
                <w:tcPr>
                  <w:tcW w:w="3342" w:type="dxa"/>
                  <w:gridSpan w:val="2"/>
                  <w:vAlign w:val="center"/>
                </w:tcPr>
                <w:p>
                  <w:pPr>
                    <w:jc w:val="center"/>
                    <w:rPr>
                      <w:b/>
                      <w:szCs w:val="21"/>
                    </w:rPr>
                  </w:pPr>
                  <w:r>
                    <w:rPr>
                      <w:rFonts w:hint="eastAsia"/>
                      <w:b/>
                      <w:szCs w:val="21"/>
                    </w:rPr>
                    <w:t>坐标</w:t>
                  </w:r>
                </w:p>
              </w:tc>
              <w:tc>
                <w:tcPr>
                  <w:tcW w:w="915" w:type="dxa"/>
                  <w:vMerge w:val="restart"/>
                  <w:vAlign w:val="center"/>
                </w:tcPr>
                <w:p>
                  <w:pPr>
                    <w:jc w:val="center"/>
                    <w:rPr>
                      <w:b/>
                      <w:szCs w:val="21"/>
                    </w:rPr>
                  </w:pPr>
                  <w:r>
                    <w:rPr>
                      <w:rFonts w:hint="eastAsia"/>
                      <w:b/>
                      <w:szCs w:val="21"/>
                    </w:rPr>
                    <w:t>保护对象名称</w:t>
                  </w:r>
                </w:p>
              </w:tc>
              <w:tc>
                <w:tcPr>
                  <w:tcW w:w="750" w:type="dxa"/>
                  <w:vMerge w:val="restart"/>
                  <w:vAlign w:val="center"/>
                </w:tcPr>
                <w:p>
                  <w:pPr>
                    <w:jc w:val="center"/>
                    <w:rPr>
                      <w:b/>
                      <w:szCs w:val="21"/>
                    </w:rPr>
                  </w:pPr>
                  <w:r>
                    <w:rPr>
                      <w:rFonts w:hint="eastAsia"/>
                      <w:b/>
                      <w:szCs w:val="21"/>
                    </w:rPr>
                    <w:t>保护内容</w:t>
                  </w:r>
                </w:p>
              </w:tc>
              <w:tc>
                <w:tcPr>
                  <w:tcW w:w="726" w:type="dxa"/>
                  <w:vMerge w:val="restart"/>
                  <w:vAlign w:val="center"/>
                </w:tcPr>
                <w:p>
                  <w:pPr>
                    <w:jc w:val="center"/>
                    <w:rPr>
                      <w:b/>
                      <w:szCs w:val="21"/>
                    </w:rPr>
                  </w:pPr>
                  <w:r>
                    <w:rPr>
                      <w:rFonts w:hint="eastAsia"/>
                      <w:b/>
                      <w:szCs w:val="21"/>
                    </w:rPr>
                    <w:t>环境功能区</w:t>
                  </w:r>
                </w:p>
              </w:tc>
              <w:tc>
                <w:tcPr>
                  <w:tcW w:w="1771" w:type="dxa"/>
                  <w:gridSpan w:val="3"/>
                  <w:vAlign w:val="center"/>
                </w:tcPr>
                <w:p>
                  <w:pPr>
                    <w:jc w:val="center"/>
                    <w:rPr>
                      <w:b/>
                      <w:szCs w:val="21"/>
                    </w:rPr>
                  </w:pPr>
                  <w:r>
                    <w:rPr>
                      <w:rFonts w:hint="eastAsia"/>
                      <w:b/>
                      <w:szCs w:val="21"/>
                    </w:rPr>
                    <w:t>定点医院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vAlign w:val="center"/>
                </w:tcPr>
                <w:p>
                  <w:pPr>
                    <w:jc w:val="center"/>
                    <w:rPr>
                      <w:b/>
                      <w:szCs w:val="21"/>
                    </w:rPr>
                  </w:pPr>
                </w:p>
              </w:tc>
              <w:tc>
                <w:tcPr>
                  <w:tcW w:w="1787" w:type="dxa"/>
                  <w:vAlign w:val="center"/>
                </w:tcPr>
                <w:p>
                  <w:pPr>
                    <w:jc w:val="center"/>
                    <w:rPr>
                      <w:b/>
                      <w:szCs w:val="21"/>
                    </w:rPr>
                  </w:pPr>
                  <w:r>
                    <w:rPr>
                      <w:rFonts w:hint="eastAsia"/>
                      <w:b/>
                      <w:szCs w:val="21"/>
                    </w:rPr>
                    <w:t>E</w:t>
                  </w:r>
                </w:p>
              </w:tc>
              <w:tc>
                <w:tcPr>
                  <w:tcW w:w="1555" w:type="dxa"/>
                  <w:vAlign w:val="center"/>
                </w:tcPr>
                <w:p>
                  <w:pPr>
                    <w:jc w:val="center"/>
                    <w:rPr>
                      <w:b/>
                      <w:szCs w:val="21"/>
                    </w:rPr>
                  </w:pPr>
                  <w:r>
                    <w:rPr>
                      <w:rFonts w:hint="eastAsia"/>
                      <w:b/>
                      <w:szCs w:val="21"/>
                    </w:rPr>
                    <w:t>N</w:t>
                  </w:r>
                </w:p>
              </w:tc>
              <w:tc>
                <w:tcPr>
                  <w:tcW w:w="915" w:type="dxa"/>
                  <w:vMerge w:val="continue"/>
                  <w:vAlign w:val="center"/>
                </w:tcPr>
                <w:p>
                  <w:pPr>
                    <w:jc w:val="center"/>
                    <w:rPr>
                      <w:b/>
                      <w:szCs w:val="21"/>
                    </w:rPr>
                  </w:pPr>
                </w:p>
              </w:tc>
              <w:tc>
                <w:tcPr>
                  <w:tcW w:w="750" w:type="dxa"/>
                  <w:vMerge w:val="continue"/>
                  <w:vAlign w:val="center"/>
                </w:tcPr>
                <w:p>
                  <w:pPr>
                    <w:jc w:val="center"/>
                    <w:rPr>
                      <w:b/>
                      <w:szCs w:val="21"/>
                    </w:rPr>
                  </w:pPr>
                </w:p>
              </w:tc>
              <w:tc>
                <w:tcPr>
                  <w:tcW w:w="726" w:type="dxa"/>
                  <w:vMerge w:val="continue"/>
                  <w:vAlign w:val="center"/>
                </w:tcPr>
                <w:p>
                  <w:pPr>
                    <w:jc w:val="center"/>
                    <w:rPr>
                      <w:b/>
                      <w:szCs w:val="21"/>
                    </w:rPr>
                  </w:pPr>
                </w:p>
              </w:tc>
              <w:tc>
                <w:tcPr>
                  <w:tcW w:w="540" w:type="dxa"/>
                  <w:vAlign w:val="center"/>
                </w:tcPr>
                <w:p>
                  <w:pPr>
                    <w:jc w:val="center"/>
                    <w:rPr>
                      <w:b/>
                      <w:szCs w:val="21"/>
                    </w:rPr>
                  </w:pPr>
                  <w:r>
                    <w:rPr>
                      <w:rFonts w:hint="eastAsia"/>
                      <w:b/>
                      <w:szCs w:val="21"/>
                    </w:rPr>
                    <w:t>最近厂界</w:t>
                  </w:r>
                </w:p>
              </w:tc>
              <w:tc>
                <w:tcPr>
                  <w:tcW w:w="615" w:type="dxa"/>
                  <w:vAlign w:val="center"/>
                </w:tcPr>
                <w:p>
                  <w:pPr>
                    <w:jc w:val="center"/>
                    <w:rPr>
                      <w:b/>
                      <w:szCs w:val="21"/>
                    </w:rPr>
                  </w:pPr>
                  <w:r>
                    <w:rPr>
                      <w:rFonts w:hint="eastAsia"/>
                      <w:b/>
                      <w:szCs w:val="21"/>
                    </w:rPr>
                    <w:t>相对厂界方位</w:t>
                  </w:r>
                </w:p>
              </w:tc>
              <w:tc>
                <w:tcPr>
                  <w:tcW w:w="616" w:type="dxa"/>
                  <w:vAlign w:val="center"/>
                </w:tcPr>
                <w:p>
                  <w:pPr>
                    <w:jc w:val="center"/>
                    <w:rPr>
                      <w:b/>
                      <w:szCs w:val="21"/>
                    </w:rPr>
                  </w:pPr>
                  <w:r>
                    <w:rPr>
                      <w:rFonts w:hint="eastAsia"/>
                      <w:b/>
                      <w:szCs w:val="21"/>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Align w:val="center"/>
                </w:tcPr>
                <w:p>
                  <w:pPr>
                    <w:jc w:val="center"/>
                    <w:rPr>
                      <w:bCs/>
                      <w:szCs w:val="21"/>
                    </w:rPr>
                  </w:pPr>
                  <w:r>
                    <w:rPr>
                      <w:rFonts w:hint="eastAsia"/>
                      <w:bCs/>
                      <w:szCs w:val="21"/>
                    </w:rPr>
                    <w:t>环境噪声</w:t>
                  </w:r>
                </w:p>
              </w:tc>
              <w:tc>
                <w:tcPr>
                  <w:tcW w:w="1787" w:type="dxa"/>
                  <w:vAlign w:val="center"/>
                </w:tcPr>
                <w:p>
                  <w:pPr>
                    <w:jc w:val="center"/>
                    <w:rPr>
                      <w:bCs/>
                      <w:szCs w:val="21"/>
                    </w:rPr>
                  </w:pPr>
                  <w:r>
                    <w:rPr>
                      <w:bCs/>
                      <w:szCs w:val="21"/>
                    </w:rPr>
                    <w:t>118°31′17.891″</w:t>
                  </w:r>
                </w:p>
              </w:tc>
              <w:tc>
                <w:tcPr>
                  <w:tcW w:w="1555" w:type="dxa"/>
                  <w:vAlign w:val="center"/>
                </w:tcPr>
                <w:p>
                  <w:pPr>
                    <w:jc w:val="center"/>
                    <w:rPr>
                      <w:bCs/>
                      <w:szCs w:val="21"/>
                    </w:rPr>
                  </w:pPr>
                  <w:r>
                    <w:rPr>
                      <w:bCs/>
                      <w:szCs w:val="21"/>
                    </w:rPr>
                    <w:t>40°37′24.493″</w:t>
                  </w:r>
                </w:p>
              </w:tc>
              <w:tc>
                <w:tcPr>
                  <w:tcW w:w="915" w:type="dxa"/>
                  <w:vAlign w:val="center"/>
                </w:tcPr>
                <w:p>
                  <w:pPr>
                    <w:jc w:val="center"/>
                    <w:rPr>
                      <w:bCs/>
                      <w:szCs w:val="21"/>
                    </w:rPr>
                  </w:pPr>
                  <w:r>
                    <w:rPr>
                      <w:rFonts w:hint="eastAsia"/>
                      <w:bCs/>
                      <w:szCs w:val="21"/>
                    </w:rPr>
                    <w:t>方舱医院</w:t>
                  </w:r>
                </w:p>
              </w:tc>
              <w:tc>
                <w:tcPr>
                  <w:tcW w:w="750" w:type="dxa"/>
                  <w:vAlign w:val="center"/>
                </w:tcPr>
                <w:p>
                  <w:pPr>
                    <w:jc w:val="center"/>
                    <w:rPr>
                      <w:bCs/>
                      <w:szCs w:val="21"/>
                    </w:rPr>
                  </w:pPr>
                  <w:r>
                    <w:rPr>
                      <w:rFonts w:hint="eastAsia"/>
                      <w:bCs/>
                      <w:szCs w:val="21"/>
                    </w:rPr>
                    <w:t>医疗</w:t>
                  </w:r>
                </w:p>
              </w:tc>
              <w:tc>
                <w:tcPr>
                  <w:tcW w:w="726" w:type="dxa"/>
                  <w:vAlign w:val="center"/>
                </w:tcPr>
                <w:p>
                  <w:pPr>
                    <w:jc w:val="center"/>
                    <w:rPr>
                      <w:bCs/>
                      <w:szCs w:val="21"/>
                    </w:rPr>
                  </w:pPr>
                  <w:r>
                    <w:rPr>
                      <w:rFonts w:hint="eastAsia"/>
                      <w:bCs/>
                      <w:szCs w:val="21"/>
                    </w:rPr>
                    <w:t>一类区</w:t>
                  </w:r>
                </w:p>
              </w:tc>
              <w:tc>
                <w:tcPr>
                  <w:tcW w:w="540" w:type="dxa"/>
                  <w:vAlign w:val="center"/>
                </w:tcPr>
                <w:p>
                  <w:pPr>
                    <w:jc w:val="center"/>
                    <w:rPr>
                      <w:b/>
                      <w:szCs w:val="21"/>
                    </w:rPr>
                  </w:pPr>
                  <w:r>
                    <w:rPr>
                      <w:rFonts w:hint="eastAsia"/>
                      <w:szCs w:val="21"/>
                    </w:rPr>
                    <w:t>东</w:t>
                  </w:r>
                </w:p>
              </w:tc>
              <w:tc>
                <w:tcPr>
                  <w:tcW w:w="615" w:type="dxa"/>
                  <w:vAlign w:val="center"/>
                </w:tcPr>
                <w:p>
                  <w:pPr>
                    <w:jc w:val="center"/>
                    <w:rPr>
                      <w:b/>
                      <w:szCs w:val="21"/>
                    </w:rPr>
                  </w:pPr>
                  <w:r>
                    <w:rPr>
                      <w:rFonts w:hint="eastAsia"/>
                      <w:szCs w:val="21"/>
                    </w:rPr>
                    <w:t>东</w:t>
                  </w:r>
                </w:p>
              </w:tc>
              <w:tc>
                <w:tcPr>
                  <w:tcW w:w="616" w:type="dxa"/>
                  <w:vAlign w:val="center"/>
                </w:tcPr>
                <w:p>
                  <w:pPr>
                    <w:jc w:val="center"/>
                    <w:rPr>
                      <w:b/>
                      <w:szCs w:val="21"/>
                    </w:rPr>
                  </w:pPr>
                  <w:r>
                    <w:rPr>
                      <w:rFonts w:hint="eastAsia"/>
                      <w:szCs w:val="21"/>
                    </w:rPr>
                    <w:t>20</w:t>
                  </w:r>
                </w:p>
              </w:tc>
            </w:tr>
          </w:tbl>
          <w:p>
            <w:pPr>
              <w:spacing w:before="120" w:beforeLines="50" w:line="360" w:lineRule="auto"/>
              <w:ind w:firstLine="482"/>
              <w:rPr>
                <w:b/>
                <w:sz w:val="24"/>
              </w:rPr>
            </w:pPr>
            <w:r>
              <w:rPr>
                <w:b/>
                <w:sz w:val="24"/>
              </w:rPr>
              <w:t>3．</w:t>
            </w:r>
            <w:r>
              <w:rPr>
                <w:rFonts w:hint="eastAsia"/>
                <w:b/>
                <w:sz w:val="24"/>
              </w:rPr>
              <w:t>地下水环境保护目标</w:t>
            </w:r>
          </w:p>
          <w:p>
            <w:pPr>
              <w:spacing w:line="360" w:lineRule="auto"/>
              <w:ind w:firstLine="480"/>
              <w:rPr>
                <w:sz w:val="24"/>
              </w:rPr>
            </w:pPr>
            <w:r>
              <w:rPr>
                <w:rFonts w:hint="eastAsia"/>
                <w:sz w:val="24"/>
              </w:rPr>
              <w:t>项目厂界外5</w:t>
            </w:r>
            <w:r>
              <w:rPr>
                <w:sz w:val="24"/>
              </w:rPr>
              <w:t>00m</w:t>
            </w:r>
            <w:r>
              <w:rPr>
                <w:rFonts w:hint="eastAsia"/>
                <w:sz w:val="24"/>
              </w:rPr>
              <w:t>范围内没有地下水集中式饮用水源和热水、矿泉水、温泉等特殊地下水资源。</w:t>
            </w:r>
          </w:p>
          <w:p>
            <w:pPr>
              <w:spacing w:line="360" w:lineRule="auto"/>
              <w:ind w:firstLine="482"/>
              <w:rPr>
                <w:b/>
                <w:sz w:val="24"/>
              </w:rPr>
            </w:pPr>
            <w:r>
              <w:rPr>
                <w:b/>
                <w:sz w:val="24"/>
              </w:rPr>
              <w:t>4．</w:t>
            </w:r>
            <w:r>
              <w:rPr>
                <w:rFonts w:hint="eastAsia"/>
                <w:b/>
                <w:sz w:val="24"/>
              </w:rPr>
              <w:t>生态环境保护目标</w:t>
            </w:r>
          </w:p>
          <w:p>
            <w:pPr>
              <w:spacing w:line="360" w:lineRule="auto"/>
              <w:ind w:firstLine="480"/>
              <w:rPr>
                <w:rFonts w:ascii="宋体" w:hAnsi="宋体" w:cs="宋体"/>
                <w:kern w:val="0"/>
                <w:szCs w:val="21"/>
              </w:rPr>
            </w:pPr>
            <w:r>
              <w:rPr>
                <w:rFonts w:hint="eastAsia"/>
                <w:sz w:val="24"/>
              </w:rPr>
              <w:t>项目建设位于宽城满族自治县龙须门镇药王庙村承德昊天硬质合金制品有限公司院内，在宽城经济开发区内，不涉及生态环境保护目标。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672" w:type="dxa"/>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318" w:type="dxa"/>
            <w:vAlign w:val="center"/>
          </w:tcPr>
          <w:p>
            <w:pPr>
              <w:spacing w:before="120" w:beforeLines="50" w:line="360" w:lineRule="auto"/>
              <w:ind w:firstLine="482"/>
              <w:rPr>
                <w:rFonts w:hint="default" w:eastAsia="宋体"/>
                <w:b/>
                <w:sz w:val="24"/>
                <w:lang w:val="en-US" w:eastAsia="zh-CN"/>
              </w:rPr>
            </w:pPr>
            <w:r>
              <w:rPr>
                <w:rFonts w:hint="eastAsia"/>
                <w:b/>
                <w:sz w:val="24"/>
              </w:rPr>
              <w:t>1</w:t>
            </w:r>
            <w:r>
              <w:rPr>
                <w:b/>
                <w:sz w:val="24"/>
              </w:rPr>
              <w:t>．</w:t>
            </w:r>
            <w:r>
              <w:rPr>
                <w:rFonts w:hint="eastAsia"/>
                <w:b/>
                <w:sz w:val="24"/>
              </w:rPr>
              <w:t>大气污染物排放标</w:t>
            </w:r>
            <w:r>
              <w:rPr>
                <w:rFonts w:hint="eastAsia" w:ascii="Times New Roman" w:hAnsi="Times New Roman" w:eastAsia="宋体" w:cs="Times New Roman"/>
                <w:b/>
                <w:sz w:val="24"/>
              </w:rPr>
              <w:t>准</w:t>
            </w:r>
            <w:r>
              <w:rPr>
                <w:rFonts w:hint="eastAsia" w:ascii="Times New Roman" w:hAnsi="Times New Roman" w:eastAsia="宋体" w:cs="Times New Roman"/>
                <w:b/>
                <w:sz w:val="24"/>
                <w:lang w:val="en-US" w:eastAsia="zh-CN"/>
              </w:rPr>
              <w:t>限值</w:t>
            </w:r>
          </w:p>
          <w:p>
            <w:pPr>
              <w:spacing w:line="360" w:lineRule="auto"/>
              <w:ind w:firstLine="480"/>
              <w:rPr>
                <w:sz w:val="24"/>
              </w:rPr>
            </w:pPr>
            <w:r>
              <w:rPr>
                <w:rFonts w:hint="eastAsia"/>
                <w:sz w:val="24"/>
              </w:rPr>
              <w:t>（1）建设阶段</w:t>
            </w:r>
          </w:p>
          <w:p>
            <w:pPr>
              <w:spacing w:line="360" w:lineRule="auto"/>
              <w:ind w:firstLine="480"/>
              <w:rPr>
                <w:sz w:val="24"/>
              </w:rPr>
            </w:pPr>
            <w:r>
              <w:rPr>
                <w:rFonts w:hint="eastAsia"/>
                <w:sz w:val="24"/>
              </w:rPr>
              <w:t>建设阶段施工扬尘执行</w:t>
            </w:r>
            <w:r>
              <w:rPr>
                <w:sz w:val="24"/>
              </w:rPr>
              <w:t>《</w:t>
            </w:r>
            <w:r>
              <w:rPr>
                <w:rFonts w:hint="eastAsia"/>
                <w:sz w:val="24"/>
              </w:rPr>
              <w:t>施工场地扬尘排放标准</w:t>
            </w:r>
            <w:r>
              <w:rPr>
                <w:sz w:val="24"/>
              </w:rPr>
              <w:t>》（DB13/2934-2019）中表1</w:t>
            </w:r>
            <w:r>
              <w:rPr>
                <w:rFonts w:hint="eastAsia"/>
                <w:sz w:val="24"/>
              </w:rPr>
              <w:t>施工场地扬尘排放浓度限值</w:t>
            </w:r>
            <w:r>
              <w:rPr>
                <w:sz w:val="24"/>
              </w:rPr>
              <w:t>的要求</w:t>
            </w:r>
            <w:r>
              <w:rPr>
                <w:rFonts w:hint="eastAsia"/>
                <w:sz w:val="24"/>
              </w:rPr>
              <w:t>；</w:t>
            </w:r>
          </w:p>
          <w:p>
            <w:pPr>
              <w:pStyle w:val="51"/>
              <w:numPr>
                <w:ilvl w:val="0"/>
                <w:numId w:val="7"/>
              </w:numPr>
              <w:spacing w:line="360" w:lineRule="auto"/>
              <w:ind w:left="0" w:firstLine="0"/>
            </w:pPr>
            <w:r>
              <w:rPr>
                <w:rFonts w:hint="eastAsia" w:eastAsia="宋体"/>
                <w:b/>
              </w:rPr>
              <w:t>建设阶段大气污染物排放标准及限值一览表（单位：dB（A））</w:t>
            </w:r>
          </w:p>
          <w:tbl>
            <w:tblPr>
              <w:tblStyle w:val="18"/>
              <w:tblW w:w="8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318"/>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72" w:type="dxa"/>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污染物名称</w:t>
                  </w:r>
                </w:p>
              </w:tc>
              <w:tc>
                <w:tcPr>
                  <w:tcW w:w="2318" w:type="dxa"/>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标准值</w:t>
                  </w:r>
                </w:p>
              </w:tc>
              <w:tc>
                <w:tcPr>
                  <w:tcW w:w="3553" w:type="dxa"/>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172" w:type="dxa"/>
                  <w:vAlign w:val="center"/>
                </w:tcPr>
                <w:p>
                  <w:pPr>
                    <w:pStyle w:val="53"/>
                    <w:rPr>
                      <w:color w:val="auto"/>
                      <w:sz w:val="21"/>
                    </w:rPr>
                  </w:pPr>
                  <w:r>
                    <w:rPr>
                      <w:rFonts w:hint="eastAsia"/>
                      <w:color w:val="auto"/>
                      <w:sz w:val="21"/>
                    </w:rPr>
                    <w:t>PM</w:t>
                  </w:r>
                  <w:r>
                    <w:rPr>
                      <w:rFonts w:hint="eastAsia"/>
                      <w:color w:val="auto"/>
                      <w:sz w:val="21"/>
                      <w:vertAlign w:val="subscript"/>
                    </w:rPr>
                    <w:t>10</w:t>
                  </w:r>
                </w:p>
              </w:tc>
              <w:tc>
                <w:tcPr>
                  <w:tcW w:w="2318" w:type="dxa"/>
                  <w:vAlign w:val="center"/>
                </w:tcPr>
                <w:p>
                  <w:pPr>
                    <w:pStyle w:val="53"/>
                    <w:rPr>
                      <w:color w:val="auto"/>
                      <w:sz w:val="21"/>
                    </w:rPr>
                  </w:pPr>
                  <w:r>
                    <w:rPr>
                      <w:color w:val="auto"/>
                      <w:sz w:val="21"/>
                    </w:rPr>
                    <w:t>≤80μg/m³</w:t>
                  </w:r>
                </w:p>
                <w:p>
                  <w:pPr>
                    <w:pStyle w:val="53"/>
                    <w:rPr>
                      <w:color w:val="auto"/>
                      <w:sz w:val="21"/>
                    </w:rPr>
                  </w:pPr>
                  <w:r>
                    <w:rPr>
                      <w:color w:val="auto"/>
                      <w:sz w:val="21"/>
                    </w:rPr>
                    <w:t>≤2次/天</w:t>
                  </w:r>
                </w:p>
              </w:tc>
              <w:tc>
                <w:tcPr>
                  <w:tcW w:w="3553" w:type="dxa"/>
                  <w:vAlign w:val="center"/>
                </w:tcPr>
                <w:p>
                  <w:pPr>
                    <w:pStyle w:val="53"/>
                    <w:rPr>
                      <w:color w:val="auto"/>
                      <w:sz w:val="21"/>
                    </w:rPr>
                  </w:pPr>
                  <w:r>
                    <w:rPr>
                      <w:color w:val="auto"/>
                      <w:sz w:val="21"/>
                    </w:rPr>
                    <w:t>《施工场地扬尘排放标准》(DB13/2934-2019)表1中的扬尘排放限值</w:t>
                  </w:r>
                </w:p>
              </w:tc>
            </w:tr>
          </w:tbl>
          <w:p>
            <w:pPr>
              <w:spacing w:line="360" w:lineRule="auto"/>
              <w:ind w:firstLine="480"/>
              <w:rPr>
                <w:sz w:val="24"/>
              </w:rPr>
            </w:pPr>
            <w:r>
              <w:rPr>
                <w:rFonts w:hint="eastAsia"/>
                <w:sz w:val="24"/>
              </w:rPr>
              <w:t>（2）运行阶段</w:t>
            </w:r>
          </w:p>
          <w:p>
            <w:pPr>
              <w:spacing w:line="360" w:lineRule="auto"/>
              <w:ind w:firstLine="482"/>
              <w:rPr>
                <w:sz w:val="24"/>
              </w:rPr>
            </w:pPr>
            <w:r>
              <w:rPr>
                <w:rFonts w:hint="eastAsia"/>
                <w:sz w:val="24"/>
              </w:rPr>
              <w:t>项目无污水处理站，不产生废气。</w:t>
            </w:r>
          </w:p>
          <w:p>
            <w:pPr>
              <w:spacing w:before="120" w:beforeLines="50" w:line="360" w:lineRule="auto"/>
              <w:ind w:firstLine="482"/>
              <w:rPr>
                <w:b/>
                <w:sz w:val="24"/>
              </w:rPr>
            </w:pPr>
            <w:r>
              <w:rPr>
                <w:b/>
                <w:sz w:val="24"/>
              </w:rPr>
              <w:t>2．</w:t>
            </w:r>
            <w:r>
              <w:rPr>
                <w:rFonts w:hint="eastAsia"/>
                <w:b/>
                <w:sz w:val="24"/>
              </w:rPr>
              <w:t>水污染物排放标准</w:t>
            </w:r>
          </w:p>
          <w:p>
            <w:pPr>
              <w:spacing w:line="360" w:lineRule="auto"/>
              <w:ind w:firstLine="482"/>
              <w:rPr>
                <w:sz w:val="24"/>
              </w:rPr>
            </w:pPr>
            <w:r>
              <w:rPr>
                <w:rFonts w:hint="eastAsia"/>
                <w:sz w:val="24"/>
              </w:rPr>
              <w:t>定点医院生活污水和医疗污水全部排入隔壁方舱医院污水处理站，不外排。污水经方舱医院污水处理站处理后，排入市政管网，再由宽城碧水源环保有限公司进行处理，方舱医院污水处理站和宽城碧水源环保有限公司进水水质要求见下表。</w:t>
            </w:r>
          </w:p>
          <w:p>
            <w:pPr>
              <w:pStyle w:val="51"/>
              <w:numPr>
                <w:ilvl w:val="0"/>
                <w:numId w:val="7"/>
              </w:numPr>
              <w:spacing w:line="360" w:lineRule="auto"/>
              <w:ind w:left="0" w:firstLine="0"/>
              <w:rPr>
                <w:rFonts w:eastAsia="宋体"/>
                <w:b/>
              </w:rPr>
            </w:pPr>
            <w:r>
              <w:rPr>
                <w:rFonts w:hint="eastAsia" w:eastAsia="宋体"/>
                <w:b/>
              </w:rPr>
              <w:t>方舱医院污水处理站、宽城碧水源环保有限公司进水水质表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697"/>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65"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pacing w:line="240" w:lineRule="auto"/>
                    <w:ind w:firstLine="0"/>
                    <w:textAlignment w:val="auto"/>
                    <w:rPr>
                      <w:b/>
                      <w:bCs/>
                      <w:sz w:val="24"/>
                    </w:rPr>
                  </w:pPr>
                </w:p>
                <w:p>
                  <w:pPr>
                    <w:keepNext w:val="0"/>
                    <w:keepLines w:val="0"/>
                    <w:pageBreakBefore w:val="0"/>
                    <w:widowControl w:val="0"/>
                    <w:kinsoku/>
                    <w:wordWrap/>
                    <w:overflowPunct/>
                    <w:topLinePunct w:val="0"/>
                    <w:autoSpaceDE/>
                    <w:autoSpaceDN/>
                    <w:bidi w:val="0"/>
                    <w:adjustRightInd/>
                    <w:spacing w:line="240" w:lineRule="auto"/>
                    <w:ind w:firstLine="241" w:firstLineChars="100"/>
                    <w:textAlignment w:val="auto"/>
                    <w:rPr>
                      <w:rFonts w:hint="eastAsia"/>
                      <w:b/>
                      <w:bCs/>
                      <w:sz w:val="24"/>
                    </w:rPr>
                  </w:pPr>
                </w:p>
                <w:p>
                  <w:pPr>
                    <w:keepNext w:val="0"/>
                    <w:keepLines w:val="0"/>
                    <w:pageBreakBefore w:val="0"/>
                    <w:widowControl w:val="0"/>
                    <w:kinsoku/>
                    <w:wordWrap/>
                    <w:overflowPunct/>
                    <w:topLinePunct w:val="0"/>
                    <w:autoSpaceDE/>
                    <w:autoSpaceDN/>
                    <w:bidi w:val="0"/>
                    <w:adjustRightInd/>
                    <w:spacing w:line="240" w:lineRule="auto"/>
                    <w:ind w:firstLine="241" w:firstLineChars="100"/>
                    <w:textAlignment w:val="auto"/>
                    <w:rPr>
                      <w:b/>
                      <w:bCs/>
                      <w:sz w:val="24"/>
                    </w:rPr>
                  </w:pPr>
                  <w:r>
                    <w:rPr>
                      <w:rFonts w:hint="eastAsia"/>
                      <w:b/>
                      <w:bCs/>
                      <w:sz w:val="24"/>
                    </w:rPr>
                    <w:t>指标</w:t>
                  </w:r>
                </w:p>
                <w:p>
                  <w:pPr>
                    <w:keepNext w:val="0"/>
                    <w:keepLines w:val="0"/>
                    <w:pageBreakBefore w:val="0"/>
                    <w:widowControl w:val="0"/>
                    <w:kinsoku/>
                    <w:wordWrap/>
                    <w:overflowPunct/>
                    <w:topLinePunct w:val="0"/>
                    <w:autoSpaceDE/>
                    <w:autoSpaceDN/>
                    <w:bidi w:val="0"/>
                    <w:adjustRightInd/>
                    <w:spacing w:line="240" w:lineRule="auto"/>
                    <w:ind w:firstLine="0"/>
                    <w:textAlignment w:val="auto"/>
                    <w:rPr>
                      <w:b/>
                      <w:bCs/>
                      <w:sz w:val="24"/>
                    </w:rPr>
                  </w:pPr>
                </w:p>
                <w:p>
                  <w:pPr>
                    <w:keepNext w:val="0"/>
                    <w:keepLines w:val="0"/>
                    <w:pageBreakBefore w:val="0"/>
                    <w:widowControl w:val="0"/>
                    <w:kinsoku/>
                    <w:wordWrap/>
                    <w:overflowPunct/>
                    <w:topLinePunct w:val="0"/>
                    <w:autoSpaceDE/>
                    <w:autoSpaceDN/>
                    <w:bidi w:val="0"/>
                    <w:adjustRightInd/>
                    <w:snapToGrid w:val="0"/>
                    <w:spacing w:line="240" w:lineRule="auto"/>
                    <w:ind w:firstLine="0"/>
                    <w:textAlignment w:val="auto"/>
                    <mc:AlternateContent>
                      <mc:Choice Requires="wpsCustomData">
                        <wpsCustomData:diagonalParaType/>
                      </mc:Choice>
                    </mc:AlternateContent>
                    <w:rPr>
                      <w:b/>
                      <w:bCs/>
                      <w:sz w:val="24"/>
                    </w:rPr>
                  </w:pPr>
                  <w:r>
                    <w:rPr>
                      <w:rFonts w:hint="eastAsia"/>
                      <w:b/>
                      <w:bCs/>
                      <w:sz w:val="24"/>
                    </w:rPr>
                    <w:t>项目</w:t>
                  </w:r>
                </w:p>
                <w:p>
                  <w:pPr>
                    <w:keepNext w:val="0"/>
                    <w:keepLines w:val="0"/>
                    <w:pageBreakBefore w:val="0"/>
                    <w:widowControl w:val="0"/>
                    <w:kinsoku/>
                    <w:wordWrap/>
                    <w:overflowPunct/>
                    <w:topLinePunct w:val="0"/>
                    <w:autoSpaceDE/>
                    <w:autoSpaceDN/>
                    <w:bidi w:val="0"/>
                    <w:adjustRightInd/>
                    <w:spacing w:line="240" w:lineRule="auto"/>
                    <w:ind w:firstLine="0"/>
                    <w:textAlignment w:val="auto"/>
                    <w:rPr>
                      <w:rFonts w:hint="eastAsia"/>
                      <w:b/>
                      <w:bCs/>
                      <w:sz w:val="24"/>
                      <w:lang w:val="en-US" w:eastAsia="zh-CN"/>
                    </w:rPr>
                  </w:pPr>
                </w:p>
                <w:p>
                  <w:pPr>
                    <w:keepNext w:val="0"/>
                    <w:keepLines w:val="0"/>
                    <w:pageBreakBefore w:val="0"/>
                    <w:widowControl w:val="0"/>
                    <w:kinsoku/>
                    <w:wordWrap/>
                    <w:overflowPunct/>
                    <w:topLinePunct w:val="0"/>
                    <w:autoSpaceDE/>
                    <w:autoSpaceDN/>
                    <w:bidi w:val="0"/>
                    <w:adjustRightInd/>
                    <w:spacing w:line="240" w:lineRule="auto"/>
                    <w:ind w:firstLine="241" w:firstLineChars="100"/>
                    <w:textAlignment w:val="auto"/>
                    <w:rPr>
                      <w:rFonts w:hint="eastAsia" w:eastAsia="宋体"/>
                      <w:b/>
                      <w:bCs/>
                      <w:sz w:val="24"/>
                      <w:lang w:val="en-US" w:eastAsia="zh-CN"/>
                    </w:rPr>
                  </w:pPr>
                  <w:r>
                    <w:rPr>
                      <w:rFonts w:hint="eastAsia"/>
                      <w:b/>
                      <w:bCs/>
                      <w:sz w:val="24"/>
                      <w:lang w:val="en-US" w:eastAsia="zh-CN"/>
                    </w:rPr>
                    <w:t>项目</w:t>
                  </w:r>
                </w:p>
              </w:tc>
              <w:tc>
                <w:tcPr>
                  <w:tcW w:w="1667" w:type="pct"/>
                  <w:vAlign w:val="center"/>
                </w:tcPr>
                <w:p>
                  <w:pPr>
                    <w:jc w:val="center"/>
                    <w:rPr>
                      <w:b/>
                      <w:bCs/>
                      <w:sz w:val="24"/>
                    </w:rPr>
                  </w:pPr>
                  <w:r>
                    <w:rPr>
                      <w:rFonts w:hint="eastAsia"/>
                      <w:b/>
                      <w:bCs/>
                      <w:sz w:val="24"/>
                    </w:rPr>
                    <w:t>方舱医院污水处理站</w:t>
                  </w:r>
                </w:p>
                <w:p>
                  <w:pPr>
                    <w:jc w:val="center"/>
                    <w:rPr>
                      <w:b/>
                      <w:bCs/>
                      <w:sz w:val="24"/>
                    </w:rPr>
                  </w:pPr>
                  <w:r>
                    <w:rPr>
                      <w:rFonts w:hint="eastAsia"/>
                      <w:b/>
                      <w:bCs/>
                      <w:sz w:val="24"/>
                    </w:rPr>
                    <w:t>进水水质</w:t>
                  </w:r>
                </w:p>
              </w:tc>
              <w:tc>
                <w:tcPr>
                  <w:tcW w:w="1667" w:type="pct"/>
                  <w:vAlign w:val="center"/>
                </w:tcPr>
                <w:p>
                  <w:pPr>
                    <w:jc w:val="center"/>
                    <w:rPr>
                      <w:b/>
                      <w:bCs/>
                      <w:sz w:val="24"/>
                    </w:rPr>
                  </w:pPr>
                  <w:r>
                    <w:rPr>
                      <w:rFonts w:hint="eastAsia"/>
                      <w:b/>
                      <w:bCs/>
                      <w:sz w:val="24"/>
                    </w:rPr>
                    <w:t>宽城碧水源环保有限公司进水水质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pct"/>
                  <w:vAlign w:val="center"/>
                </w:tcPr>
                <w:p>
                  <w:pPr>
                    <w:jc w:val="center"/>
                    <w:rPr>
                      <w:sz w:val="24"/>
                    </w:rPr>
                  </w:pPr>
                  <w:r>
                    <w:rPr>
                      <w:rFonts w:hint="eastAsia"/>
                      <w:sz w:val="24"/>
                    </w:rPr>
                    <w:t>pH</w:t>
                  </w:r>
                </w:p>
              </w:tc>
              <w:tc>
                <w:tcPr>
                  <w:tcW w:w="1667" w:type="pct"/>
                  <w:vAlign w:val="center"/>
                </w:tcPr>
                <w:p>
                  <w:pPr>
                    <w:jc w:val="center"/>
                    <w:rPr>
                      <w:sz w:val="24"/>
                    </w:rPr>
                  </w:pPr>
                  <w:r>
                    <w:rPr>
                      <w:rFonts w:hint="eastAsia"/>
                      <w:sz w:val="24"/>
                    </w:rPr>
                    <w:t>6-9</w:t>
                  </w:r>
                </w:p>
              </w:tc>
              <w:tc>
                <w:tcPr>
                  <w:tcW w:w="1667" w:type="pct"/>
                  <w:vAlign w:val="center"/>
                </w:tcPr>
                <w:p>
                  <w:pPr>
                    <w:pStyle w:val="56"/>
                    <w:spacing w:line="240" w:lineRule="atLeast"/>
                    <w:rPr>
                      <w:rFonts w:ascii="Times New Roman"/>
                    </w:rPr>
                  </w:pPr>
                  <w:r>
                    <w:rPr>
                      <w:rFonts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pct"/>
                  <w:vAlign w:val="center"/>
                </w:tcPr>
                <w:p>
                  <w:pPr>
                    <w:jc w:val="center"/>
                    <w:rPr>
                      <w:sz w:val="24"/>
                    </w:rPr>
                  </w:pPr>
                  <w:r>
                    <w:rPr>
                      <w:rFonts w:hint="eastAsia"/>
                      <w:sz w:val="24"/>
                    </w:rPr>
                    <w:t>COD</w:t>
                  </w:r>
                </w:p>
              </w:tc>
              <w:tc>
                <w:tcPr>
                  <w:tcW w:w="1667" w:type="pct"/>
                  <w:vAlign w:val="center"/>
                </w:tcPr>
                <w:p>
                  <w:pPr>
                    <w:jc w:val="center"/>
                    <w:rPr>
                      <w:sz w:val="24"/>
                    </w:rPr>
                  </w:pPr>
                  <w:r>
                    <w:rPr>
                      <w:rFonts w:hint="eastAsia"/>
                      <w:sz w:val="24"/>
                    </w:rPr>
                    <w:t>≤400-1000</w:t>
                  </w:r>
                </w:p>
              </w:tc>
              <w:tc>
                <w:tcPr>
                  <w:tcW w:w="1667" w:type="pct"/>
                  <w:vAlign w:val="center"/>
                </w:tcPr>
                <w:p>
                  <w:pPr>
                    <w:spacing w:line="240" w:lineRule="atLeast"/>
                    <w:jc w:val="center"/>
                    <w:rPr>
                      <w:sz w:val="24"/>
                    </w:rPr>
                  </w:pPr>
                  <w:r>
                    <w:rPr>
                      <w:rFonts w:hint="eastAsia"/>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pct"/>
                  <w:vAlign w:val="center"/>
                </w:tcPr>
                <w:p>
                  <w:pPr>
                    <w:jc w:val="center"/>
                    <w:rPr>
                      <w:sz w:val="24"/>
                    </w:rPr>
                  </w:pPr>
                  <w:r>
                    <w:rPr>
                      <w:rFonts w:hint="eastAsia"/>
                      <w:sz w:val="24"/>
                    </w:rPr>
                    <w:t>BOD</w:t>
                  </w:r>
                  <w:r>
                    <w:rPr>
                      <w:rFonts w:hint="eastAsia"/>
                      <w:sz w:val="24"/>
                      <w:vertAlign w:val="subscript"/>
                    </w:rPr>
                    <w:t>5</w:t>
                  </w:r>
                </w:p>
              </w:tc>
              <w:tc>
                <w:tcPr>
                  <w:tcW w:w="1667" w:type="pct"/>
                  <w:vAlign w:val="center"/>
                </w:tcPr>
                <w:p>
                  <w:pPr>
                    <w:jc w:val="center"/>
                    <w:rPr>
                      <w:sz w:val="24"/>
                    </w:rPr>
                  </w:pPr>
                  <w:r>
                    <w:rPr>
                      <w:rFonts w:hint="eastAsia"/>
                      <w:sz w:val="24"/>
                    </w:rPr>
                    <w:t>≤200-400</w:t>
                  </w:r>
                </w:p>
              </w:tc>
              <w:tc>
                <w:tcPr>
                  <w:tcW w:w="1667" w:type="pct"/>
                  <w:vAlign w:val="center"/>
                </w:tcPr>
                <w:p>
                  <w:pPr>
                    <w:spacing w:line="240" w:lineRule="atLeast"/>
                    <w:jc w:val="center"/>
                    <w:rPr>
                      <w:sz w:val="24"/>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pct"/>
                  <w:vAlign w:val="center"/>
                </w:tcPr>
                <w:p>
                  <w:pPr>
                    <w:jc w:val="center"/>
                    <w:rPr>
                      <w:sz w:val="24"/>
                    </w:rPr>
                  </w:pPr>
                  <w:r>
                    <w:rPr>
                      <w:rFonts w:hint="eastAsia"/>
                      <w:sz w:val="24"/>
                    </w:rPr>
                    <w:t>SS</w:t>
                  </w:r>
                </w:p>
              </w:tc>
              <w:tc>
                <w:tcPr>
                  <w:tcW w:w="1667" w:type="pct"/>
                  <w:vAlign w:val="center"/>
                </w:tcPr>
                <w:p>
                  <w:pPr>
                    <w:jc w:val="center"/>
                    <w:rPr>
                      <w:sz w:val="24"/>
                    </w:rPr>
                  </w:pPr>
                  <w:r>
                    <w:rPr>
                      <w:rFonts w:hint="eastAsia"/>
                      <w:sz w:val="24"/>
                    </w:rPr>
                    <w:t>≤220-350</w:t>
                  </w:r>
                </w:p>
              </w:tc>
              <w:tc>
                <w:tcPr>
                  <w:tcW w:w="1667" w:type="pct"/>
                  <w:vAlign w:val="center"/>
                </w:tcPr>
                <w:p>
                  <w:pPr>
                    <w:pStyle w:val="56"/>
                    <w:spacing w:line="240" w:lineRule="atLeast"/>
                    <w:rPr>
                      <w:rFonts w:ascii="Times New Roman"/>
                    </w:rPr>
                  </w:pPr>
                  <w:r>
                    <w:rPr>
                      <w:rFonts w:hint="eastAsia"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pct"/>
                  <w:vAlign w:val="center"/>
                </w:tcPr>
                <w:p>
                  <w:pPr>
                    <w:jc w:val="center"/>
                    <w:rPr>
                      <w:sz w:val="24"/>
                    </w:rPr>
                  </w:pPr>
                  <w:r>
                    <w:rPr>
                      <w:rFonts w:hint="eastAsia"/>
                      <w:sz w:val="24"/>
                    </w:rPr>
                    <w:t>NH</w:t>
                  </w:r>
                  <w:r>
                    <w:rPr>
                      <w:rFonts w:hint="eastAsia"/>
                      <w:sz w:val="24"/>
                      <w:vertAlign w:val="subscript"/>
                    </w:rPr>
                    <w:t>3</w:t>
                  </w:r>
                  <w:r>
                    <w:rPr>
                      <w:rFonts w:hint="eastAsia"/>
                      <w:sz w:val="24"/>
                    </w:rPr>
                    <w:t>-N</w:t>
                  </w:r>
                </w:p>
              </w:tc>
              <w:tc>
                <w:tcPr>
                  <w:tcW w:w="1667" w:type="pct"/>
                  <w:vAlign w:val="center"/>
                </w:tcPr>
                <w:p>
                  <w:pPr>
                    <w:jc w:val="center"/>
                    <w:rPr>
                      <w:sz w:val="24"/>
                    </w:rPr>
                  </w:pPr>
                  <w:r>
                    <w:rPr>
                      <w:rFonts w:hint="eastAsia"/>
                      <w:sz w:val="24"/>
                    </w:rPr>
                    <w:t>≤50-100</w:t>
                  </w:r>
                </w:p>
              </w:tc>
              <w:tc>
                <w:tcPr>
                  <w:tcW w:w="1667" w:type="pct"/>
                  <w:vAlign w:val="center"/>
                </w:tcPr>
                <w:p>
                  <w:pPr>
                    <w:spacing w:line="240" w:lineRule="atLeast"/>
                    <w:jc w:val="center"/>
                    <w:rPr>
                      <w:sz w:val="24"/>
                    </w:rPr>
                  </w:pPr>
                  <w:r>
                    <w:rPr>
                      <w:rFonts w:hint="eastAsia"/>
                      <w:szCs w:val="21"/>
                    </w:rPr>
                    <w:t>≤40</w:t>
                  </w:r>
                </w:p>
              </w:tc>
            </w:tr>
          </w:tbl>
          <w:p>
            <w:pPr>
              <w:spacing w:line="360" w:lineRule="auto"/>
              <w:ind w:firstLine="482"/>
              <w:rPr>
                <w:b/>
                <w:sz w:val="24"/>
              </w:rPr>
            </w:pPr>
            <w:r>
              <w:rPr>
                <w:b/>
                <w:sz w:val="24"/>
              </w:rPr>
              <w:t>3．</w:t>
            </w:r>
            <w:r>
              <w:rPr>
                <w:rFonts w:hint="eastAsia"/>
                <w:b/>
                <w:sz w:val="24"/>
              </w:rPr>
              <w:t>噪声排放标准</w:t>
            </w:r>
          </w:p>
          <w:p>
            <w:pPr>
              <w:spacing w:line="360" w:lineRule="auto"/>
              <w:ind w:firstLine="480"/>
              <w:rPr>
                <w:sz w:val="24"/>
              </w:rPr>
            </w:pPr>
            <w:r>
              <w:rPr>
                <w:rFonts w:hint="eastAsia"/>
                <w:sz w:val="24"/>
              </w:rPr>
              <w:t>建设阶段噪声执行《建筑施工场界环境噪声排放标准》（GB12523-2011）表1建筑施工场界环境噪声排放限值的要求；</w:t>
            </w:r>
          </w:p>
          <w:p>
            <w:pPr>
              <w:spacing w:line="360" w:lineRule="auto"/>
              <w:ind w:firstLine="480"/>
              <w:rPr>
                <w:sz w:val="24"/>
              </w:rPr>
            </w:pPr>
            <w:r>
              <w:rPr>
                <w:rFonts w:hint="eastAsia"/>
                <w:sz w:val="24"/>
              </w:rPr>
              <w:t>运行阶段厂界噪声执行</w:t>
            </w:r>
            <w:r>
              <w:rPr>
                <w:sz w:val="24"/>
              </w:rPr>
              <w:t>《工业企业厂界环境噪声排放标准》（GB 12348-2008）</w:t>
            </w:r>
            <w:r>
              <w:rPr>
                <w:rFonts w:hint="eastAsia"/>
                <w:sz w:val="24"/>
              </w:rPr>
              <w:t>中的1</w:t>
            </w:r>
            <w:r>
              <w:rPr>
                <w:sz w:val="24"/>
              </w:rPr>
              <w:t>类标准</w:t>
            </w:r>
            <w:r>
              <w:rPr>
                <w:rFonts w:hint="eastAsia"/>
                <w:sz w:val="24"/>
              </w:rPr>
              <w:t>要求</w:t>
            </w:r>
            <w:r>
              <w:rPr>
                <w:sz w:val="24"/>
              </w:rPr>
              <w:t>。</w:t>
            </w:r>
          </w:p>
          <w:p>
            <w:pPr>
              <w:adjustRightInd w:val="0"/>
              <w:snapToGrid w:val="0"/>
              <w:spacing w:line="360" w:lineRule="auto"/>
              <w:ind w:firstLine="480" w:firstLineChars="200"/>
              <w:rPr>
                <w:sz w:val="24"/>
              </w:rPr>
            </w:pPr>
            <w:r>
              <w:rPr>
                <w:rFonts w:hint="eastAsia"/>
                <w:sz w:val="24"/>
              </w:rPr>
              <w:t>相关标准限值列表如下：</w:t>
            </w:r>
          </w:p>
          <w:p>
            <w:pPr>
              <w:pStyle w:val="51"/>
              <w:numPr>
                <w:ilvl w:val="0"/>
                <w:numId w:val="7"/>
              </w:numPr>
              <w:spacing w:line="360" w:lineRule="auto"/>
              <w:ind w:left="0" w:firstLine="0"/>
              <w:rPr>
                <w:rFonts w:eastAsia="宋体"/>
                <w:b/>
              </w:rPr>
            </w:pPr>
            <w:r>
              <w:rPr>
                <w:rFonts w:hint="eastAsia" w:eastAsia="宋体"/>
                <w:b/>
              </w:rPr>
              <w:t>噪声</w:t>
            </w:r>
            <w:r>
              <w:rPr>
                <w:rFonts w:eastAsia="宋体"/>
                <w:b/>
              </w:rPr>
              <w:t>排放标准</w:t>
            </w:r>
            <w:r>
              <w:rPr>
                <w:rFonts w:hint="eastAsia" w:eastAsia="宋体"/>
                <w:b/>
              </w:rPr>
              <w:t>及限值一览表</w:t>
            </w:r>
            <w:r>
              <w:rPr>
                <w:rFonts w:eastAsia="宋体"/>
                <w:b/>
              </w:rPr>
              <w:t>（单位：dB（A））</w:t>
            </w:r>
          </w:p>
          <w:tbl>
            <w:tblPr>
              <w:tblStyle w:val="18"/>
              <w:tblW w:w="8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91"/>
              <w:gridCol w:w="1090"/>
              <w:gridCol w:w="1228"/>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72" w:type="dxa"/>
                  <w:gridSpan w:val="2"/>
                  <w:vMerge w:val="restart"/>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污染物名称</w:t>
                  </w:r>
                </w:p>
              </w:tc>
              <w:tc>
                <w:tcPr>
                  <w:tcW w:w="2318" w:type="dxa"/>
                  <w:gridSpan w:val="2"/>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标准值</w:t>
                  </w:r>
                </w:p>
              </w:tc>
              <w:tc>
                <w:tcPr>
                  <w:tcW w:w="3553" w:type="dxa"/>
                  <w:vMerge w:val="restart"/>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172" w:type="dxa"/>
                  <w:gridSpan w:val="2"/>
                  <w:vMerge w:val="continue"/>
                  <w:vAlign w:val="center"/>
                </w:tcPr>
                <w:p>
                  <w:pPr>
                    <w:pStyle w:val="53"/>
                    <w:rPr>
                      <w:b/>
                      <w:color w:val="000000" w:themeColor="text1"/>
                      <w:sz w:val="21"/>
                      <w14:textFill>
                        <w14:solidFill>
                          <w14:schemeClr w14:val="tx1"/>
                        </w14:solidFill>
                      </w14:textFill>
                    </w:rPr>
                  </w:pPr>
                </w:p>
              </w:tc>
              <w:tc>
                <w:tcPr>
                  <w:tcW w:w="1090" w:type="dxa"/>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单位</w:t>
                  </w:r>
                </w:p>
              </w:tc>
              <w:tc>
                <w:tcPr>
                  <w:tcW w:w="1228" w:type="dxa"/>
                  <w:vAlign w:val="center"/>
                </w:tcPr>
                <w:p>
                  <w:pPr>
                    <w:pStyle w:val="53"/>
                    <w:rPr>
                      <w:b/>
                      <w:color w:val="000000" w:themeColor="text1"/>
                      <w:sz w:val="21"/>
                      <w14:textFill>
                        <w14:solidFill>
                          <w14:schemeClr w14:val="tx1"/>
                        </w14:solidFill>
                      </w14:textFill>
                    </w:rPr>
                  </w:pPr>
                  <w:r>
                    <w:rPr>
                      <w:b/>
                      <w:color w:val="000000" w:themeColor="text1"/>
                      <w:sz w:val="21"/>
                      <w14:textFill>
                        <w14:solidFill>
                          <w14:schemeClr w14:val="tx1"/>
                        </w14:solidFill>
                      </w14:textFill>
                    </w:rPr>
                    <w:t>数值</w:t>
                  </w:r>
                </w:p>
              </w:tc>
              <w:tc>
                <w:tcPr>
                  <w:tcW w:w="3553" w:type="dxa"/>
                  <w:vMerge w:val="continue"/>
                  <w:vAlign w:val="center"/>
                </w:tcPr>
                <w:p>
                  <w:pPr>
                    <w:pStyle w:val="53"/>
                    <w:rPr>
                      <w:b/>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1" w:type="dxa"/>
                  <w:vMerge w:val="restart"/>
                  <w:vAlign w:val="center"/>
                </w:tcPr>
                <w:p>
                  <w:pPr>
                    <w:pStyle w:val="53"/>
                    <w:rPr>
                      <w:color w:val="auto"/>
                      <w:sz w:val="21"/>
                    </w:rPr>
                  </w:pPr>
                  <w:r>
                    <w:rPr>
                      <w:color w:val="auto"/>
                      <w:sz w:val="21"/>
                    </w:rPr>
                    <w:t>建设阶段噪声</w:t>
                  </w:r>
                </w:p>
              </w:tc>
              <w:tc>
                <w:tcPr>
                  <w:tcW w:w="1091" w:type="dxa"/>
                  <w:vAlign w:val="center"/>
                </w:tcPr>
                <w:p>
                  <w:pPr>
                    <w:pStyle w:val="53"/>
                    <w:rPr>
                      <w:color w:val="auto"/>
                      <w:sz w:val="21"/>
                    </w:rPr>
                  </w:pPr>
                  <w:r>
                    <w:rPr>
                      <w:color w:val="auto"/>
                      <w:sz w:val="21"/>
                    </w:rPr>
                    <w:t>昼间</w:t>
                  </w:r>
                </w:p>
              </w:tc>
              <w:tc>
                <w:tcPr>
                  <w:tcW w:w="1090" w:type="dxa"/>
                  <w:vAlign w:val="center"/>
                </w:tcPr>
                <w:p>
                  <w:pPr>
                    <w:pStyle w:val="53"/>
                    <w:rPr>
                      <w:color w:val="auto"/>
                      <w:sz w:val="21"/>
                    </w:rPr>
                  </w:pPr>
                  <w:r>
                    <w:rPr>
                      <w:color w:val="auto"/>
                      <w:sz w:val="21"/>
                    </w:rPr>
                    <w:t>dB（A）</w:t>
                  </w:r>
                </w:p>
              </w:tc>
              <w:tc>
                <w:tcPr>
                  <w:tcW w:w="1228" w:type="dxa"/>
                  <w:vAlign w:val="center"/>
                </w:tcPr>
                <w:p>
                  <w:pPr>
                    <w:pStyle w:val="53"/>
                    <w:rPr>
                      <w:color w:val="auto"/>
                      <w:sz w:val="21"/>
                    </w:rPr>
                  </w:pPr>
                  <w:r>
                    <w:rPr>
                      <w:color w:val="auto"/>
                      <w:sz w:val="21"/>
                    </w:rPr>
                    <w:t>70</w:t>
                  </w:r>
                </w:p>
              </w:tc>
              <w:tc>
                <w:tcPr>
                  <w:tcW w:w="3553" w:type="dxa"/>
                  <w:vMerge w:val="restart"/>
                  <w:vAlign w:val="center"/>
                </w:tcPr>
                <w:p>
                  <w:pPr>
                    <w:pStyle w:val="53"/>
                    <w:rPr>
                      <w:color w:val="auto"/>
                      <w:sz w:val="21"/>
                    </w:rPr>
                  </w:pPr>
                  <w:r>
                    <w:rPr>
                      <w:color w:val="auto"/>
                      <w:sz w:val="21"/>
                    </w:rPr>
                    <w:t>《建筑施工场界环境噪声排放标准》（GB12523-2011）表1中噪声限值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1" w:type="dxa"/>
                  <w:vMerge w:val="continue"/>
                  <w:vAlign w:val="center"/>
                </w:tcPr>
                <w:p>
                  <w:pPr>
                    <w:pStyle w:val="53"/>
                    <w:rPr>
                      <w:color w:val="auto"/>
                      <w:sz w:val="21"/>
                    </w:rPr>
                  </w:pPr>
                </w:p>
              </w:tc>
              <w:tc>
                <w:tcPr>
                  <w:tcW w:w="1091" w:type="dxa"/>
                  <w:vAlign w:val="center"/>
                </w:tcPr>
                <w:p>
                  <w:pPr>
                    <w:pStyle w:val="53"/>
                    <w:rPr>
                      <w:color w:val="auto"/>
                      <w:sz w:val="21"/>
                    </w:rPr>
                  </w:pPr>
                  <w:r>
                    <w:rPr>
                      <w:color w:val="auto"/>
                      <w:sz w:val="21"/>
                    </w:rPr>
                    <w:t>夜间</w:t>
                  </w:r>
                </w:p>
              </w:tc>
              <w:tc>
                <w:tcPr>
                  <w:tcW w:w="1090" w:type="dxa"/>
                  <w:vAlign w:val="center"/>
                </w:tcPr>
                <w:p>
                  <w:pPr>
                    <w:pStyle w:val="53"/>
                    <w:rPr>
                      <w:color w:val="auto"/>
                      <w:sz w:val="21"/>
                    </w:rPr>
                  </w:pPr>
                  <w:r>
                    <w:rPr>
                      <w:color w:val="auto"/>
                      <w:sz w:val="21"/>
                    </w:rPr>
                    <w:t>dB（A）</w:t>
                  </w:r>
                </w:p>
              </w:tc>
              <w:tc>
                <w:tcPr>
                  <w:tcW w:w="1228" w:type="dxa"/>
                  <w:vAlign w:val="center"/>
                </w:tcPr>
                <w:p>
                  <w:pPr>
                    <w:pStyle w:val="53"/>
                    <w:rPr>
                      <w:color w:val="auto"/>
                      <w:sz w:val="21"/>
                    </w:rPr>
                  </w:pPr>
                  <w:r>
                    <w:rPr>
                      <w:color w:val="auto"/>
                      <w:sz w:val="21"/>
                    </w:rPr>
                    <w:t>55</w:t>
                  </w:r>
                </w:p>
              </w:tc>
              <w:tc>
                <w:tcPr>
                  <w:tcW w:w="3553" w:type="dxa"/>
                  <w:vMerge w:val="continue"/>
                  <w:vAlign w:val="center"/>
                </w:tcPr>
                <w:p>
                  <w:pPr>
                    <w:pStyle w:val="53"/>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81" w:type="dxa"/>
                  <w:vMerge w:val="restart"/>
                  <w:vAlign w:val="center"/>
                </w:tcPr>
                <w:p>
                  <w:pPr>
                    <w:pStyle w:val="53"/>
                    <w:rPr>
                      <w:color w:val="auto"/>
                      <w:sz w:val="21"/>
                    </w:rPr>
                  </w:pPr>
                  <w:r>
                    <w:rPr>
                      <w:color w:val="auto"/>
                      <w:sz w:val="21"/>
                    </w:rPr>
                    <w:t>生产运行阶段噪声</w:t>
                  </w:r>
                </w:p>
              </w:tc>
              <w:tc>
                <w:tcPr>
                  <w:tcW w:w="1091" w:type="dxa"/>
                  <w:vAlign w:val="center"/>
                </w:tcPr>
                <w:p>
                  <w:pPr>
                    <w:pStyle w:val="53"/>
                    <w:rPr>
                      <w:color w:val="auto"/>
                      <w:sz w:val="21"/>
                    </w:rPr>
                  </w:pPr>
                  <w:r>
                    <w:rPr>
                      <w:color w:val="auto"/>
                      <w:sz w:val="21"/>
                    </w:rPr>
                    <w:t>昼间</w:t>
                  </w:r>
                </w:p>
              </w:tc>
              <w:tc>
                <w:tcPr>
                  <w:tcW w:w="1090" w:type="dxa"/>
                  <w:vAlign w:val="center"/>
                </w:tcPr>
                <w:p>
                  <w:pPr>
                    <w:pStyle w:val="53"/>
                    <w:rPr>
                      <w:color w:val="auto"/>
                      <w:sz w:val="21"/>
                    </w:rPr>
                  </w:pPr>
                  <w:r>
                    <w:rPr>
                      <w:color w:val="auto"/>
                      <w:sz w:val="21"/>
                    </w:rPr>
                    <w:t>dB（A）</w:t>
                  </w:r>
                </w:p>
              </w:tc>
              <w:tc>
                <w:tcPr>
                  <w:tcW w:w="1228" w:type="dxa"/>
                  <w:vAlign w:val="center"/>
                </w:tcPr>
                <w:p>
                  <w:pPr>
                    <w:pStyle w:val="53"/>
                    <w:rPr>
                      <w:color w:val="auto"/>
                      <w:sz w:val="21"/>
                    </w:rPr>
                  </w:pPr>
                  <w:r>
                    <w:rPr>
                      <w:rFonts w:hint="eastAsia"/>
                      <w:color w:val="auto"/>
                      <w:sz w:val="21"/>
                    </w:rPr>
                    <w:t>55</w:t>
                  </w:r>
                </w:p>
              </w:tc>
              <w:tc>
                <w:tcPr>
                  <w:tcW w:w="3553" w:type="dxa"/>
                  <w:vMerge w:val="restart"/>
                  <w:vAlign w:val="center"/>
                </w:tcPr>
                <w:p>
                  <w:pPr>
                    <w:pStyle w:val="53"/>
                    <w:rPr>
                      <w:color w:val="auto"/>
                      <w:sz w:val="21"/>
                    </w:rPr>
                  </w:pPr>
                  <w:r>
                    <w:rPr>
                      <w:color w:val="auto"/>
                      <w:sz w:val="21"/>
                    </w:rPr>
                    <w:t>《工业企业厂界环境噪声排放标准》（GB12348</w:t>
                  </w:r>
                  <w:r>
                    <w:rPr>
                      <w:rFonts w:hint="eastAsia"/>
                      <w:color w:val="auto"/>
                      <w:sz w:val="21"/>
                    </w:rPr>
                    <w:t>-</w:t>
                  </w:r>
                  <w:r>
                    <w:rPr>
                      <w:color w:val="auto"/>
                      <w:sz w:val="21"/>
                    </w:rPr>
                    <w:t>2008）</w:t>
                  </w:r>
                  <w:r>
                    <w:rPr>
                      <w:rFonts w:hint="eastAsia"/>
                      <w:color w:val="auto"/>
                      <w:sz w:val="21"/>
                    </w:rPr>
                    <w:t>1</w:t>
                  </w:r>
                  <w:r>
                    <w:rPr>
                      <w:color w:val="auto"/>
                      <w:sz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vAlign w:val="center"/>
                </w:tcPr>
                <w:p>
                  <w:pPr>
                    <w:pStyle w:val="53"/>
                    <w:rPr>
                      <w:color w:val="auto"/>
                      <w:sz w:val="21"/>
                    </w:rPr>
                  </w:pPr>
                </w:p>
              </w:tc>
              <w:tc>
                <w:tcPr>
                  <w:tcW w:w="1091" w:type="dxa"/>
                  <w:vAlign w:val="center"/>
                </w:tcPr>
                <w:p>
                  <w:pPr>
                    <w:pStyle w:val="53"/>
                    <w:rPr>
                      <w:color w:val="auto"/>
                      <w:sz w:val="21"/>
                    </w:rPr>
                  </w:pPr>
                  <w:r>
                    <w:rPr>
                      <w:color w:val="auto"/>
                      <w:sz w:val="21"/>
                    </w:rPr>
                    <w:t>夜间</w:t>
                  </w:r>
                </w:p>
              </w:tc>
              <w:tc>
                <w:tcPr>
                  <w:tcW w:w="1090" w:type="dxa"/>
                  <w:vAlign w:val="center"/>
                </w:tcPr>
                <w:p>
                  <w:pPr>
                    <w:pStyle w:val="53"/>
                    <w:rPr>
                      <w:color w:val="auto"/>
                      <w:sz w:val="21"/>
                    </w:rPr>
                  </w:pPr>
                  <w:r>
                    <w:rPr>
                      <w:color w:val="auto"/>
                      <w:sz w:val="21"/>
                    </w:rPr>
                    <w:t>dB（A）</w:t>
                  </w:r>
                </w:p>
              </w:tc>
              <w:tc>
                <w:tcPr>
                  <w:tcW w:w="1228" w:type="dxa"/>
                  <w:vAlign w:val="center"/>
                </w:tcPr>
                <w:p>
                  <w:pPr>
                    <w:pStyle w:val="53"/>
                    <w:rPr>
                      <w:color w:val="auto"/>
                      <w:sz w:val="21"/>
                    </w:rPr>
                  </w:pPr>
                  <w:r>
                    <w:rPr>
                      <w:rFonts w:hint="eastAsia"/>
                      <w:color w:val="auto"/>
                      <w:sz w:val="21"/>
                    </w:rPr>
                    <w:t>45</w:t>
                  </w:r>
                </w:p>
              </w:tc>
              <w:tc>
                <w:tcPr>
                  <w:tcW w:w="3553" w:type="dxa"/>
                  <w:vMerge w:val="continue"/>
                  <w:vAlign w:val="center"/>
                </w:tcPr>
                <w:p>
                  <w:pPr>
                    <w:pStyle w:val="53"/>
                    <w:rPr>
                      <w:color w:val="auto"/>
                      <w:sz w:val="21"/>
                    </w:rPr>
                  </w:pPr>
                </w:p>
              </w:tc>
            </w:tr>
          </w:tbl>
          <w:p>
            <w:pPr>
              <w:spacing w:before="120" w:beforeLines="50" w:line="360" w:lineRule="auto"/>
              <w:ind w:firstLine="482"/>
              <w:rPr>
                <w:b/>
                <w:sz w:val="24"/>
              </w:rPr>
            </w:pPr>
            <w:r>
              <w:rPr>
                <w:b/>
                <w:sz w:val="24"/>
              </w:rPr>
              <w:t>4．</w:t>
            </w:r>
            <w:r>
              <w:rPr>
                <w:rFonts w:hint="eastAsia"/>
                <w:b/>
                <w:sz w:val="24"/>
              </w:rPr>
              <w:t>固体废物控制标准</w:t>
            </w:r>
          </w:p>
          <w:p>
            <w:pPr>
              <w:spacing w:line="360" w:lineRule="auto"/>
              <w:ind w:firstLine="482"/>
              <w:rPr>
                <w:rFonts w:ascii="宋体" w:hAnsi="宋体" w:cs="宋体"/>
                <w:kern w:val="0"/>
                <w:szCs w:val="21"/>
              </w:rPr>
            </w:pPr>
            <w:r>
              <w:rPr>
                <w:rFonts w:hint="eastAsia"/>
                <w:sz w:val="24"/>
              </w:rPr>
              <w:t>危险废物执行《危险废物贮存污染控制标准》（GB18597-2001）及环境保护部2013年6月8日发布的第36号污染物控制标准修改单的相关规定。其中，医疗废物执行《危险废物贮存污染控制标准》（GB18597-2001）及环境保护部2013年6月8日发布的第36号污染物控制标准修改单、《关于做好新型冠状病毒感染的肺炎疫情期间医疗机构医疗废物管理工作的通知》等有关文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72"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318"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无</w:t>
            </w:r>
          </w:p>
        </w:tc>
      </w:tr>
    </w:tbl>
    <w:p>
      <w:pPr>
        <w:pStyle w:val="15"/>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6"/>
        <w:gridCol w:w="87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76" w:type="dxa"/>
            <w:tcMar>
              <w:left w:w="28" w:type="dxa"/>
              <w:right w:w="28" w:type="dxa"/>
            </w:tcMar>
            <w:vAlign w:val="center"/>
          </w:tcPr>
          <w:p>
            <w:pPr>
              <w:pStyle w:val="15"/>
              <w:adjustRightInd w:val="0"/>
              <w:snapToGrid w:val="0"/>
              <w:spacing w:before="0" w:beforeAutospacing="0" w:after="0" w:afterAutospacing="0"/>
              <w:jc w:val="center"/>
              <w:rPr>
                <w:rFonts w:cs="宋体"/>
                <w:kern w:val="2"/>
                <w:sz w:val="21"/>
                <w:szCs w:val="21"/>
              </w:rPr>
            </w:pPr>
            <w:r>
              <w:rPr>
                <w:rFonts w:hint="eastAsia" w:cs="宋体"/>
                <w:kern w:val="2"/>
                <w:sz w:val="21"/>
                <w:szCs w:val="21"/>
              </w:rPr>
              <w:t>施工期环</w:t>
            </w:r>
          </w:p>
          <w:p>
            <w:pPr>
              <w:pStyle w:val="15"/>
              <w:adjustRightInd w:val="0"/>
              <w:snapToGrid w:val="0"/>
              <w:spacing w:before="0" w:beforeAutospacing="0" w:after="0" w:afterAutospacing="0"/>
              <w:jc w:val="center"/>
              <w:rPr>
                <w:rFonts w:cs="宋体"/>
                <w:kern w:val="2"/>
                <w:sz w:val="21"/>
                <w:szCs w:val="21"/>
              </w:rPr>
            </w:pPr>
            <w:r>
              <w:rPr>
                <w:rFonts w:hint="eastAsia" w:cs="宋体"/>
                <w:kern w:val="2"/>
                <w:sz w:val="21"/>
                <w:szCs w:val="21"/>
              </w:rPr>
              <w:t>境保</w:t>
            </w:r>
          </w:p>
          <w:p>
            <w:pPr>
              <w:pStyle w:val="15"/>
              <w:adjustRightInd w:val="0"/>
              <w:snapToGrid w:val="0"/>
              <w:spacing w:before="0" w:beforeAutospacing="0" w:after="0" w:afterAutospacing="0"/>
              <w:jc w:val="center"/>
              <w:rPr>
                <w:rFonts w:cs="宋体"/>
                <w:kern w:val="2"/>
                <w:sz w:val="21"/>
                <w:szCs w:val="21"/>
              </w:rPr>
            </w:pPr>
            <w:r>
              <w:rPr>
                <w:rFonts w:hint="eastAsia" w:cs="宋体"/>
                <w:kern w:val="2"/>
                <w:sz w:val="21"/>
                <w:szCs w:val="21"/>
              </w:rPr>
              <w:t>护措</w:t>
            </w:r>
          </w:p>
          <w:p>
            <w:pPr>
              <w:pStyle w:val="15"/>
              <w:adjustRightInd w:val="0"/>
              <w:snapToGrid w:val="0"/>
              <w:spacing w:before="0" w:beforeAutospacing="0" w:after="0" w:afterAutospacing="0"/>
              <w:jc w:val="center"/>
              <w:rPr>
                <w:rFonts w:cs="宋体"/>
                <w:bCs/>
                <w:kern w:val="2"/>
                <w:sz w:val="21"/>
                <w:szCs w:val="21"/>
              </w:rPr>
            </w:pPr>
            <w:r>
              <w:rPr>
                <w:rFonts w:hint="eastAsia" w:cs="宋体"/>
                <w:kern w:val="2"/>
                <w:sz w:val="21"/>
                <w:szCs w:val="21"/>
              </w:rPr>
              <w:t>施</w:t>
            </w:r>
          </w:p>
        </w:tc>
        <w:tc>
          <w:tcPr>
            <w:tcW w:w="8705" w:type="dxa"/>
            <w:vAlign w:val="center"/>
          </w:tcPr>
          <w:p>
            <w:pPr>
              <w:spacing w:before="120" w:beforeLines="50" w:line="360" w:lineRule="auto"/>
              <w:ind w:firstLine="482" w:firstLineChars="200"/>
              <w:rPr>
                <w:b/>
                <w:sz w:val="24"/>
              </w:rPr>
            </w:pPr>
            <w:r>
              <w:rPr>
                <w:rFonts w:hint="eastAsia"/>
                <w:b/>
                <w:sz w:val="24"/>
              </w:rPr>
              <w:t>1</w:t>
            </w:r>
            <w:r>
              <w:rPr>
                <w:b/>
                <w:sz w:val="24"/>
              </w:rPr>
              <w:t>．</w:t>
            </w:r>
            <w:r>
              <w:rPr>
                <w:rFonts w:hint="eastAsia"/>
                <w:b/>
                <w:sz w:val="24"/>
              </w:rPr>
              <w:t>施工扬尘环境影响和施工扬尘污染防治措施</w:t>
            </w:r>
          </w:p>
          <w:p>
            <w:pPr>
              <w:spacing w:line="360" w:lineRule="auto"/>
              <w:ind w:firstLine="480"/>
              <w:rPr>
                <w:sz w:val="24"/>
              </w:rPr>
            </w:pPr>
            <w:r>
              <w:rPr>
                <w:rFonts w:hint="eastAsia"/>
                <w:sz w:val="24"/>
              </w:rPr>
              <w:t>定点医院施工期为6月1日到6月30日，现工程除部分设备未安装外其余部分已经施工完毕，项目在施工期间</w:t>
            </w:r>
            <w:r>
              <w:rPr>
                <w:rFonts w:hint="eastAsia"/>
                <w:sz w:val="24"/>
                <w:lang w:val="en-US" w:eastAsia="zh-CN"/>
              </w:rPr>
              <w:t>未发生群众信访和投诉等污染事件。评价根据现场调查情况，对施工期环境保护措施进行回顾性分析</w:t>
            </w:r>
            <w:r>
              <w:rPr>
                <w:rFonts w:hint="eastAsia"/>
                <w:sz w:val="24"/>
                <w:lang w:eastAsia="zh-CN"/>
              </w:rPr>
              <w:t>。</w:t>
            </w:r>
            <w:r>
              <w:rPr>
                <w:sz w:val="24"/>
              </w:rPr>
              <w:t>项目</w:t>
            </w:r>
            <w:r>
              <w:rPr>
                <w:rFonts w:hint="eastAsia"/>
                <w:sz w:val="24"/>
              </w:rPr>
              <w:t>在</w:t>
            </w:r>
            <w:r>
              <w:rPr>
                <w:sz w:val="24"/>
              </w:rPr>
              <w:t>建设阶段</w:t>
            </w:r>
            <w:r>
              <w:rPr>
                <w:rFonts w:hint="eastAsia"/>
                <w:sz w:val="24"/>
              </w:rPr>
              <w:t>对</w:t>
            </w:r>
            <w:r>
              <w:rPr>
                <w:sz w:val="24"/>
              </w:rPr>
              <w:t>土方挖掘及运输、土地平整、建筑材料装卸及堆存、工程施工</w:t>
            </w:r>
            <w:r>
              <w:rPr>
                <w:rFonts w:hint="eastAsia"/>
                <w:sz w:val="24"/>
              </w:rPr>
              <w:t>、</w:t>
            </w:r>
            <w:r>
              <w:rPr>
                <w:sz w:val="24"/>
              </w:rPr>
              <w:t>车辆行驶等过程产生的扬尘</w:t>
            </w:r>
            <w:r>
              <w:rPr>
                <w:rFonts w:hint="eastAsia"/>
                <w:sz w:val="24"/>
              </w:rPr>
              <w:t>采取了相应的污染防治措施。</w:t>
            </w:r>
          </w:p>
          <w:p>
            <w:pPr>
              <w:spacing w:line="360" w:lineRule="auto"/>
              <w:ind w:firstLine="480"/>
              <w:rPr>
                <w:sz w:val="24"/>
              </w:rPr>
            </w:pPr>
            <w:r>
              <w:rPr>
                <w:rFonts w:hint="eastAsia"/>
                <w:sz w:val="24"/>
              </w:rPr>
              <w:t>项目对照</w:t>
            </w:r>
            <w:r>
              <w:rPr>
                <w:sz w:val="24"/>
              </w:rPr>
              <w:t>《河北省扬尘污染防治办法》（河北省人民政府令【2020】第1号）</w:t>
            </w:r>
            <w:r>
              <w:rPr>
                <w:rFonts w:hint="eastAsia"/>
                <w:sz w:val="24"/>
              </w:rPr>
              <w:t>中的相关规定，采取了以下扬尘污染防治措施：</w:t>
            </w:r>
          </w:p>
          <w:p>
            <w:pPr>
              <w:spacing w:line="360" w:lineRule="auto"/>
              <w:ind w:firstLine="480"/>
              <w:rPr>
                <w:sz w:val="24"/>
              </w:rPr>
            </w:pPr>
            <w:r>
              <w:rPr>
                <w:rFonts w:hint="eastAsia"/>
                <w:sz w:val="24"/>
              </w:rPr>
              <w:t>（1）建设施工过程中：</w:t>
            </w:r>
          </w:p>
          <w:p>
            <w:pPr>
              <w:spacing w:line="360" w:lineRule="auto"/>
              <w:ind w:firstLine="480"/>
              <w:rPr>
                <w:sz w:val="24"/>
              </w:rPr>
            </w:pPr>
            <w:r>
              <w:rPr>
                <w:rFonts w:hint="eastAsia"/>
                <w:sz w:val="24"/>
              </w:rPr>
              <w:t>在施工现场出入口明显位置设置公示牌，公示施工现场负责人、环保监督员、防尘措施、扬尘监督管理部门、举报投诉电话等信息；</w:t>
            </w:r>
          </w:p>
          <w:p>
            <w:pPr>
              <w:spacing w:line="360" w:lineRule="auto"/>
              <w:ind w:firstLine="480"/>
              <w:rPr>
                <w:sz w:val="24"/>
              </w:rPr>
            </w:pPr>
            <w:r>
              <w:rPr>
                <w:rFonts w:hint="eastAsia"/>
                <w:sz w:val="24"/>
              </w:rPr>
              <w:t>在施工现场周边设置硬质封闭围挡；</w:t>
            </w:r>
          </w:p>
          <w:p>
            <w:pPr>
              <w:spacing w:line="360" w:lineRule="auto"/>
              <w:ind w:firstLine="480"/>
              <w:rPr>
                <w:sz w:val="24"/>
              </w:rPr>
            </w:pPr>
            <w:r>
              <w:rPr>
                <w:rFonts w:hint="eastAsia"/>
                <w:sz w:val="24"/>
              </w:rPr>
              <w:t>对施工现场出入口、场内施工道路、材料加工堆放区、办公区、生活区进行硬化处理，并保持地面整洁；</w:t>
            </w:r>
          </w:p>
          <w:p>
            <w:pPr>
              <w:spacing w:line="360" w:lineRule="auto"/>
              <w:ind w:firstLine="480"/>
              <w:rPr>
                <w:sz w:val="24"/>
              </w:rPr>
            </w:pPr>
            <w:r>
              <w:rPr>
                <w:rFonts w:hint="eastAsia"/>
                <w:sz w:val="24"/>
              </w:rPr>
              <w:t>在施工现场出口处设置车辆清洗设施并配套设置排水、泥浆沉淀设施，车辆冲洗干净后方可驶出；</w:t>
            </w:r>
          </w:p>
          <w:p>
            <w:pPr>
              <w:spacing w:line="360" w:lineRule="auto"/>
              <w:ind w:firstLine="480"/>
              <w:rPr>
                <w:sz w:val="24"/>
              </w:rPr>
            </w:pPr>
            <w:r>
              <w:rPr>
                <w:rFonts w:hint="eastAsia"/>
                <w:sz w:val="24"/>
              </w:rPr>
              <w:t>对于在施工工地内堆放的水泥、灰土、砂石、建筑土方等易产生扬尘的粉状、粒状建筑材料，采取密闭的防尘措施；</w:t>
            </w:r>
          </w:p>
          <w:p>
            <w:pPr>
              <w:spacing w:line="360" w:lineRule="auto"/>
              <w:ind w:firstLine="480"/>
              <w:rPr>
                <w:sz w:val="24"/>
              </w:rPr>
            </w:pPr>
            <w:r>
              <w:rPr>
                <w:rFonts w:hint="eastAsia"/>
                <w:sz w:val="24"/>
              </w:rPr>
              <w:t>建筑垃圾及时清运，在场地内堆存的，集中堆放并采取密闭的防尘措施；</w:t>
            </w:r>
          </w:p>
          <w:p>
            <w:pPr>
              <w:spacing w:line="360" w:lineRule="auto"/>
              <w:ind w:firstLine="480"/>
              <w:rPr>
                <w:sz w:val="24"/>
              </w:rPr>
            </w:pPr>
            <w:r>
              <w:rPr>
                <w:rFonts w:hint="eastAsia"/>
                <w:sz w:val="24"/>
              </w:rPr>
              <w:t>在施工工地同步安装视频监控设备和扬尘污染物在线监测设备，分别与建设主管部门、生态环境主管部门的监控设备联网，并保证系统正常运行，发生故障在二十四小时内修复；</w:t>
            </w:r>
          </w:p>
          <w:p>
            <w:pPr>
              <w:spacing w:line="360" w:lineRule="auto"/>
              <w:ind w:firstLine="480"/>
              <w:rPr>
                <w:sz w:val="24"/>
              </w:rPr>
            </w:pPr>
            <w:r>
              <w:rPr>
                <w:rFonts w:hint="eastAsia"/>
                <w:sz w:val="24"/>
              </w:rPr>
              <w:t>（2）物料堆存过程中：</w:t>
            </w:r>
          </w:p>
          <w:p>
            <w:pPr>
              <w:spacing w:line="360" w:lineRule="auto"/>
              <w:ind w:firstLine="480"/>
              <w:rPr>
                <w:sz w:val="24"/>
              </w:rPr>
            </w:pPr>
            <w:r>
              <w:rPr>
                <w:rFonts w:hint="eastAsia"/>
                <w:sz w:val="24"/>
              </w:rPr>
              <w:t>划分物料区域和道路界限，及时清除散落的物料，保持物料堆放区域和道路整洁；</w:t>
            </w:r>
          </w:p>
          <w:p>
            <w:pPr>
              <w:spacing w:line="360" w:lineRule="auto"/>
              <w:ind w:firstLine="480"/>
              <w:rPr>
                <w:sz w:val="24"/>
              </w:rPr>
            </w:pPr>
            <w:r>
              <w:rPr>
                <w:rFonts w:hint="eastAsia"/>
                <w:sz w:val="24"/>
              </w:rPr>
              <w:t>场地进行硬化处理，并及时清扫、清洗；</w:t>
            </w:r>
          </w:p>
          <w:p>
            <w:pPr>
              <w:spacing w:line="360" w:lineRule="auto"/>
              <w:ind w:firstLine="480"/>
              <w:rPr>
                <w:sz w:val="24"/>
              </w:rPr>
            </w:pPr>
            <w:r>
              <w:rPr>
                <w:rFonts w:hint="eastAsia"/>
                <w:sz w:val="24"/>
              </w:rPr>
              <w:t>物料堆场周边设置高于堆存物料的围挡、防风网等设施，并采取遮盖、喷淋等防尘措施；</w:t>
            </w:r>
          </w:p>
          <w:p>
            <w:pPr>
              <w:spacing w:line="360" w:lineRule="auto"/>
              <w:ind w:firstLine="480"/>
              <w:rPr>
                <w:sz w:val="24"/>
              </w:rPr>
            </w:pPr>
            <w:r>
              <w:rPr>
                <w:rFonts w:hint="eastAsia"/>
                <w:sz w:val="24"/>
              </w:rPr>
              <w:t>出口地面硬化并设置车辆清洗保洁设施，车辆冲洗干净后方可驶出；</w:t>
            </w:r>
          </w:p>
          <w:p>
            <w:pPr>
              <w:spacing w:line="360" w:lineRule="auto"/>
              <w:ind w:firstLine="480"/>
              <w:rPr>
                <w:sz w:val="24"/>
              </w:rPr>
            </w:pPr>
            <w:r>
              <w:rPr>
                <w:rFonts w:hint="eastAsia"/>
                <w:sz w:val="24"/>
              </w:rPr>
              <w:t>防尘网保持完整无损，破损的及时修复或者更换。</w:t>
            </w:r>
          </w:p>
          <w:p>
            <w:pPr>
              <w:spacing w:line="360" w:lineRule="auto"/>
              <w:ind w:firstLine="482"/>
              <w:rPr>
                <w:b/>
                <w:sz w:val="24"/>
              </w:rPr>
            </w:pPr>
            <w:r>
              <w:rPr>
                <w:b/>
                <w:sz w:val="24"/>
              </w:rPr>
              <w:t>2．</w:t>
            </w:r>
            <w:r>
              <w:rPr>
                <w:rFonts w:hint="eastAsia"/>
                <w:b/>
                <w:sz w:val="24"/>
              </w:rPr>
              <w:t>施工废水环境影响和施工废水污染防治措施</w:t>
            </w:r>
          </w:p>
          <w:p>
            <w:pPr>
              <w:spacing w:line="360" w:lineRule="auto"/>
              <w:ind w:firstLine="480"/>
              <w:rPr>
                <w:sz w:val="24"/>
              </w:rPr>
            </w:pPr>
            <w:r>
              <w:rPr>
                <w:sz w:val="24"/>
              </w:rPr>
              <w:t>项目建设过程中产生的污水主要为施工作业产生的泥浆水、受雨水冲刷</w:t>
            </w:r>
            <w:r>
              <w:rPr>
                <w:rFonts w:hint="eastAsia"/>
                <w:sz w:val="24"/>
              </w:rPr>
              <w:t>造成</w:t>
            </w:r>
            <w:r>
              <w:rPr>
                <w:sz w:val="24"/>
              </w:rPr>
              <w:t>地表径流</w:t>
            </w:r>
            <w:r>
              <w:rPr>
                <w:rFonts w:hint="eastAsia"/>
                <w:sz w:val="24"/>
              </w:rPr>
              <w:t>而</w:t>
            </w:r>
            <w:r>
              <w:rPr>
                <w:sz w:val="24"/>
              </w:rPr>
              <w:t>形成的泥浆水等施工污水及工人的生活污水。</w:t>
            </w:r>
          </w:p>
          <w:p>
            <w:pPr>
              <w:spacing w:line="360" w:lineRule="auto"/>
              <w:ind w:firstLine="480"/>
              <w:rPr>
                <w:sz w:val="24"/>
              </w:rPr>
            </w:pPr>
            <w:r>
              <w:rPr>
                <w:sz w:val="24"/>
              </w:rPr>
              <w:t>项目</w:t>
            </w:r>
            <w:r>
              <w:rPr>
                <w:rFonts w:hint="eastAsia"/>
                <w:sz w:val="24"/>
              </w:rPr>
              <w:t>建设</w:t>
            </w:r>
            <w:r>
              <w:rPr>
                <w:sz w:val="24"/>
              </w:rPr>
              <w:t>区域雨季时间6月至8月，</w:t>
            </w:r>
            <w:r>
              <w:rPr>
                <w:rFonts w:hint="eastAsia"/>
                <w:sz w:val="24"/>
              </w:rPr>
              <w:t>项目施工期为6月1日到6月30日，项目的建设施工</w:t>
            </w:r>
            <w:r>
              <w:rPr>
                <w:sz w:val="24"/>
              </w:rPr>
              <w:t>场地不可避免</w:t>
            </w:r>
            <w:r>
              <w:rPr>
                <w:rFonts w:hint="eastAsia"/>
                <w:sz w:val="24"/>
              </w:rPr>
              <w:t>的</w:t>
            </w:r>
            <w:r>
              <w:rPr>
                <w:sz w:val="24"/>
              </w:rPr>
              <w:t>受</w:t>
            </w:r>
            <w:r>
              <w:rPr>
                <w:rFonts w:hint="eastAsia"/>
                <w:sz w:val="24"/>
              </w:rPr>
              <w:t>到了</w:t>
            </w:r>
            <w:r>
              <w:rPr>
                <w:sz w:val="24"/>
              </w:rPr>
              <w:t>雨水的冲刷，雨后的地表径流冲刷浮土、建筑砂石、垃圾等会形成泥浆水。</w:t>
            </w:r>
            <w:r>
              <w:rPr>
                <w:rFonts w:hint="eastAsia"/>
                <w:sz w:val="24"/>
              </w:rPr>
              <w:t>项目通过</w:t>
            </w:r>
            <w:r>
              <w:rPr>
                <w:sz w:val="24"/>
              </w:rPr>
              <w:t>在施工现场修建临时</w:t>
            </w:r>
            <w:r>
              <w:rPr>
                <w:rFonts w:hint="eastAsia"/>
                <w:sz w:val="24"/>
              </w:rPr>
              <w:t>性</w:t>
            </w:r>
            <w:r>
              <w:rPr>
                <w:sz w:val="24"/>
              </w:rPr>
              <w:t>集水池，将雨后地表径流形成的泥浆水和施工废水引至集水池收集处理后，用于</w:t>
            </w:r>
            <w:r>
              <w:rPr>
                <w:rFonts w:hint="eastAsia"/>
                <w:sz w:val="24"/>
              </w:rPr>
              <w:t>建筑</w:t>
            </w:r>
            <w:r>
              <w:rPr>
                <w:sz w:val="24"/>
              </w:rPr>
              <w:t>场地的洒水降尘，</w:t>
            </w:r>
            <w:r>
              <w:rPr>
                <w:rFonts w:hint="eastAsia"/>
                <w:sz w:val="24"/>
              </w:rPr>
              <w:t>不外排；集水池远离河道修建</w:t>
            </w:r>
            <w:r>
              <w:rPr>
                <w:sz w:val="24"/>
              </w:rPr>
              <w:t>。</w:t>
            </w:r>
            <w:r>
              <w:rPr>
                <w:rFonts w:hint="eastAsia"/>
                <w:sz w:val="24"/>
              </w:rPr>
              <w:t>另外，项目施工时间合理，不在下雨期间进行建设，合理安排施工进度、施工时段，降低废水污染。</w:t>
            </w:r>
          </w:p>
          <w:p>
            <w:pPr>
              <w:spacing w:line="360" w:lineRule="auto"/>
              <w:ind w:firstLine="480"/>
              <w:rPr>
                <w:sz w:val="24"/>
              </w:rPr>
            </w:pPr>
            <w:r>
              <w:rPr>
                <w:rFonts w:hint="eastAsia"/>
                <w:sz w:val="24"/>
              </w:rPr>
              <w:t>项目在建设过程中产生的</w:t>
            </w:r>
            <w:r>
              <w:rPr>
                <w:sz w:val="24"/>
              </w:rPr>
              <w:t>生活污水较少，主要是工人的盥洗用水，泼洒至施工现场用于降尘使用</w:t>
            </w:r>
            <w:r>
              <w:rPr>
                <w:rFonts w:hint="eastAsia"/>
                <w:sz w:val="24"/>
              </w:rPr>
              <w:t>。</w:t>
            </w:r>
          </w:p>
          <w:p>
            <w:pPr>
              <w:spacing w:line="360" w:lineRule="auto"/>
              <w:ind w:firstLine="482"/>
              <w:rPr>
                <w:b/>
                <w:sz w:val="24"/>
              </w:rPr>
            </w:pPr>
            <w:r>
              <w:rPr>
                <w:b/>
                <w:sz w:val="24"/>
              </w:rPr>
              <w:t>3．</w:t>
            </w:r>
            <w:r>
              <w:rPr>
                <w:rFonts w:hint="eastAsia"/>
                <w:b/>
                <w:sz w:val="24"/>
              </w:rPr>
              <w:t>施工噪声环境影响和污染防治措施</w:t>
            </w:r>
          </w:p>
          <w:p>
            <w:pPr>
              <w:spacing w:line="360" w:lineRule="auto"/>
              <w:ind w:firstLine="480"/>
              <w:rPr>
                <w:sz w:val="24"/>
              </w:rPr>
            </w:pPr>
            <w:r>
              <w:rPr>
                <w:rFonts w:hint="eastAsia"/>
                <w:sz w:val="24"/>
              </w:rPr>
              <w:t>项目在</w:t>
            </w:r>
            <w:r>
              <w:rPr>
                <w:sz w:val="24"/>
              </w:rPr>
              <w:t>建设过程中，噪声主要来自建设施工机械</w:t>
            </w:r>
            <w:r>
              <w:rPr>
                <w:rFonts w:hint="eastAsia"/>
                <w:sz w:val="24"/>
              </w:rPr>
              <w:t>、施工作业</w:t>
            </w:r>
            <w:r>
              <w:rPr>
                <w:sz w:val="24"/>
              </w:rPr>
              <w:t>和运输车辆的噪声。</w:t>
            </w:r>
          </w:p>
          <w:p>
            <w:pPr>
              <w:spacing w:line="360" w:lineRule="auto"/>
              <w:ind w:firstLine="480"/>
              <w:rPr>
                <w:sz w:val="24"/>
              </w:rPr>
            </w:pPr>
            <w:r>
              <w:rPr>
                <w:rFonts w:hint="eastAsia"/>
                <w:sz w:val="24"/>
              </w:rPr>
              <w:t>项目</w:t>
            </w:r>
            <w:r>
              <w:rPr>
                <w:sz w:val="24"/>
              </w:rPr>
              <w:t>采取的</w:t>
            </w:r>
            <w:r>
              <w:rPr>
                <w:rFonts w:hint="eastAsia"/>
                <w:sz w:val="24"/>
              </w:rPr>
              <w:t>噪声污染防治</w:t>
            </w:r>
            <w:r>
              <w:rPr>
                <w:sz w:val="24"/>
              </w:rPr>
              <w:t>措施为</w:t>
            </w:r>
            <w:r>
              <w:rPr>
                <w:rFonts w:hint="eastAsia"/>
                <w:sz w:val="24"/>
              </w:rPr>
              <w:t>：</w:t>
            </w:r>
          </w:p>
          <w:p>
            <w:pPr>
              <w:spacing w:line="360" w:lineRule="auto"/>
              <w:ind w:firstLine="480"/>
              <w:rPr>
                <w:sz w:val="24"/>
              </w:rPr>
            </w:pPr>
            <w:r>
              <w:rPr>
                <w:rFonts w:hint="eastAsia"/>
                <w:sz w:val="24"/>
              </w:rPr>
              <w:t>（1）</w:t>
            </w:r>
            <w:r>
              <w:rPr>
                <w:sz w:val="24"/>
              </w:rPr>
              <w:t>选用低噪声的</w:t>
            </w:r>
            <w:r>
              <w:rPr>
                <w:rFonts w:hint="eastAsia"/>
                <w:sz w:val="24"/>
              </w:rPr>
              <w:t>施工</w:t>
            </w:r>
            <w:r>
              <w:rPr>
                <w:sz w:val="24"/>
              </w:rPr>
              <w:t>设备和先进的</w:t>
            </w:r>
            <w:r>
              <w:rPr>
                <w:rFonts w:hint="eastAsia"/>
                <w:sz w:val="24"/>
              </w:rPr>
              <w:t>施工</w:t>
            </w:r>
            <w:r>
              <w:rPr>
                <w:sz w:val="24"/>
              </w:rPr>
              <w:t>工艺，保持设备处于良好的运转状态</w:t>
            </w:r>
            <w:r>
              <w:rPr>
                <w:rFonts w:hint="eastAsia"/>
                <w:sz w:val="24"/>
              </w:rPr>
              <w:t>；</w:t>
            </w:r>
            <w:r>
              <w:rPr>
                <w:sz w:val="24"/>
              </w:rPr>
              <w:t>闲置设备及时关闭</w:t>
            </w:r>
            <w:r>
              <w:rPr>
                <w:rFonts w:hint="eastAsia"/>
                <w:sz w:val="24"/>
              </w:rPr>
              <w:t>，定时</w:t>
            </w:r>
            <w:r>
              <w:rPr>
                <w:sz w:val="24"/>
              </w:rPr>
              <w:t>检修</w:t>
            </w:r>
            <w:r>
              <w:rPr>
                <w:rFonts w:hint="eastAsia"/>
                <w:sz w:val="24"/>
              </w:rPr>
              <w:t>。</w:t>
            </w:r>
          </w:p>
          <w:p>
            <w:pPr>
              <w:spacing w:line="360" w:lineRule="auto"/>
              <w:ind w:firstLine="480"/>
              <w:rPr>
                <w:sz w:val="24"/>
              </w:rPr>
            </w:pPr>
            <w:r>
              <w:rPr>
                <w:rFonts w:hint="eastAsia"/>
                <w:sz w:val="24"/>
              </w:rPr>
              <w:t>（2）</w:t>
            </w:r>
            <w:r>
              <w:rPr>
                <w:sz w:val="24"/>
              </w:rPr>
              <w:t>夜间</w:t>
            </w:r>
            <w:r>
              <w:rPr>
                <w:rFonts w:hint="eastAsia"/>
                <w:sz w:val="24"/>
              </w:rPr>
              <w:t>2</w:t>
            </w:r>
            <w:r>
              <w:rPr>
                <w:sz w:val="24"/>
              </w:rPr>
              <w:t>2</w:t>
            </w:r>
            <w:r>
              <w:rPr>
                <w:rFonts w:hint="eastAsia"/>
                <w:sz w:val="24"/>
              </w:rPr>
              <w:t>:0</w:t>
            </w:r>
            <w:r>
              <w:rPr>
                <w:sz w:val="24"/>
              </w:rPr>
              <w:t>0</w:t>
            </w:r>
            <w:r>
              <w:rPr>
                <w:rFonts w:hint="eastAsia"/>
                <w:sz w:val="24"/>
              </w:rPr>
              <w:t>~</w:t>
            </w:r>
            <w:r>
              <w:rPr>
                <w:sz w:val="24"/>
              </w:rPr>
              <w:t>6</w:t>
            </w:r>
            <w:r>
              <w:rPr>
                <w:rFonts w:hint="eastAsia"/>
                <w:sz w:val="24"/>
              </w:rPr>
              <w:t>:0</w:t>
            </w:r>
            <w:r>
              <w:rPr>
                <w:sz w:val="24"/>
              </w:rPr>
              <w:t>0不建设，</w:t>
            </w:r>
            <w:r>
              <w:rPr>
                <w:rFonts w:hint="eastAsia"/>
                <w:sz w:val="24"/>
              </w:rPr>
              <w:t>不</w:t>
            </w:r>
            <w:r>
              <w:rPr>
                <w:sz w:val="24"/>
              </w:rPr>
              <w:t>在同一时间集中使用大量的动力机械设备</w:t>
            </w:r>
            <w:r>
              <w:rPr>
                <w:rFonts w:hint="eastAsia"/>
                <w:sz w:val="24"/>
              </w:rPr>
              <w:t>；</w:t>
            </w:r>
          </w:p>
          <w:p>
            <w:pPr>
              <w:spacing w:line="360" w:lineRule="auto"/>
              <w:ind w:firstLine="480"/>
              <w:rPr>
                <w:sz w:val="24"/>
              </w:rPr>
            </w:pPr>
            <w:r>
              <w:rPr>
                <w:rFonts w:hint="eastAsia"/>
                <w:sz w:val="24"/>
              </w:rPr>
              <w:t>（3）建设</w:t>
            </w:r>
            <w:r>
              <w:rPr>
                <w:sz w:val="24"/>
              </w:rPr>
              <w:t>现场不安装</w:t>
            </w:r>
            <w:r>
              <w:rPr>
                <w:rFonts w:hint="eastAsia"/>
                <w:sz w:val="24"/>
              </w:rPr>
              <w:t>混凝土</w:t>
            </w:r>
            <w:r>
              <w:rPr>
                <w:sz w:val="24"/>
              </w:rPr>
              <w:t>搅拌机，</w:t>
            </w:r>
            <w:r>
              <w:rPr>
                <w:rFonts w:hint="eastAsia"/>
                <w:sz w:val="24"/>
              </w:rPr>
              <w:t>混凝土</w:t>
            </w:r>
            <w:r>
              <w:rPr>
                <w:sz w:val="24"/>
              </w:rPr>
              <w:t>外购</w:t>
            </w:r>
            <w:r>
              <w:rPr>
                <w:rFonts w:hint="eastAsia"/>
                <w:sz w:val="24"/>
              </w:rPr>
              <w:t>。</w:t>
            </w:r>
          </w:p>
          <w:p>
            <w:pPr>
              <w:spacing w:line="360" w:lineRule="auto"/>
              <w:ind w:firstLine="480"/>
              <w:rPr>
                <w:sz w:val="24"/>
              </w:rPr>
            </w:pPr>
            <w:r>
              <w:rPr>
                <w:rFonts w:hint="eastAsia"/>
                <w:sz w:val="24"/>
              </w:rPr>
              <w:t>（4）</w:t>
            </w:r>
            <w:r>
              <w:rPr>
                <w:sz w:val="24"/>
              </w:rPr>
              <w:t>对于运输材料、土石方等物料的车辆，</w:t>
            </w:r>
            <w:r>
              <w:rPr>
                <w:rFonts w:hint="eastAsia"/>
                <w:sz w:val="24"/>
              </w:rPr>
              <w:t>不在</w:t>
            </w:r>
            <w:r>
              <w:rPr>
                <w:sz w:val="24"/>
              </w:rPr>
              <w:t>敏感时段运输，加强管理，车辆减速、禁鸣，</w:t>
            </w:r>
            <w:r>
              <w:rPr>
                <w:rFonts w:hint="eastAsia"/>
                <w:sz w:val="24"/>
              </w:rPr>
              <w:t>场地内</w:t>
            </w:r>
            <w:r>
              <w:rPr>
                <w:sz w:val="24"/>
              </w:rPr>
              <w:t>运输车辆</w:t>
            </w:r>
            <w:r>
              <w:rPr>
                <w:rFonts w:hint="eastAsia"/>
                <w:sz w:val="24"/>
              </w:rPr>
              <w:t>不长时间</w:t>
            </w:r>
            <w:r>
              <w:rPr>
                <w:sz w:val="24"/>
              </w:rPr>
              <w:t>行驶</w:t>
            </w:r>
            <w:r>
              <w:rPr>
                <w:rFonts w:hint="eastAsia"/>
                <w:sz w:val="24"/>
              </w:rPr>
              <w:t>。</w:t>
            </w:r>
          </w:p>
          <w:p>
            <w:pPr>
              <w:spacing w:line="360" w:lineRule="auto"/>
              <w:ind w:firstLine="482"/>
              <w:rPr>
                <w:bCs/>
                <w:spacing w:val="-10"/>
                <w:sz w:val="24"/>
                <w:szCs w:val="21"/>
              </w:rPr>
            </w:pPr>
            <w:r>
              <w:rPr>
                <w:b/>
                <w:sz w:val="24"/>
              </w:rPr>
              <w:t>4．</w:t>
            </w:r>
            <w:r>
              <w:rPr>
                <w:rFonts w:hint="eastAsia"/>
                <w:b/>
                <w:sz w:val="24"/>
              </w:rPr>
              <w:t>施工期固体废物环境影响和处置措施</w:t>
            </w:r>
          </w:p>
          <w:p>
            <w:pPr>
              <w:spacing w:line="360" w:lineRule="auto"/>
              <w:ind w:firstLine="480"/>
              <w:rPr>
                <w:sz w:val="24"/>
              </w:rPr>
            </w:pPr>
            <w:r>
              <w:rPr>
                <w:sz w:val="24"/>
              </w:rPr>
              <w:t>项目</w:t>
            </w:r>
            <w:r>
              <w:rPr>
                <w:rFonts w:hint="eastAsia"/>
                <w:sz w:val="24"/>
              </w:rPr>
              <w:t>在</w:t>
            </w:r>
            <w:r>
              <w:rPr>
                <w:sz w:val="24"/>
              </w:rPr>
              <w:t>建设过程中产生的固体废物主要为弃土、弃渣、建筑垃圾和工人</w:t>
            </w:r>
            <w:r>
              <w:rPr>
                <w:rFonts w:hint="eastAsia"/>
                <w:sz w:val="24"/>
              </w:rPr>
              <w:t>施工</w:t>
            </w:r>
            <w:r>
              <w:rPr>
                <w:sz w:val="24"/>
              </w:rPr>
              <w:t>产生的生活垃圾。</w:t>
            </w:r>
          </w:p>
          <w:p>
            <w:pPr>
              <w:spacing w:line="360" w:lineRule="auto"/>
              <w:ind w:firstLine="480"/>
              <w:rPr>
                <w:sz w:val="24"/>
              </w:rPr>
            </w:pPr>
            <w:r>
              <w:rPr>
                <w:rFonts w:hint="eastAsia"/>
                <w:sz w:val="24"/>
              </w:rPr>
              <w:t>采取的固废废物处置措施为：</w:t>
            </w:r>
          </w:p>
          <w:p>
            <w:pPr>
              <w:spacing w:line="360" w:lineRule="auto"/>
              <w:ind w:firstLine="480"/>
              <w:rPr>
                <w:sz w:val="24"/>
              </w:rPr>
            </w:pPr>
            <w:r>
              <w:rPr>
                <w:rFonts w:hint="eastAsia"/>
                <w:sz w:val="24"/>
              </w:rPr>
              <w:t>（1）项目在</w:t>
            </w:r>
            <w:r>
              <w:rPr>
                <w:sz w:val="24"/>
              </w:rPr>
              <w:t>建设过程中产生的弃土</w:t>
            </w:r>
            <w:r>
              <w:rPr>
                <w:rFonts w:hint="eastAsia"/>
                <w:sz w:val="24"/>
              </w:rPr>
              <w:t>、</w:t>
            </w:r>
            <w:r>
              <w:rPr>
                <w:sz w:val="24"/>
              </w:rPr>
              <w:t>石及建筑垃圾等</w:t>
            </w:r>
            <w:r>
              <w:rPr>
                <w:rFonts w:hint="eastAsia"/>
                <w:sz w:val="24"/>
              </w:rPr>
              <w:t>在指定地点堆存，优先进行回用</w:t>
            </w:r>
            <w:r>
              <w:rPr>
                <w:sz w:val="24"/>
              </w:rPr>
              <w:t>，剩余部分</w:t>
            </w:r>
            <w:r>
              <w:rPr>
                <w:rFonts w:hint="eastAsia"/>
                <w:sz w:val="24"/>
              </w:rPr>
              <w:t>及时清运，</w:t>
            </w:r>
            <w:r>
              <w:rPr>
                <w:sz w:val="24"/>
              </w:rPr>
              <w:t>送至</w:t>
            </w:r>
            <w:r>
              <w:rPr>
                <w:rFonts w:hint="eastAsia"/>
                <w:sz w:val="24"/>
              </w:rPr>
              <w:t>区域指定</w:t>
            </w:r>
            <w:r>
              <w:rPr>
                <w:sz w:val="24"/>
              </w:rPr>
              <w:t>建筑垃圾场堆存处置</w:t>
            </w:r>
            <w:r>
              <w:rPr>
                <w:rFonts w:hint="eastAsia"/>
                <w:sz w:val="24"/>
              </w:rPr>
              <w:t>。</w:t>
            </w:r>
          </w:p>
          <w:p>
            <w:pPr>
              <w:spacing w:line="360" w:lineRule="auto"/>
              <w:ind w:firstLine="480"/>
              <w:rPr>
                <w:sz w:val="24"/>
              </w:rPr>
            </w:pPr>
            <w:r>
              <w:rPr>
                <w:rFonts w:hint="eastAsia"/>
                <w:sz w:val="24"/>
              </w:rPr>
              <w:t>（2）</w:t>
            </w:r>
            <w:r>
              <w:rPr>
                <w:sz w:val="24"/>
              </w:rPr>
              <w:t>建设过程中产生的生活垃圾集中收集，送至</w:t>
            </w:r>
            <w:r>
              <w:rPr>
                <w:rFonts w:hint="eastAsia"/>
                <w:sz w:val="24"/>
              </w:rPr>
              <w:t>区域指定垃圾集中堆存点，由区域</w:t>
            </w:r>
            <w:r>
              <w:rPr>
                <w:sz w:val="24"/>
              </w:rPr>
              <w:t>环卫部门</w:t>
            </w:r>
            <w:r>
              <w:rPr>
                <w:rFonts w:hint="eastAsia"/>
                <w:sz w:val="24"/>
              </w:rPr>
              <w:t>统一负责处置</w:t>
            </w:r>
            <w:r>
              <w:rPr>
                <w:sz w:val="24"/>
              </w:rPr>
              <w:t>。</w:t>
            </w:r>
          </w:p>
          <w:p>
            <w:pPr>
              <w:spacing w:line="360" w:lineRule="auto"/>
              <w:ind w:firstLine="480"/>
              <w:rPr>
                <w:sz w:val="24"/>
              </w:rPr>
            </w:pPr>
            <w:r>
              <w:rPr>
                <w:rFonts w:hint="eastAsia"/>
                <w:sz w:val="24"/>
              </w:rPr>
              <w:t>现建设项目除部分设备未安装外其余部分已经建成，施工期的固体废物已经完全处置，现场未残留施工期固体废物。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76" w:type="dxa"/>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705" w:type="dxa"/>
            <w:vAlign w:val="center"/>
          </w:tcPr>
          <w:p>
            <w:pPr>
              <w:spacing w:before="120" w:beforeLines="50" w:line="360" w:lineRule="auto"/>
              <w:ind w:firstLine="482"/>
              <w:rPr>
                <w:b/>
                <w:sz w:val="24"/>
              </w:rPr>
            </w:pPr>
            <w:r>
              <w:rPr>
                <w:rFonts w:hint="eastAsia"/>
                <w:b/>
                <w:sz w:val="24"/>
              </w:rPr>
              <w:t>1</w:t>
            </w:r>
            <w:r>
              <w:rPr>
                <w:b/>
                <w:sz w:val="24"/>
              </w:rPr>
              <w:t>．</w:t>
            </w:r>
            <w:r>
              <w:rPr>
                <w:rFonts w:hint="eastAsia"/>
                <w:b/>
                <w:sz w:val="24"/>
              </w:rPr>
              <w:t>大气环境影响和保护措施</w:t>
            </w:r>
          </w:p>
          <w:p>
            <w:pPr>
              <w:spacing w:line="360" w:lineRule="auto"/>
              <w:ind w:firstLine="480"/>
              <w:rPr>
                <w:sz w:val="24"/>
              </w:rPr>
            </w:pPr>
            <w:r>
              <w:rPr>
                <w:rFonts w:hint="eastAsia"/>
                <w:sz w:val="24"/>
              </w:rPr>
              <w:t>项目废水全部依托东侧方舱医院污水处理站进行处理，定点医院项目的生活污水和医疗污水合流，定点医院污水排水管连通方舱医院污水排水管，依靠重力自流排入隔壁方舱医院的污水管网，再和方舱医院的污水一起排入方舱医院的污水处理站。定点医院项目本身没有污水处理站，在将污水排入方舱医院污水处理站的过程中也不产生废气，不涉及处理污水时产生的废气，运营期间也不产生其他废气，故项目对大气环境不产生影响，无需保护措施。</w:t>
            </w:r>
          </w:p>
          <w:p>
            <w:pPr>
              <w:spacing w:line="360" w:lineRule="auto"/>
              <w:ind w:firstLine="482"/>
              <w:rPr>
                <w:b/>
                <w:sz w:val="24"/>
              </w:rPr>
            </w:pPr>
            <w:r>
              <w:rPr>
                <w:b/>
                <w:sz w:val="24"/>
              </w:rPr>
              <w:t>2．</w:t>
            </w:r>
            <w:r>
              <w:rPr>
                <w:rFonts w:hint="eastAsia"/>
                <w:b/>
                <w:sz w:val="24"/>
              </w:rPr>
              <w:t>水环境影响和保护措施</w:t>
            </w:r>
          </w:p>
          <w:p>
            <w:pPr>
              <w:spacing w:line="360" w:lineRule="auto"/>
              <w:ind w:firstLine="480"/>
              <w:rPr>
                <w:sz w:val="24"/>
              </w:rPr>
            </w:pPr>
            <w:r>
              <w:rPr>
                <w:rFonts w:hint="eastAsia"/>
                <w:sz w:val="24"/>
              </w:rPr>
              <w:t>项目运行阶段水污染物包括：生活污水和医疗污水。</w:t>
            </w:r>
          </w:p>
          <w:p>
            <w:pPr>
              <w:spacing w:line="360" w:lineRule="auto"/>
              <w:ind w:firstLine="480"/>
              <w:rPr>
                <w:b/>
                <w:sz w:val="24"/>
              </w:rPr>
            </w:pPr>
            <w:r>
              <w:rPr>
                <w:rFonts w:hint="eastAsia"/>
                <w:b/>
                <w:sz w:val="24"/>
              </w:rPr>
              <w:t>（</w:t>
            </w:r>
            <w:r>
              <w:rPr>
                <w:b/>
                <w:sz w:val="24"/>
              </w:rPr>
              <w:t>1</w:t>
            </w:r>
            <w:r>
              <w:rPr>
                <w:rFonts w:hint="eastAsia"/>
                <w:b/>
                <w:sz w:val="24"/>
              </w:rPr>
              <w:t>）水污染物产生和排放情况</w:t>
            </w:r>
          </w:p>
          <w:p>
            <w:pPr>
              <w:spacing w:line="360" w:lineRule="auto"/>
              <w:ind w:firstLine="480"/>
              <w:rPr>
                <w:rFonts w:hint="eastAsia"/>
                <w:sz w:val="24"/>
              </w:rPr>
            </w:pPr>
            <w:r>
              <w:rPr>
                <w:rFonts w:hint="eastAsia"/>
                <w:sz w:val="24"/>
              </w:rPr>
              <w:t>本项目废水为医疗污水、生活污水，产生量按用水量的80%计，则医疗污水产生量为15.4m</w:t>
            </w:r>
            <w:r>
              <w:rPr>
                <w:rFonts w:hint="eastAsia"/>
                <w:sz w:val="24"/>
                <w:vertAlign w:val="superscript"/>
              </w:rPr>
              <w:t>3</w:t>
            </w:r>
            <w:r>
              <w:rPr>
                <w:rFonts w:hint="eastAsia"/>
                <w:sz w:val="24"/>
              </w:rPr>
              <w:t>/d（5621m</w:t>
            </w:r>
            <w:r>
              <w:rPr>
                <w:rFonts w:hint="eastAsia"/>
                <w:sz w:val="24"/>
                <w:vertAlign w:val="superscript"/>
              </w:rPr>
              <w:t>3</w:t>
            </w:r>
            <w:r>
              <w:rPr>
                <w:rFonts w:hint="eastAsia"/>
                <w:sz w:val="24"/>
              </w:rPr>
              <w:t>/a），生活污水产生量为22.8m</w:t>
            </w:r>
            <w:r>
              <w:rPr>
                <w:rFonts w:hint="eastAsia"/>
                <w:sz w:val="24"/>
                <w:vertAlign w:val="superscript"/>
              </w:rPr>
              <w:t>3</w:t>
            </w:r>
            <w:r>
              <w:rPr>
                <w:rFonts w:hint="eastAsia"/>
                <w:sz w:val="24"/>
              </w:rPr>
              <w:t>/d（8322m</w:t>
            </w:r>
            <w:r>
              <w:rPr>
                <w:rFonts w:hint="eastAsia"/>
                <w:sz w:val="24"/>
                <w:vertAlign w:val="superscript"/>
              </w:rPr>
              <w:t>3</w:t>
            </w:r>
            <w:r>
              <w:rPr>
                <w:rFonts w:hint="eastAsia"/>
                <w:sz w:val="24"/>
              </w:rPr>
              <w:t>/a）。综上，本项目废水产生总量为38.2m</w:t>
            </w:r>
            <w:r>
              <w:rPr>
                <w:rFonts w:hint="eastAsia"/>
                <w:sz w:val="24"/>
                <w:vertAlign w:val="superscript"/>
              </w:rPr>
              <w:t>3</w:t>
            </w:r>
            <w:r>
              <w:rPr>
                <w:rFonts w:hint="eastAsia"/>
                <w:sz w:val="24"/>
              </w:rPr>
              <w:t>/d（13943m</w:t>
            </w:r>
            <w:r>
              <w:rPr>
                <w:rFonts w:hint="eastAsia"/>
                <w:sz w:val="24"/>
                <w:vertAlign w:val="superscript"/>
              </w:rPr>
              <w:t>3</w:t>
            </w:r>
            <w:r>
              <w:rPr>
                <w:rFonts w:hint="eastAsia"/>
                <w:sz w:val="24"/>
              </w:rPr>
              <w:t>/a）。废水主要污染因子为pH、</w:t>
            </w:r>
            <w:r>
              <w:rPr>
                <w:sz w:val="24"/>
              </w:rPr>
              <w:t>COD、BOD</w:t>
            </w:r>
            <w:r>
              <w:rPr>
                <w:sz w:val="24"/>
                <w:vertAlign w:val="subscript"/>
              </w:rPr>
              <w:t>5</w:t>
            </w:r>
            <w:r>
              <w:rPr>
                <w:sz w:val="24"/>
              </w:rPr>
              <w:t>、SS、NH</w:t>
            </w:r>
            <w:r>
              <w:rPr>
                <w:sz w:val="24"/>
                <w:vertAlign w:val="subscript"/>
              </w:rPr>
              <w:t>3</w:t>
            </w:r>
            <w:r>
              <w:rPr>
                <w:sz w:val="24"/>
              </w:rPr>
              <w:t>-N、粪大肠菌群数、阴离子表面活性剂等</w:t>
            </w:r>
            <w:r>
              <w:rPr>
                <w:rFonts w:hint="eastAsia"/>
                <w:sz w:val="24"/>
              </w:rPr>
              <w:t>。参照《医院污水处理工程技术规范》（HJ2029-2013），本项目废水产生情况详见下表。</w:t>
            </w:r>
          </w:p>
          <w:p/>
          <w:p>
            <w:pPr>
              <w:pStyle w:val="26"/>
            </w:pPr>
          </w:p>
          <w:p>
            <w:pPr>
              <w:numPr>
                <w:ilvl w:val="0"/>
                <w:numId w:val="9"/>
              </w:numPr>
              <w:adjustRightInd w:val="0"/>
              <w:spacing w:before="120" w:beforeLines="50" w:after="120" w:afterLines="50"/>
              <w:ind w:left="0" w:firstLine="0"/>
              <w:jc w:val="center"/>
              <w:rPr>
                <w:b/>
                <w:bCs/>
                <w:szCs w:val="21"/>
              </w:rPr>
            </w:pPr>
            <w:r>
              <w:rPr>
                <w:rFonts w:hint="eastAsia"/>
                <w:b/>
                <w:bCs/>
                <w:szCs w:val="21"/>
              </w:rPr>
              <w:t>本项目废水产生情况一览表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265"/>
              <w:gridCol w:w="2174"/>
              <w:gridCol w:w="196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restart"/>
                  <w:vAlign w:val="center"/>
                </w:tcPr>
                <w:p>
                  <w:pPr>
                    <w:spacing w:line="240" w:lineRule="atLeast"/>
                    <w:jc w:val="center"/>
                    <w:rPr>
                      <w:b/>
                      <w:bCs/>
                      <w:szCs w:val="21"/>
                    </w:rPr>
                  </w:pPr>
                  <w:r>
                    <w:rPr>
                      <w:rFonts w:hint="eastAsia"/>
                      <w:b/>
                      <w:bCs/>
                      <w:szCs w:val="21"/>
                    </w:rPr>
                    <w:t>污水类别</w:t>
                  </w:r>
                </w:p>
              </w:tc>
              <w:tc>
                <w:tcPr>
                  <w:tcW w:w="746" w:type="pct"/>
                  <w:vMerge w:val="restart"/>
                  <w:vAlign w:val="center"/>
                </w:tcPr>
                <w:p>
                  <w:pPr>
                    <w:spacing w:line="240" w:lineRule="atLeast"/>
                    <w:jc w:val="center"/>
                    <w:rPr>
                      <w:b/>
                      <w:bCs/>
                      <w:szCs w:val="21"/>
                    </w:rPr>
                  </w:pPr>
                  <w:r>
                    <w:rPr>
                      <w:rFonts w:hint="eastAsia"/>
                      <w:b/>
                      <w:bCs/>
                      <w:szCs w:val="21"/>
                    </w:rPr>
                    <w:t>废水量（</w:t>
                  </w:r>
                  <w:r>
                    <w:rPr>
                      <w:b/>
                      <w:bCs/>
                      <w:szCs w:val="21"/>
                    </w:rPr>
                    <w:t>m</w:t>
                  </w:r>
                  <w:r>
                    <w:rPr>
                      <w:b/>
                      <w:bCs/>
                      <w:szCs w:val="21"/>
                      <w:vertAlign w:val="superscript"/>
                    </w:rPr>
                    <w:t>3</w:t>
                  </w:r>
                  <w:r>
                    <w:rPr>
                      <w:b/>
                      <w:bCs/>
                      <w:szCs w:val="21"/>
                    </w:rPr>
                    <w:t>/</w:t>
                  </w:r>
                  <w:r>
                    <w:rPr>
                      <w:rFonts w:hint="eastAsia"/>
                      <w:b/>
                      <w:bCs/>
                      <w:szCs w:val="21"/>
                    </w:rPr>
                    <w:t>a）</w:t>
                  </w:r>
                </w:p>
              </w:tc>
              <w:tc>
                <w:tcPr>
                  <w:tcW w:w="1283" w:type="pct"/>
                  <w:vMerge w:val="restart"/>
                  <w:vAlign w:val="center"/>
                </w:tcPr>
                <w:p>
                  <w:pPr>
                    <w:spacing w:line="240" w:lineRule="atLeast"/>
                    <w:jc w:val="center"/>
                    <w:rPr>
                      <w:b/>
                      <w:bCs/>
                      <w:szCs w:val="21"/>
                    </w:rPr>
                  </w:pPr>
                  <w:r>
                    <w:rPr>
                      <w:rFonts w:hint="eastAsia"/>
                      <w:b/>
                      <w:bCs/>
                      <w:szCs w:val="21"/>
                    </w:rPr>
                    <w:t>污染物名称</w:t>
                  </w:r>
                </w:p>
              </w:tc>
              <w:tc>
                <w:tcPr>
                  <w:tcW w:w="1976" w:type="pct"/>
                  <w:gridSpan w:val="2"/>
                  <w:vAlign w:val="center"/>
                </w:tcPr>
                <w:p>
                  <w:pPr>
                    <w:spacing w:line="240" w:lineRule="atLeast"/>
                    <w:jc w:val="center"/>
                    <w:rPr>
                      <w:b/>
                      <w:bCs/>
                      <w:szCs w:val="21"/>
                    </w:rPr>
                  </w:pPr>
                  <w:r>
                    <w:rPr>
                      <w:rFonts w:hint="eastAsia"/>
                      <w:b/>
                      <w:bCs/>
                      <w:szCs w:val="21"/>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b/>
                      <w:bCs/>
                      <w:szCs w:val="21"/>
                    </w:rPr>
                  </w:pPr>
                </w:p>
              </w:tc>
              <w:tc>
                <w:tcPr>
                  <w:tcW w:w="746" w:type="pct"/>
                  <w:vMerge w:val="continue"/>
                  <w:vAlign w:val="center"/>
                </w:tcPr>
                <w:p>
                  <w:pPr>
                    <w:spacing w:line="240" w:lineRule="atLeast"/>
                    <w:jc w:val="center"/>
                    <w:rPr>
                      <w:b/>
                      <w:bCs/>
                      <w:szCs w:val="21"/>
                    </w:rPr>
                  </w:pPr>
                </w:p>
              </w:tc>
              <w:tc>
                <w:tcPr>
                  <w:tcW w:w="1283" w:type="pct"/>
                  <w:vMerge w:val="continue"/>
                  <w:vAlign w:val="center"/>
                </w:tcPr>
                <w:p>
                  <w:pPr>
                    <w:spacing w:line="240" w:lineRule="atLeast"/>
                    <w:jc w:val="center"/>
                    <w:rPr>
                      <w:b/>
                      <w:bCs/>
                      <w:szCs w:val="21"/>
                    </w:rPr>
                  </w:pPr>
                </w:p>
              </w:tc>
              <w:tc>
                <w:tcPr>
                  <w:tcW w:w="1160" w:type="pct"/>
                  <w:vAlign w:val="center"/>
                </w:tcPr>
                <w:p>
                  <w:pPr>
                    <w:spacing w:line="240" w:lineRule="atLeast"/>
                    <w:jc w:val="center"/>
                    <w:rPr>
                      <w:b/>
                      <w:bCs/>
                      <w:szCs w:val="21"/>
                    </w:rPr>
                  </w:pPr>
                  <w:r>
                    <w:rPr>
                      <w:rFonts w:hint="eastAsia"/>
                      <w:b/>
                      <w:bCs/>
                      <w:szCs w:val="21"/>
                    </w:rPr>
                    <w:t>产生浓度（mg/L）</w:t>
                  </w:r>
                </w:p>
              </w:tc>
              <w:tc>
                <w:tcPr>
                  <w:tcW w:w="815" w:type="pct"/>
                  <w:vAlign w:val="center"/>
                </w:tcPr>
                <w:p>
                  <w:pPr>
                    <w:spacing w:line="240" w:lineRule="atLeast"/>
                    <w:jc w:val="center"/>
                    <w:rPr>
                      <w:b/>
                      <w:bCs/>
                      <w:szCs w:val="21"/>
                    </w:rPr>
                  </w:pPr>
                  <w:r>
                    <w:rPr>
                      <w:rFonts w:hint="eastAsia"/>
                      <w:b/>
                      <w:bCs/>
                      <w:szCs w:val="21"/>
                    </w:rPr>
                    <w:t>产生量（t</w:t>
                  </w:r>
                  <w:r>
                    <w:rPr>
                      <w:b/>
                      <w:bCs/>
                      <w:szCs w:val="21"/>
                    </w:rPr>
                    <w:t>/</w:t>
                  </w:r>
                  <w:r>
                    <w:rPr>
                      <w:rFonts w:hint="eastAsia"/>
                      <w:b/>
                      <w:bCs/>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restart"/>
                  <w:vAlign w:val="center"/>
                </w:tcPr>
                <w:p>
                  <w:pPr>
                    <w:spacing w:line="240" w:lineRule="atLeast"/>
                    <w:jc w:val="center"/>
                    <w:rPr>
                      <w:szCs w:val="21"/>
                    </w:rPr>
                  </w:pPr>
                  <w:r>
                    <w:rPr>
                      <w:rFonts w:hint="eastAsia"/>
                      <w:szCs w:val="21"/>
                    </w:rPr>
                    <w:t>医疗污水</w:t>
                  </w:r>
                </w:p>
              </w:tc>
              <w:tc>
                <w:tcPr>
                  <w:tcW w:w="746" w:type="pct"/>
                  <w:vMerge w:val="restart"/>
                  <w:vAlign w:val="center"/>
                </w:tcPr>
                <w:p>
                  <w:pPr>
                    <w:spacing w:line="240" w:lineRule="atLeast"/>
                    <w:jc w:val="center"/>
                    <w:rPr>
                      <w:szCs w:val="21"/>
                    </w:rPr>
                  </w:pPr>
                  <w:r>
                    <w:rPr>
                      <w:rFonts w:hint="eastAsia"/>
                      <w:szCs w:val="21"/>
                    </w:rPr>
                    <w:t>5621</w:t>
                  </w:r>
                </w:p>
              </w:tc>
              <w:tc>
                <w:tcPr>
                  <w:tcW w:w="1283" w:type="pct"/>
                  <w:vAlign w:val="center"/>
                </w:tcPr>
                <w:p>
                  <w:pPr>
                    <w:spacing w:line="240" w:lineRule="atLeast"/>
                    <w:jc w:val="center"/>
                    <w:rPr>
                      <w:szCs w:val="21"/>
                    </w:rPr>
                  </w:pPr>
                  <w:r>
                    <w:rPr>
                      <w:rFonts w:hint="eastAsia"/>
                      <w:szCs w:val="21"/>
                    </w:rPr>
                    <w:t>pH</w:t>
                  </w:r>
                </w:p>
              </w:tc>
              <w:tc>
                <w:tcPr>
                  <w:tcW w:w="1160" w:type="pct"/>
                  <w:vAlign w:val="center"/>
                </w:tcPr>
                <w:p>
                  <w:pPr>
                    <w:spacing w:line="240" w:lineRule="atLeast"/>
                    <w:jc w:val="center"/>
                    <w:rPr>
                      <w:szCs w:val="21"/>
                    </w:rPr>
                  </w:pPr>
                  <w:r>
                    <w:rPr>
                      <w:rFonts w:hint="eastAsia"/>
                      <w:szCs w:val="21"/>
                    </w:rPr>
                    <w:t>6-9</w:t>
                  </w:r>
                </w:p>
              </w:tc>
              <w:tc>
                <w:tcPr>
                  <w:tcW w:w="815" w:type="pct"/>
                  <w:vAlign w:val="center"/>
                </w:tcPr>
                <w:p>
                  <w:pPr>
                    <w:spacing w:line="240" w:lineRule="atLeas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COD</w:t>
                  </w:r>
                </w:p>
              </w:tc>
              <w:tc>
                <w:tcPr>
                  <w:tcW w:w="1160" w:type="pct"/>
                  <w:vAlign w:val="center"/>
                </w:tcPr>
                <w:p>
                  <w:pPr>
                    <w:spacing w:line="240" w:lineRule="atLeast"/>
                    <w:jc w:val="center"/>
                    <w:rPr>
                      <w:szCs w:val="21"/>
                    </w:rPr>
                  </w:pPr>
                  <w:r>
                    <w:rPr>
                      <w:rFonts w:hint="eastAsia"/>
                      <w:szCs w:val="21"/>
                    </w:rPr>
                    <w:t>400</w:t>
                  </w:r>
                </w:p>
              </w:tc>
              <w:tc>
                <w:tcPr>
                  <w:tcW w:w="1382" w:type="dxa"/>
                  <w:vAlign w:val="center"/>
                </w:tcPr>
                <w:p>
                  <w:pPr>
                    <w:widowControl/>
                    <w:jc w:val="center"/>
                    <w:textAlignment w:val="center"/>
                    <w:rPr>
                      <w:szCs w:val="21"/>
                    </w:rPr>
                  </w:pPr>
                  <w:r>
                    <w:rPr>
                      <w:kern w:val="0"/>
                      <w:szCs w:val="21"/>
                      <w:lang w:bidi="ar"/>
                    </w:rPr>
                    <w:t>2.248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BOD</w:t>
                  </w:r>
                  <w:r>
                    <w:rPr>
                      <w:rFonts w:hint="eastAsia"/>
                      <w:szCs w:val="21"/>
                      <w:vertAlign w:val="subscript"/>
                    </w:rPr>
                    <w:t>5</w:t>
                  </w:r>
                </w:p>
              </w:tc>
              <w:tc>
                <w:tcPr>
                  <w:tcW w:w="1160" w:type="pct"/>
                  <w:vAlign w:val="center"/>
                </w:tcPr>
                <w:p>
                  <w:pPr>
                    <w:spacing w:line="240" w:lineRule="atLeast"/>
                    <w:jc w:val="center"/>
                    <w:rPr>
                      <w:szCs w:val="21"/>
                    </w:rPr>
                  </w:pPr>
                  <w:r>
                    <w:rPr>
                      <w:rFonts w:hint="eastAsia"/>
                      <w:szCs w:val="21"/>
                    </w:rPr>
                    <w:t>250</w:t>
                  </w:r>
                </w:p>
              </w:tc>
              <w:tc>
                <w:tcPr>
                  <w:tcW w:w="1382" w:type="dxa"/>
                  <w:vAlign w:val="center"/>
                </w:tcPr>
                <w:p>
                  <w:pPr>
                    <w:widowControl/>
                    <w:jc w:val="center"/>
                    <w:textAlignment w:val="center"/>
                    <w:rPr>
                      <w:szCs w:val="21"/>
                    </w:rPr>
                  </w:pPr>
                  <w:r>
                    <w:rPr>
                      <w:kern w:val="0"/>
                      <w:szCs w:val="21"/>
                      <w:lang w:bidi="ar"/>
                    </w:rPr>
                    <w:t>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SS</w:t>
                  </w:r>
                </w:p>
              </w:tc>
              <w:tc>
                <w:tcPr>
                  <w:tcW w:w="1160" w:type="pct"/>
                  <w:vAlign w:val="center"/>
                </w:tcPr>
                <w:p>
                  <w:pPr>
                    <w:spacing w:line="240" w:lineRule="atLeast"/>
                    <w:jc w:val="center"/>
                    <w:rPr>
                      <w:szCs w:val="21"/>
                    </w:rPr>
                  </w:pPr>
                  <w:r>
                    <w:rPr>
                      <w:rFonts w:hint="eastAsia"/>
                      <w:szCs w:val="21"/>
                    </w:rPr>
                    <w:t>280</w:t>
                  </w:r>
                </w:p>
              </w:tc>
              <w:tc>
                <w:tcPr>
                  <w:tcW w:w="1382" w:type="dxa"/>
                  <w:vAlign w:val="center"/>
                </w:tcPr>
                <w:p>
                  <w:pPr>
                    <w:widowControl/>
                    <w:jc w:val="center"/>
                    <w:textAlignment w:val="center"/>
                    <w:rPr>
                      <w:szCs w:val="21"/>
                    </w:rPr>
                  </w:pPr>
                  <w:r>
                    <w:rPr>
                      <w:kern w:val="0"/>
                      <w:szCs w:val="21"/>
                      <w:lang w:bidi="ar"/>
                    </w:rPr>
                    <w:t>1.57</w:t>
                  </w:r>
                  <w:r>
                    <w:rPr>
                      <w:rFonts w:hint="eastAsia"/>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NH</w:t>
                  </w:r>
                  <w:r>
                    <w:rPr>
                      <w:szCs w:val="21"/>
                      <w:vertAlign w:val="subscript"/>
                    </w:rPr>
                    <w:t>3</w:t>
                  </w:r>
                  <w:r>
                    <w:rPr>
                      <w:szCs w:val="21"/>
                    </w:rPr>
                    <w:t>-N</w:t>
                  </w:r>
                </w:p>
              </w:tc>
              <w:tc>
                <w:tcPr>
                  <w:tcW w:w="1160" w:type="pct"/>
                  <w:vAlign w:val="center"/>
                </w:tcPr>
                <w:p>
                  <w:pPr>
                    <w:spacing w:line="240" w:lineRule="atLeast"/>
                    <w:jc w:val="center"/>
                    <w:rPr>
                      <w:szCs w:val="21"/>
                    </w:rPr>
                  </w:pPr>
                  <w:r>
                    <w:rPr>
                      <w:rFonts w:hint="eastAsia"/>
                      <w:szCs w:val="21"/>
                    </w:rPr>
                    <w:t>30</w:t>
                  </w:r>
                </w:p>
              </w:tc>
              <w:tc>
                <w:tcPr>
                  <w:tcW w:w="1382" w:type="dxa"/>
                  <w:vAlign w:val="center"/>
                </w:tcPr>
                <w:p>
                  <w:pPr>
                    <w:widowControl/>
                    <w:jc w:val="center"/>
                    <w:textAlignment w:val="center"/>
                    <w:rPr>
                      <w:szCs w:val="21"/>
                    </w:rPr>
                  </w:pPr>
                  <w:r>
                    <w:rPr>
                      <w:kern w:val="0"/>
                      <w:szCs w:val="21"/>
                      <w:lang w:bidi="ar"/>
                    </w:rPr>
                    <w:t>0.16</w:t>
                  </w:r>
                  <w:r>
                    <w:rPr>
                      <w:rFonts w:hint="eastAsia"/>
                      <w:kern w:val="0"/>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阴离子表面活性剂</w:t>
                  </w:r>
                </w:p>
              </w:tc>
              <w:tc>
                <w:tcPr>
                  <w:tcW w:w="1160" w:type="pct"/>
                  <w:vAlign w:val="center"/>
                </w:tcPr>
                <w:p>
                  <w:pPr>
                    <w:spacing w:line="240" w:lineRule="atLeast"/>
                    <w:jc w:val="center"/>
                    <w:rPr>
                      <w:szCs w:val="21"/>
                    </w:rPr>
                  </w:pPr>
                  <w:r>
                    <w:rPr>
                      <w:rFonts w:hint="eastAsia"/>
                      <w:szCs w:val="21"/>
                    </w:rPr>
                    <w:t>5</w:t>
                  </w:r>
                </w:p>
              </w:tc>
              <w:tc>
                <w:tcPr>
                  <w:tcW w:w="1382" w:type="dxa"/>
                  <w:vAlign w:val="center"/>
                </w:tcPr>
                <w:p>
                  <w:pPr>
                    <w:widowControl/>
                    <w:jc w:val="center"/>
                    <w:textAlignment w:val="center"/>
                    <w:rPr>
                      <w:szCs w:val="21"/>
                    </w:rPr>
                  </w:pPr>
                  <w:r>
                    <w:rPr>
                      <w:kern w:val="0"/>
                      <w:szCs w:val="21"/>
                      <w:lang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粪大肠菌群数</w:t>
                  </w:r>
                </w:p>
              </w:tc>
              <w:tc>
                <w:tcPr>
                  <w:tcW w:w="1976" w:type="pct"/>
                  <w:gridSpan w:val="2"/>
                  <w:vAlign w:val="center"/>
                </w:tcPr>
                <w:p>
                  <w:pPr>
                    <w:spacing w:line="240" w:lineRule="atLeast"/>
                    <w:jc w:val="center"/>
                    <w:rPr>
                      <w:szCs w:val="21"/>
                    </w:rPr>
                  </w:pPr>
                  <w:r>
                    <w:rPr>
                      <w:rFonts w:hint="eastAsia"/>
                      <w:szCs w:val="21"/>
                    </w:rPr>
                    <w:t>6.4</w:t>
                  </w:r>
                  <w:r>
                    <w:rPr>
                      <w:szCs w:val="21"/>
                    </w:rPr>
                    <w:t>×1</w:t>
                  </w:r>
                  <w:r>
                    <w:rPr>
                      <w:rFonts w:hint="eastAsia"/>
                      <w:szCs w:val="21"/>
                    </w:rPr>
                    <w:t>0</w:t>
                  </w:r>
                  <w:r>
                    <w:rPr>
                      <w:rFonts w:hint="eastAsia"/>
                      <w:szCs w:val="21"/>
                      <w:vertAlign w:val="superscript"/>
                    </w:rPr>
                    <w:t>5</w:t>
                  </w:r>
                  <w:r>
                    <w:rPr>
                      <w:rFonts w:hint="eastAsia"/>
                      <w:szCs w:val="21"/>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restart"/>
                  <w:vAlign w:val="center"/>
                </w:tcPr>
                <w:p>
                  <w:pPr>
                    <w:spacing w:line="240" w:lineRule="atLeast"/>
                    <w:jc w:val="center"/>
                    <w:rPr>
                      <w:szCs w:val="21"/>
                    </w:rPr>
                  </w:pPr>
                  <w:r>
                    <w:rPr>
                      <w:rFonts w:hint="eastAsia"/>
                      <w:szCs w:val="21"/>
                    </w:rPr>
                    <w:t>生活污水</w:t>
                  </w:r>
                </w:p>
              </w:tc>
              <w:tc>
                <w:tcPr>
                  <w:tcW w:w="746" w:type="pct"/>
                  <w:vMerge w:val="restart"/>
                  <w:vAlign w:val="center"/>
                </w:tcPr>
                <w:p>
                  <w:pPr>
                    <w:spacing w:line="240" w:lineRule="atLeast"/>
                    <w:jc w:val="center"/>
                    <w:rPr>
                      <w:szCs w:val="21"/>
                    </w:rPr>
                  </w:pPr>
                  <w:r>
                    <w:rPr>
                      <w:rFonts w:hint="eastAsia"/>
                      <w:szCs w:val="21"/>
                    </w:rPr>
                    <w:t>8322</w:t>
                  </w:r>
                </w:p>
              </w:tc>
              <w:tc>
                <w:tcPr>
                  <w:tcW w:w="1283" w:type="pct"/>
                  <w:vAlign w:val="center"/>
                </w:tcPr>
                <w:p>
                  <w:pPr>
                    <w:spacing w:line="240" w:lineRule="atLeast"/>
                    <w:jc w:val="center"/>
                    <w:rPr>
                      <w:szCs w:val="21"/>
                    </w:rPr>
                  </w:pPr>
                  <w:r>
                    <w:rPr>
                      <w:rFonts w:hint="eastAsia"/>
                      <w:szCs w:val="21"/>
                    </w:rPr>
                    <w:t>pH</w:t>
                  </w:r>
                </w:p>
              </w:tc>
              <w:tc>
                <w:tcPr>
                  <w:tcW w:w="1160" w:type="pct"/>
                  <w:vAlign w:val="center"/>
                </w:tcPr>
                <w:p>
                  <w:pPr>
                    <w:spacing w:line="240" w:lineRule="atLeast"/>
                    <w:jc w:val="center"/>
                    <w:rPr>
                      <w:szCs w:val="21"/>
                    </w:rPr>
                  </w:pPr>
                  <w:r>
                    <w:rPr>
                      <w:rFonts w:hint="eastAsia"/>
                      <w:szCs w:val="21"/>
                    </w:rPr>
                    <w:t>6-9</w:t>
                  </w:r>
                </w:p>
              </w:tc>
              <w:tc>
                <w:tcPr>
                  <w:tcW w:w="815" w:type="pct"/>
                  <w:vAlign w:val="center"/>
                </w:tcPr>
                <w:p>
                  <w:pPr>
                    <w:spacing w:line="240" w:lineRule="atLeas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COD</w:t>
                  </w:r>
                </w:p>
              </w:tc>
              <w:tc>
                <w:tcPr>
                  <w:tcW w:w="1160" w:type="pct"/>
                  <w:vAlign w:val="center"/>
                </w:tcPr>
                <w:p>
                  <w:pPr>
                    <w:spacing w:line="240" w:lineRule="atLeast"/>
                    <w:jc w:val="center"/>
                    <w:rPr>
                      <w:szCs w:val="21"/>
                    </w:rPr>
                  </w:pPr>
                  <w:r>
                    <w:rPr>
                      <w:rFonts w:hint="eastAsia"/>
                      <w:szCs w:val="21"/>
                    </w:rPr>
                    <w:t>400</w:t>
                  </w:r>
                </w:p>
              </w:tc>
              <w:tc>
                <w:tcPr>
                  <w:tcW w:w="1382" w:type="dxa"/>
                  <w:vAlign w:val="center"/>
                </w:tcPr>
                <w:p>
                  <w:pPr>
                    <w:widowControl/>
                    <w:jc w:val="center"/>
                    <w:textAlignment w:val="center"/>
                    <w:rPr>
                      <w:kern w:val="0"/>
                      <w:szCs w:val="21"/>
                      <w:lang w:bidi="ar"/>
                    </w:rPr>
                  </w:pPr>
                  <w:r>
                    <w:rPr>
                      <w:rFonts w:hint="eastAsia"/>
                      <w:kern w:val="0"/>
                      <w:szCs w:val="21"/>
                      <w:lang w:bidi="ar"/>
                    </w:rPr>
                    <w:t>3.329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BOD</w:t>
                  </w:r>
                  <w:r>
                    <w:rPr>
                      <w:rFonts w:hint="eastAsia"/>
                      <w:szCs w:val="21"/>
                      <w:vertAlign w:val="subscript"/>
                    </w:rPr>
                    <w:t>5</w:t>
                  </w:r>
                </w:p>
              </w:tc>
              <w:tc>
                <w:tcPr>
                  <w:tcW w:w="1160" w:type="pct"/>
                  <w:vAlign w:val="center"/>
                </w:tcPr>
                <w:p>
                  <w:pPr>
                    <w:spacing w:line="240" w:lineRule="atLeast"/>
                    <w:jc w:val="center"/>
                    <w:rPr>
                      <w:szCs w:val="21"/>
                    </w:rPr>
                  </w:pPr>
                  <w:r>
                    <w:rPr>
                      <w:rFonts w:hint="eastAsia"/>
                      <w:szCs w:val="21"/>
                    </w:rPr>
                    <w:t>250</w:t>
                  </w:r>
                </w:p>
              </w:tc>
              <w:tc>
                <w:tcPr>
                  <w:tcW w:w="1382" w:type="dxa"/>
                  <w:vAlign w:val="center"/>
                </w:tcPr>
                <w:p>
                  <w:pPr>
                    <w:widowControl/>
                    <w:jc w:val="center"/>
                    <w:textAlignment w:val="center"/>
                    <w:rPr>
                      <w:kern w:val="0"/>
                      <w:szCs w:val="21"/>
                      <w:lang w:bidi="ar"/>
                    </w:rPr>
                  </w:pPr>
                  <w:r>
                    <w:rPr>
                      <w:rFonts w:hint="eastAsia"/>
                      <w:kern w:val="0"/>
                      <w:szCs w:val="21"/>
                      <w:lang w:bidi="ar"/>
                    </w:rPr>
                    <w:t>2.081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SS</w:t>
                  </w:r>
                </w:p>
              </w:tc>
              <w:tc>
                <w:tcPr>
                  <w:tcW w:w="1160" w:type="pct"/>
                  <w:vAlign w:val="center"/>
                </w:tcPr>
                <w:p>
                  <w:pPr>
                    <w:spacing w:line="240" w:lineRule="atLeast"/>
                    <w:jc w:val="center"/>
                    <w:rPr>
                      <w:szCs w:val="21"/>
                    </w:rPr>
                  </w:pPr>
                  <w:r>
                    <w:rPr>
                      <w:rFonts w:hint="eastAsia"/>
                      <w:szCs w:val="21"/>
                    </w:rPr>
                    <w:t>280</w:t>
                  </w:r>
                </w:p>
              </w:tc>
              <w:tc>
                <w:tcPr>
                  <w:tcW w:w="1382" w:type="dxa"/>
                  <w:vAlign w:val="center"/>
                </w:tcPr>
                <w:p>
                  <w:pPr>
                    <w:widowControl/>
                    <w:jc w:val="center"/>
                    <w:textAlignment w:val="center"/>
                    <w:rPr>
                      <w:kern w:val="0"/>
                      <w:szCs w:val="21"/>
                      <w:lang w:bidi="ar"/>
                    </w:rPr>
                  </w:pPr>
                  <w:r>
                    <w:rPr>
                      <w:rFonts w:hint="eastAsia"/>
                      <w:kern w:val="0"/>
                      <w:szCs w:val="21"/>
                      <w:lang w:bidi="ar"/>
                    </w:rPr>
                    <w:t>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NH</w:t>
                  </w:r>
                  <w:r>
                    <w:rPr>
                      <w:szCs w:val="21"/>
                      <w:vertAlign w:val="subscript"/>
                    </w:rPr>
                    <w:t>3</w:t>
                  </w:r>
                  <w:r>
                    <w:rPr>
                      <w:szCs w:val="21"/>
                    </w:rPr>
                    <w:t>-N</w:t>
                  </w:r>
                </w:p>
              </w:tc>
              <w:tc>
                <w:tcPr>
                  <w:tcW w:w="1160" w:type="pct"/>
                  <w:vAlign w:val="center"/>
                </w:tcPr>
                <w:p>
                  <w:pPr>
                    <w:spacing w:line="240" w:lineRule="atLeast"/>
                    <w:jc w:val="center"/>
                    <w:rPr>
                      <w:szCs w:val="21"/>
                    </w:rPr>
                  </w:pPr>
                  <w:r>
                    <w:rPr>
                      <w:rFonts w:hint="eastAsia"/>
                      <w:szCs w:val="21"/>
                    </w:rPr>
                    <w:t>30</w:t>
                  </w:r>
                </w:p>
              </w:tc>
              <w:tc>
                <w:tcPr>
                  <w:tcW w:w="1382" w:type="dxa"/>
                  <w:vAlign w:val="center"/>
                </w:tcPr>
                <w:p>
                  <w:pPr>
                    <w:widowControl/>
                    <w:jc w:val="center"/>
                    <w:textAlignment w:val="center"/>
                    <w:rPr>
                      <w:kern w:val="0"/>
                      <w:szCs w:val="21"/>
                      <w:lang w:bidi="ar"/>
                    </w:rPr>
                  </w:pPr>
                  <w:r>
                    <w:rPr>
                      <w:rFonts w:hint="eastAsia"/>
                      <w:kern w:val="0"/>
                      <w:szCs w:val="21"/>
                      <w:lang w:bidi="ar"/>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粪大肠菌群数</w:t>
                  </w:r>
                </w:p>
              </w:tc>
              <w:tc>
                <w:tcPr>
                  <w:tcW w:w="1976" w:type="pct"/>
                  <w:gridSpan w:val="2"/>
                  <w:vAlign w:val="center"/>
                </w:tcPr>
                <w:p>
                  <w:pPr>
                    <w:spacing w:line="240" w:lineRule="atLeast"/>
                    <w:jc w:val="center"/>
                    <w:rPr>
                      <w:szCs w:val="21"/>
                    </w:rPr>
                  </w:pPr>
                  <w:r>
                    <w:rPr>
                      <w:rFonts w:hint="eastAsia"/>
                      <w:szCs w:val="21"/>
                    </w:rPr>
                    <w:t>6.4</w:t>
                  </w:r>
                  <w:r>
                    <w:rPr>
                      <w:szCs w:val="21"/>
                    </w:rPr>
                    <w:t>×1</w:t>
                  </w:r>
                  <w:r>
                    <w:rPr>
                      <w:rFonts w:hint="eastAsia"/>
                      <w:szCs w:val="21"/>
                    </w:rPr>
                    <w:t>0</w:t>
                  </w:r>
                  <w:r>
                    <w:rPr>
                      <w:rFonts w:hint="eastAsia"/>
                      <w:szCs w:val="21"/>
                      <w:vertAlign w:val="superscript"/>
                    </w:rPr>
                    <w:t>5</w:t>
                  </w:r>
                  <w:r>
                    <w:rPr>
                      <w:rFonts w:hint="eastAsia"/>
                      <w:szCs w:val="21"/>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restart"/>
                  <w:vAlign w:val="center"/>
                </w:tcPr>
                <w:p>
                  <w:pPr>
                    <w:spacing w:line="240" w:lineRule="atLeast"/>
                    <w:jc w:val="center"/>
                    <w:rPr>
                      <w:szCs w:val="21"/>
                    </w:rPr>
                  </w:pPr>
                  <w:r>
                    <w:rPr>
                      <w:rFonts w:hint="eastAsia"/>
                      <w:szCs w:val="21"/>
                    </w:rPr>
                    <w:t>混合废水</w:t>
                  </w:r>
                </w:p>
              </w:tc>
              <w:tc>
                <w:tcPr>
                  <w:tcW w:w="746" w:type="pct"/>
                  <w:vMerge w:val="restart"/>
                  <w:vAlign w:val="center"/>
                </w:tcPr>
                <w:p>
                  <w:pPr>
                    <w:spacing w:line="240" w:lineRule="atLeast"/>
                    <w:jc w:val="center"/>
                    <w:rPr>
                      <w:szCs w:val="21"/>
                    </w:rPr>
                  </w:pPr>
                  <w:r>
                    <w:rPr>
                      <w:rFonts w:hint="eastAsia"/>
                      <w:szCs w:val="21"/>
                    </w:rPr>
                    <w:t>13943</w:t>
                  </w:r>
                </w:p>
              </w:tc>
              <w:tc>
                <w:tcPr>
                  <w:tcW w:w="1283" w:type="pct"/>
                  <w:vAlign w:val="center"/>
                </w:tcPr>
                <w:p>
                  <w:pPr>
                    <w:spacing w:line="240" w:lineRule="atLeast"/>
                    <w:jc w:val="center"/>
                    <w:rPr>
                      <w:szCs w:val="21"/>
                    </w:rPr>
                  </w:pPr>
                  <w:r>
                    <w:rPr>
                      <w:rFonts w:hint="eastAsia"/>
                      <w:szCs w:val="21"/>
                    </w:rPr>
                    <w:t>pH</w:t>
                  </w:r>
                </w:p>
              </w:tc>
              <w:tc>
                <w:tcPr>
                  <w:tcW w:w="1160" w:type="pct"/>
                  <w:vAlign w:val="center"/>
                </w:tcPr>
                <w:p>
                  <w:pPr>
                    <w:spacing w:line="240" w:lineRule="atLeast"/>
                    <w:jc w:val="center"/>
                    <w:rPr>
                      <w:szCs w:val="21"/>
                    </w:rPr>
                  </w:pPr>
                  <w:r>
                    <w:rPr>
                      <w:rFonts w:hint="eastAsia"/>
                      <w:szCs w:val="21"/>
                    </w:rPr>
                    <w:t>6-9</w:t>
                  </w:r>
                </w:p>
              </w:tc>
              <w:tc>
                <w:tcPr>
                  <w:tcW w:w="815" w:type="pct"/>
                  <w:vAlign w:val="center"/>
                </w:tcPr>
                <w:p>
                  <w:pPr>
                    <w:spacing w:line="240" w:lineRule="atLeas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COD</w:t>
                  </w:r>
                </w:p>
              </w:tc>
              <w:tc>
                <w:tcPr>
                  <w:tcW w:w="1160" w:type="pct"/>
                  <w:vAlign w:val="center"/>
                </w:tcPr>
                <w:p>
                  <w:pPr>
                    <w:spacing w:line="240" w:lineRule="atLeast"/>
                    <w:jc w:val="center"/>
                    <w:rPr>
                      <w:szCs w:val="21"/>
                    </w:rPr>
                  </w:pPr>
                  <w:r>
                    <w:rPr>
                      <w:rFonts w:hint="eastAsia"/>
                      <w:szCs w:val="21"/>
                    </w:rPr>
                    <w:t>400</w:t>
                  </w:r>
                </w:p>
              </w:tc>
              <w:tc>
                <w:tcPr>
                  <w:tcW w:w="1382" w:type="dxa"/>
                  <w:vAlign w:val="center"/>
                </w:tcPr>
                <w:p>
                  <w:pPr>
                    <w:widowControl/>
                    <w:jc w:val="center"/>
                    <w:textAlignment w:val="center"/>
                    <w:rPr>
                      <w:kern w:val="0"/>
                      <w:szCs w:val="21"/>
                      <w:lang w:bidi="ar"/>
                    </w:rPr>
                  </w:pPr>
                  <w:r>
                    <w:rPr>
                      <w:rFonts w:hint="eastAsia"/>
                      <w:kern w:val="0"/>
                      <w:szCs w:val="21"/>
                      <w:lang w:bidi="ar"/>
                    </w:rPr>
                    <w:t>5.577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BOD</w:t>
                  </w:r>
                  <w:r>
                    <w:rPr>
                      <w:rFonts w:hint="eastAsia"/>
                      <w:szCs w:val="21"/>
                      <w:vertAlign w:val="subscript"/>
                    </w:rPr>
                    <w:t>5</w:t>
                  </w:r>
                </w:p>
              </w:tc>
              <w:tc>
                <w:tcPr>
                  <w:tcW w:w="1160" w:type="pct"/>
                  <w:vAlign w:val="center"/>
                </w:tcPr>
                <w:p>
                  <w:pPr>
                    <w:spacing w:line="240" w:lineRule="atLeast"/>
                    <w:jc w:val="center"/>
                    <w:rPr>
                      <w:szCs w:val="21"/>
                    </w:rPr>
                  </w:pPr>
                  <w:r>
                    <w:rPr>
                      <w:rFonts w:hint="eastAsia"/>
                      <w:szCs w:val="21"/>
                    </w:rPr>
                    <w:t>250</w:t>
                  </w:r>
                </w:p>
              </w:tc>
              <w:tc>
                <w:tcPr>
                  <w:tcW w:w="1382" w:type="dxa"/>
                  <w:vAlign w:val="center"/>
                </w:tcPr>
                <w:p>
                  <w:pPr>
                    <w:widowControl/>
                    <w:jc w:val="center"/>
                    <w:textAlignment w:val="center"/>
                    <w:rPr>
                      <w:kern w:val="0"/>
                      <w:szCs w:val="21"/>
                      <w:lang w:bidi="ar"/>
                    </w:rPr>
                  </w:pPr>
                  <w:r>
                    <w:rPr>
                      <w:rFonts w:hint="eastAsia"/>
                      <w:kern w:val="0"/>
                      <w:szCs w:val="21"/>
                      <w:lang w:bidi="ar"/>
                    </w:rPr>
                    <w:t>3.485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rFonts w:hint="eastAsia"/>
                      <w:szCs w:val="21"/>
                    </w:rPr>
                    <w:t>SS</w:t>
                  </w:r>
                </w:p>
              </w:tc>
              <w:tc>
                <w:tcPr>
                  <w:tcW w:w="1160" w:type="pct"/>
                  <w:vAlign w:val="center"/>
                </w:tcPr>
                <w:p>
                  <w:pPr>
                    <w:spacing w:line="240" w:lineRule="atLeast"/>
                    <w:jc w:val="center"/>
                    <w:rPr>
                      <w:szCs w:val="21"/>
                    </w:rPr>
                  </w:pPr>
                  <w:r>
                    <w:rPr>
                      <w:rFonts w:hint="eastAsia"/>
                      <w:szCs w:val="21"/>
                    </w:rPr>
                    <w:t>280</w:t>
                  </w:r>
                </w:p>
              </w:tc>
              <w:tc>
                <w:tcPr>
                  <w:tcW w:w="1382" w:type="dxa"/>
                  <w:vAlign w:val="center"/>
                </w:tcPr>
                <w:p>
                  <w:pPr>
                    <w:widowControl/>
                    <w:jc w:val="center"/>
                    <w:textAlignment w:val="center"/>
                    <w:rPr>
                      <w:kern w:val="0"/>
                      <w:szCs w:val="21"/>
                      <w:lang w:bidi="ar"/>
                    </w:rPr>
                  </w:pPr>
                  <w:r>
                    <w:rPr>
                      <w:rFonts w:hint="eastAsia"/>
                      <w:kern w:val="0"/>
                      <w:szCs w:val="21"/>
                      <w:lang w:bidi="ar"/>
                    </w:rPr>
                    <w:t>3.904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NH</w:t>
                  </w:r>
                  <w:r>
                    <w:rPr>
                      <w:szCs w:val="21"/>
                      <w:vertAlign w:val="subscript"/>
                    </w:rPr>
                    <w:t>3</w:t>
                  </w:r>
                  <w:r>
                    <w:rPr>
                      <w:szCs w:val="21"/>
                    </w:rPr>
                    <w:t>-N</w:t>
                  </w:r>
                </w:p>
              </w:tc>
              <w:tc>
                <w:tcPr>
                  <w:tcW w:w="1160" w:type="pct"/>
                  <w:vAlign w:val="center"/>
                </w:tcPr>
                <w:p>
                  <w:pPr>
                    <w:spacing w:line="240" w:lineRule="atLeast"/>
                    <w:jc w:val="center"/>
                    <w:rPr>
                      <w:szCs w:val="21"/>
                    </w:rPr>
                  </w:pPr>
                  <w:r>
                    <w:rPr>
                      <w:rFonts w:hint="eastAsia"/>
                      <w:szCs w:val="21"/>
                    </w:rPr>
                    <w:t>30</w:t>
                  </w:r>
                </w:p>
              </w:tc>
              <w:tc>
                <w:tcPr>
                  <w:tcW w:w="1382" w:type="dxa"/>
                  <w:vAlign w:val="center"/>
                </w:tcPr>
                <w:p>
                  <w:pPr>
                    <w:widowControl/>
                    <w:jc w:val="center"/>
                    <w:textAlignment w:val="center"/>
                    <w:rPr>
                      <w:kern w:val="0"/>
                      <w:szCs w:val="21"/>
                      <w:lang w:bidi="ar"/>
                    </w:rPr>
                  </w:pPr>
                  <w:r>
                    <w:rPr>
                      <w:rFonts w:hint="eastAsia"/>
                      <w:kern w:val="0"/>
                      <w:szCs w:val="21"/>
                      <w:lang w:bidi="ar"/>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阴离子表面活性剂</w:t>
                  </w:r>
                </w:p>
              </w:tc>
              <w:tc>
                <w:tcPr>
                  <w:tcW w:w="1160" w:type="pct"/>
                  <w:vAlign w:val="center"/>
                </w:tcPr>
                <w:p>
                  <w:pPr>
                    <w:spacing w:line="240" w:lineRule="atLeast"/>
                    <w:jc w:val="center"/>
                    <w:rPr>
                      <w:szCs w:val="21"/>
                    </w:rPr>
                  </w:pPr>
                  <w:r>
                    <w:rPr>
                      <w:rFonts w:hint="eastAsia"/>
                      <w:bCs/>
                      <w:szCs w:val="21"/>
                    </w:rPr>
                    <w:t>2.02</w:t>
                  </w:r>
                </w:p>
              </w:tc>
              <w:tc>
                <w:tcPr>
                  <w:tcW w:w="815" w:type="pct"/>
                  <w:vAlign w:val="center"/>
                </w:tcPr>
                <w:p>
                  <w:pPr>
                    <w:spacing w:line="240" w:lineRule="atLeast"/>
                    <w:jc w:val="center"/>
                    <w:rPr>
                      <w:szCs w:val="21"/>
                    </w:rPr>
                  </w:pPr>
                  <w:r>
                    <w:rPr>
                      <w:szCs w:val="21"/>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vMerge w:val="continue"/>
                  <w:vAlign w:val="center"/>
                </w:tcPr>
                <w:p>
                  <w:pPr>
                    <w:spacing w:line="240" w:lineRule="atLeast"/>
                    <w:jc w:val="center"/>
                    <w:rPr>
                      <w:szCs w:val="21"/>
                    </w:rPr>
                  </w:pPr>
                </w:p>
              </w:tc>
              <w:tc>
                <w:tcPr>
                  <w:tcW w:w="746" w:type="pct"/>
                  <w:vMerge w:val="continue"/>
                  <w:vAlign w:val="center"/>
                </w:tcPr>
                <w:p>
                  <w:pPr>
                    <w:spacing w:line="240" w:lineRule="atLeast"/>
                    <w:jc w:val="center"/>
                    <w:rPr>
                      <w:szCs w:val="21"/>
                    </w:rPr>
                  </w:pPr>
                </w:p>
              </w:tc>
              <w:tc>
                <w:tcPr>
                  <w:tcW w:w="1283" w:type="pct"/>
                  <w:vAlign w:val="center"/>
                </w:tcPr>
                <w:p>
                  <w:pPr>
                    <w:spacing w:line="240" w:lineRule="atLeast"/>
                    <w:jc w:val="center"/>
                    <w:rPr>
                      <w:szCs w:val="21"/>
                    </w:rPr>
                  </w:pPr>
                  <w:r>
                    <w:rPr>
                      <w:szCs w:val="21"/>
                    </w:rPr>
                    <w:t>粪大肠菌群数</w:t>
                  </w:r>
                </w:p>
              </w:tc>
              <w:tc>
                <w:tcPr>
                  <w:tcW w:w="1976" w:type="pct"/>
                  <w:gridSpan w:val="2"/>
                  <w:vAlign w:val="center"/>
                </w:tcPr>
                <w:p>
                  <w:pPr>
                    <w:spacing w:line="240" w:lineRule="atLeast"/>
                    <w:jc w:val="center"/>
                    <w:rPr>
                      <w:szCs w:val="21"/>
                    </w:rPr>
                  </w:pPr>
                  <w:r>
                    <w:rPr>
                      <w:rFonts w:hint="eastAsia"/>
                      <w:szCs w:val="21"/>
                    </w:rPr>
                    <w:t>6.4</w:t>
                  </w:r>
                  <w:r>
                    <w:rPr>
                      <w:szCs w:val="21"/>
                    </w:rPr>
                    <w:t>×1</w:t>
                  </w:r>
                  <w:r>
                    <w:rPr>
                      <w:rFonts w:hint="eastAsia"/>
                      <w:szCs w:val="21"/>
                    </w:rPr>
                    <w:t>0</w:t>
                  </w:r>
                  <w:r>
                    <w:rPr>
                      <w:rFonts w:hint="eastAsia"/>
                      <w:szCs w:val="21"/>
                      <w:vertAlign w:val="superscript"/>
                    </w:rPr>
                    <w:t>5</w:t>
                  </w:r>
                  <w:r>
                    <w:rPr>
                      <w:rFonts w:hint="eastAsia"/>
                      <w:szCs w:val="21"/>
                    </w:rPr>
                    <w:t>MPN/L</w:t>
                  </w:r>
                </w:p>
              </w:tc>
            </w:tr>
          </w:tbl>
          <w:p>
            <w:pPr>
              <w:adjustRightInd w:val="0"/>
              <w:spacing w:line="360" w:lineRule="auto"/>
              <w:ind w:firstLine="480" w:firstLineChars="200"/>
              <w:rPr>
                <w:sz w:val="24"/>
              </w:rPr>
            </w:pPr>
            <w:r>
              <w:rPr>
                <w:rFonts w:hint="eastAsia"/>
                <w:sz w:val="24"/>
              </w:rPr>
              <w:t>定点医院项目污水属于传染病医院污水，根据《医院污水处理工程技术规范（HJ2029-2013）》，传染病医院污水应在预消毒后采用二级处理+消毒工艺或二级处理+深度处理+消毒工艺，项目</w:t>
            </w:r>
            <w:r>
              <w:rPr>
                <w:rStyle w:val="23"/>
                <w:rFonts w:hint="eastAsia"/>
                <w:kern w:val="0"/>
                <w:sz w:val="24"/>
              </w:rPr>
              <w:t>污</w:t>
            </w:r>
            <w:r>
              <w:rPr>
                <w:rFonts w:hint="eastAsia"/>
                <w:sz w:val="24"/>
              </w:rPr>
              <w:t>水全部依托东侧方舱医院污水处理站进行，定点医院污水排水管连通方舱医院污水排水管，依靠重力自流排入隔壁方舱医院的污水管网，再和方舱医院污水一起流入方舱医院污水处理站。方舱医院污水处理工艺采用化粪池+消毒+调节池+厌氧池+好氧池+沉淀池+清水消毒池”处理工艺，处理规模为200m</w:t>
            </w:r>
            <w:r>
              <w:rPr>
                <w:rFonts w:hint="eastAsia"/>
                <w:sz w:val="24"/>
                <w:vertAlign w:val="superscript"/>
              </w:rPr>
              <w:t>3</w:t>
            </w:r>
            <w:r>
              <w:rPr>
                <w:rFonts w:hint="eastAsia"/>
                <w:sz w:val="24"/>
              </w:rPr>
              <w:t>/d。方舱医院污水处理站中化粪池和消毒池起到预消毒的作用，厌氧池和好氧池满足二级处理的要求，清水消毒池满足要有消毒工艺的要求，综上所述，定点医院项目污水处理满足《医院污水处理工程技术规范（HJ2029-2013）》中对于传染病医院污水处理的相关要求。</w:t>
            </w:r>
          </w:p>
          <w:p>
            <w:pPr>
              <w:adjustRightInd w:val="0"/>
              <w:spacing w:line="360" w:lineRule="auto"/>
              <w:ind w:firstLine="480" w:firstLineChars="200"/>
              <w:rPr>
                <w:szCs w:val="21"/>
              </w:rPr>
            </w:pPr>
            <w:r>
              <w:rPr>
                <w:rFonts w:hint="eastAsia"/>
                <w:sz w:val="24"/>
              </w:rPr>
              <w:t>本项目污水排入方舱医院污水处理站的污水量和经方舱医院污水处理站处理后排入市政管网的污水量均为13943m</w:t>
            </w:r>
            <w:r>
              <w:rPr>
                <w:rFonts w:hint="eastAsia"/>
                <w:sz w:val="24"/>
                <w:vertAlign w:val="superscript"/>
              </w:rPr>
              <w:t>3</w:t>
            </w:r>
            <w:r>
              <w:rPr>
                <w:rFonts w:hint="eastAsia"/>
                <w:sz w:val="24"/>
              </w:rPr>
              <w:t>/a，污水排入方舱医院污水处理站和经方舱医院污水处理站处理后排入市政管网的污染物排放情况见下表。</w:t>
            </w:r>
          </w:p>
          <w:p>
            <w:pPr>
              <w:numPr>
                <w:ilvl w:val="0"/>
                <w:numId w:val="9"/>
              </w:numPr>
              <w:adjustRightInd w:val="0"/>
              <w:spacing w:before="120" w:beforeLines="50" w:after="120" w:afterLines="50"/>
              <w:ind w:left="0" w:firstLine="0"/>
              <w:jc w:val="center"/>
              <w:rPr>
                <w:b/>
                <w:bCs/>
                <w:szCs w:val="21"/>
              </w:rPr>
            </w:pPr>
            <w:r>
              <w:rPr>
                <w:b/>
                <w:bCs/>
                <w:szCs w:val="21"/>
              </w:rPr>
              <w:t>项目废水污染物产生排放情况一览表</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055"/>
              <w:gridCol w:w="1527"/>
              <w:gridCol w:w="1103"/>
              <w:gridCol w:w="904"/>
              <w:gridCol w:w="923"/>
              <w:gridCol w:w="1186"/>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restart"/>
                  <w:vAlign w:val="center"/>
                </w:tcPr>
                <w:p>
                  <w:pPr>
                    <w:adjustRightInd w:val="0"/>
                    <w:snapToGrid w:val="0"/>
                    <w:jc w:val="center"/>
                    <w:rPr>
                      <w:b/>
                      <w:szCs w:val="21"/>
                    </w:rPr>
                  </w:pPr>
                  <w:r>
                    <w:rPr>
                      <w:rFonts w:hint="eastAsia"/>
                      <w:b/>
                      <w:szCs w:val="21"/>
                    </w:rPr>
                    <w:t>类别</w:t>
                  </w:r>
                </w:p>
              </w:tc>
              <w:tc>
                <w:tcPr>
                  <w:tcW w:w="622" w:type="pct"/>
                  <w:vMerge w:val="restart"/>
                  <w:vAlign w:val="center"/>
                </w:tcPr>
                <w:p>
                  <w:pPr>
                    <w:adjustRightInd w:val="0"/>
                    <w:snapToGrid w:val="0"/>
                    <w:jc w:val="center"/>
                    <w:rPr>
                      <w:b/>
                      <w:szCs w:val="21"/>
                    </w:rPr>
                  </w:pPr>
                  <w:r>
                    <w:rPr>
                      <w:rFonts w:hint="eastAsia"/>
                      <w:b/>
                      <w:szCs w:val="21"/>
                    </w:rPr>
                    <w:t>水量（m</w:t>
                  </w:r>
                  <w:r>
                    <w:rPr>
                      <w:rFonts w:hint="eastAsia"/>
                      <w:b/>
                      <w:szCs w:val="21"/>
                      <w:vertAlign w:val="superscript"/>
                    </w:rPr>
                    <w:t>3</w:t>
                  </w:r>
                  <w:r>
                    <w:rPr>
                      <w:rFonts w:hint="eastAsia"/>
                      <w:b/>
                      <w:szCs w:val="21"/>
                    </w:rPr>
                    <w:t>/a）</w:t>
                  </w:r>
                </w:p>
              </w:tc>
              <w:tc>
                <w:tcPr>
                  <w:tcW w:w="900" w:type="pct"/>
                  <w:vMerge w:val="restart"/>
                  <w:vAlign w:val="center"/>
                </w:tcPr>
                <w:p>
                  <w:pPr>
                    <w:adjustRightInd w:val="0"/>
                    <w:snapToGrid w:val="0"/>
                    <w:jc w:val="center"/>
                    <w:rPr>
                      <w:b/>
                      <w:szCs w:val="21"/>
                    </w:rPr>
                  </w:pPr>
                  <w:r>
                    <w:rPr>
                      <w:b/>
                      <w:szCs w:val="21"/>
                    </w:rPr>
                    <w:t>污染物</w:t>
                  </w:r>
                </w:p>
              </w:tc>
              <w:tc>
                <w:tcPr>
                  <w:tcW w:w="1185" w:type="pct"/>
                  <w:gridSpan w:val="2"/>
                  <w:tcBorders>
                    <w:bottom w:val="single" w:color="000000" w:sz="6" w:space="0"/>
                  </w:tcBorders>
                  <w:vAlign w:val="center"/>
                </w:tcPr>
                <w:p>
                  <w:pPr>
                    <w:adjustRightInd w:val="0"/>
                    <w:snapToGrid w:val="0"/>
                    <w:jc w:val="center"/>
                    <w:rPr>
                      <w:b/>
                      <w:szCs w:val="21"/>
                    </w:rPr>
                  </w:pPr>
                  <w:r>
                    <w:rPr>
                      <w:b/>
                      <w:szCs w:val="21"/>
                    </w:rPr>
                    <w:t>产生情况</w:t>
                  </w:r>
                </w:p>
              </w:tc>
              <w:tc>
                <w:tcPr>
                  <w:tcW w:w="545" w:type="pct"/>
                  <w:vMerge w:val="restart"/>
                  <w:tcBorders>
                    <w:right w:val="single" w:color="000000" w:sz="6" w:space="0"/>
                  </w:tcBorders>
                  <w:vAlign w:val="center"/>
                </w:tcPr>
                <w:p>
                  <w:pPr>
                    <w:adjustRightInd w:val="0"/>
                    <w:snapToGrid w:val="0"/>
                    <w:jc w:val="center"/>
                    <w:rPr>
                      <w:b/>
                      <w:szCs w:val="21"/>
                    </w:rPr>
                  </w:pPr>
                  <w:r>
                    <w:rPr>
                      <w:b/>
                      <w:szCs w:val="21"/>
                    </w:rPr>
                    <w:t>去除效率（%）</w:t>
                  </w:r>
                </w:p>
              </w:tc>
              <w:tc>
                <w:tcPr>
                  <w:tcW w:w="1396" w:type="pct"/>
                  <w:gridSpan w:val="2"/>
                  <w:tcBorders>
                    <w:left w:val="single" w:color="000000" w:sz="6" w:space="0"/>
                    <w:bottom w:val="single" w:color="000000" w:sz="6" w:space="0"/>
                  </w:tcBorders>
                  <w:vAlign w:val="center"/>
                </w:tcPr>
                <w:p>
                  <w:pPr>
                    <w:adjustRightInd w:val="0"/>
                    <w:snapToGrid w:val="0"/>
                    <w:jc w:val="center"/>
                    <w:rPr>
                      <w:b/>
                      <w:szCs w:val="21"/>
                    </w:rPr>
                  </w:pPr>
                  <w:r>
                    <w:rPr>
                      <w:b/>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vAlign w:val="center"/>
                </w:tcPr>
                <w:p>
                  <w:pPr>
                    <w:adjustRightInd w:val="0"/>
                    <w:snapToGrid w:val="0"/>
                    <w:jc w:val="center"/>
                    <w:rPr>
                      <w:b/>
                      <w:szCs w:val="21"/>
                    </w:rPr>
                  </w:pPr>
                </w:p>
              </w:tc>
              <w:tc>
                <w:tcPr>
                  <w:tcW w:w="622" w:type="pct"/>
                  <w:vMerge w:val="continue"/>
                  <w:vAlign w:val="center"/>
                </w:tcPr>
                <w:p>
                  <w:pPr>
                    <w:adjustRightInd w:val="0"/>
                    <w:snapToGrid w:val="0"/>
                    <w:jc w:val="center"/>
                    <w:rPr>
                      <w:b/>
                      <w:szCs w:val="21"/>
                    </w:rPr>
                  </w:pPr>
                </w:p>
              </w:tc>
              <w:tc>
                <w:tcPr>
                  <w:tcW w:w="900" w:type="pct"/>
                  <w:vMerge w:val="continue"/>
                  <w:vAlign w:val="center"/>
                </w:tcPr>
                <w:p>
                  <w:pPr>
                    <w:adjustRightInd w:val="0"/>
                    <w:snapToGrid w:val="0"/>
                    <w:jc w:val="center"/>
                    <w:rPr>
                      <w:b/>
                      <w:szCs w:val="21"/>
                    </w:rPr>
                  </w:pPr>
                </w:p>
              </w:tc>
              <w:tc>
                <w:tcPr>
                  <w:tcW w:w="651" w:type="pct"/>
                  <w:tcBorders>
                    <w:top w:val="single" w:color="000000" w:sz="6" w:space="0"/>
                    <w:right w:val="single" w:color="000000" w:sz="6" w:space="0"/>
                  </w:tcBorders>
                  <w:vAlign w:val="center"/>
                </w:tcPr>
                <w:p>
                  <w:pPr>
                    <w:adjustRightInd w:val="0"/>
                    <w:snapToGrid w:val="0"/>
                    <w:jc w:val="center"/>
                    <w:rPr>
                      <w:b/>
                      <w:szCs w:val="21"/>
                    </w:rPr>
                  </w:pPr>
                  <w:r>
                    <w:rPr>
                      <w:b/>
                      <w:szCs w:val="21"/>
                    </w:rPr>
                    <w:t>产生浓度（mg/L）</w:t>
                  </w:r>
                </w:p>
              </w:tc>
              <w:tc>
                <w:tcPr>
                  <w:tcW w:w="534" w:type="pct"/>
                  <w:tcBorders>
                    <w:top w:val="single" w:color="000000" w:sz="6" w:space="0"/>
                    <w:left w:val="single" w:color="000000" w:sz="6" w:space="0"/>
                  </w:tcBorders>
                  <w:vAlign w:val="center"/>
                </w:tcPr>
                <w:p>
                  <w:pPr>
                    <w:adjustRightInd w:val="0"/>
                    <w:snapToGrid w:val="0"/>
                    <w:jc w:val="center"/>
                    <w:rPr>
                      <w:b/>
                      <w:szCs w:val="21"/>
                    </w:rPr>
                  </w:pPr>
                  <w:r>
                    <w:rPr>
                      <w:b/>
                      <w:szCs w:val="21"/>
                    </w:rPr>
                    <w:t>产生量（t/a）</w:t>
                  </w:r>
                </w:p>
              </w:tc>
              <w:tc>
                <w:tcPr>
                  <w:tcW w:w="545" w:type="pct"/>
                  <w:vMerge w:val="continue"/>
                  <w:tcBorders>
                    <w:right w:val="single" w:color="000000" w:sz="6" w:space="0"/>
                  </w:tcBorders>
                  <w:vAlign w:val="center"/>
                </w:tcPr>
                <w:p>
                  <w:pPr>
                    <w:adjustRightInd w:val="0"/>
                    <w:snapToGrid w:val="0"/>
                    <w:jc w:val="center"/>
                    <w:rPr>
                      <w:b/>
                      <w:szCs w:val="21"/>
                    </w:rPr>
                  </w:pPr>
                </w:p>
              </w:tc>
              <w:tc>
                <w:tcPr>
                  <w:tcW w:w="700" w:type="pct"/>
                  <w:tcBorders>
                    <w:top w:val="single" w:color="000000" w:sz="6" w:space="0"/>
                    <w:left w:val="single" w:color="000000" w:sz="6" w:space="0"/>
                    <w:right w:val="single" w:color="000000" w:sz="6" w:space="0"/>
                  </w:tcBorders>
                  <w:vAlign w:val="center"/>
                </w:tcPr>
                <w:p>
                  <w:pPr>
                    <w:adjustRightInd w:val="0"/>
                    <w:snapToGrid w:val="0"/>
                    <w:jc w:val="center"/>
                    <w:rPr>
                      <w:b/>
                      <w:szCs w:val="21"/>
                    </w:rPr>
                  </w:pPr>
                  <w:r>
                    <w:rPr>
                      <w:b/>
                      <w:szCs w:val="21"/>
                    </w:rPr>
                    <w:t>排放浓度（mg/L）</w:t>
                  </w:r>
                </w:p>
              </w:tc>
              <w:tc>
                <w:tcPr>
                  <w:tcW w:w="696" w:type="pct"/>
                  <w:tcBorders>
                    <w:top w:val="single" w:color="000000" w:sz="6" w:space="0"/>
                    <w:left w:val="single" w:color="000000" w:sz="6" w:space="0"/>
                  </w:tcBorders>
                  <w:vAlign w:val="center"/>
                </w:tcPr>
                <w:p>
                  <w:pPr>
                    <w:adjustRightInd w:val="0"/>
                    <w:snapToGrid w:val="0"/>
                    <w:jc w:val="center"/>
                    <w:rPr>
                      <w:b/>
                      <w:szCs w:val="21"/>
                    </w:rPr>
                  </w:pPr>
                  <w:r>
                    <w:rPr>
                      <w:b/>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restart"/>
                  <w:tcBorders>
                    <w:top w:val="single" w:color="000000" w:sz="6" w:space="0"/>
                  </w:tcBorders>
                  <w:vAlign w:val="center"/>
                </w:tcPr>
                <w:p>
                  <w:pPr>
                    <w:adjustRightInd w:val="0"/>
                    <w:snapToGrid w:val="0"/>
                    <w:jc w:val="center"/>
                    <w:rPr>
                      <w:bCs/>
                      <w:szCs w:val="21"/>
                    </w:rPr>
                  </w:pPr>
                  <w:r>
                    <w:rPr>
                      <w:rFonts w:hint="eastAsia"/>
                      <w:bCs/>
                      <w:szCs w:val="21"/>
                    </w:rPr>
                    <w:t>废水</w:t>
                  </w:r>
                </w:p>
              </w:tc>
              <w:tc>
                <w:tcPr>
                  <w:tcW w:w="622" w:type="pct"/>
                  <w:vMerge w:val="restart"/>
                  <w:tcBorders>
                    <w:top w:val="single" w:color="000000" w:sz="6" w:space="0"/>
                  </w:tcBorders>
                  <w:vAlign w:val="center"/>
                </w:tcPr>
                <w:p>
                  <w:pPr>
                    <w:adjustRightInd w:val="0"/>
                    <w:snapToGrid w:val="0"/>
                    <w:jc w:val="center"/>
                    <w:rPr>
                      <w:bCs/>
                      <w:szCs w:val="21"/>
                    </w:rPr>
                  </w:pPr>
                  <w:r>
                    <w:rPr>
                      <w:rFonts w:hint="eastAsia"/>
                      <w:szCs w:val="21"/>
                    </w:rPr>
                    <w:t>13943</w:t>
                  </w:r>
                </w:p>
              </w:tc>
              <w:tc>
                <w:tcPr>
                  <w:tcW w:w="900" w:type="pct"/>
                  <w:tcBorders>
                    <w:top w:val="single" w:color="000000" w:sz="6" w:space="0"/>
                  </w:tcBorders>
                  <w:vAlign w:val="center"/>
                </w:tcPr>
                <w:p>
                  <w:pPr>
                    <w:adjustRightInd w:val="0"/>
                    <w:snapToGrid w:val="0"/>
                    <w:jc w:val="center"/>
                    <w:rPr>
                      <w:bCs/>
                      <w:szCs w:val="21"/>
                    </w:rPr>
                  </w:pPr>
                  <w:r>
                    <w:rPr>
                      <w:bCs/>
                      <w:szCs w:val="21"/>
                    </w:rPr>
                    <w:t>pH</w:t>
                  </w:r>
                </w:p>
              </w:tc>
              <w:tc>
                <w:tcPr>
                  <w:tcW w:w="651" w:type="pct"/>
                  <w:tcBorders>
                    <w:right w:val="single" w:color="000000" w:sz="6" w:space="0"/>
                  </w:tcBorders>
                  <w:vAlign w:val="center"/>
                </w:tcPr>
                <w:p>
                  <w:pPr>
                    <w:adjustRightInd w:val="0"/>
                    <w:snapToGrid w:val="0"/>
                    <w:jc w:val="center"/>
                    <w:rPr>
                      <w:bCs/>
                      <w:szCs w:val="21"/>
                    </w:rPr>
                  </w:pPr>
                  <w:r>
                    <w:rPr>
                      <w:bCs/>
                      <w:szCs w:val="21"/>
                    </w:rPr>
                    <w:t>6-9</w:t>
                  </w:r>
                </w:p>
              </w:tc>
              <w:tc>
                <w:tcPr>
                  <w:tcW w:w="534" w:type="pct"/>
                  <w:tcBorders>
                    <w:left w:val="single" w:color="000000" w:sz="6" w:space="0"/>
                  </w:tcBorders>
                  <w:vAlign w:val="center"/>
                </w:tcPr>
                <w:p>
                  <w:pPr>
                    <w:adjustRightInd w:val="0"/>
                    <w:snapToGrid w:val="0"/>
                    <w:jc w:val="center"/>
                    <w:rPr>
                      <w:bCs/>
                      <w:szCs w:val="21"/>
                    </w:rPr>
                  </w:pPr>
                  <w:r>
                    <w:rPr>
                      <w:bCs/>
                      <w:szCs w:val="21"/>
                    </w:rPr>
                    <w:t>/</w:t>
                  </w:r>
                </w:p>
              </w:tc>
              <w:tc>
                <w:tcPr>
                  <w:tcW w:w="545" w:type="pct"/>
                  <w:tcBorders>
                    <w:right w:val="single" w:color="000000" w:sz="6" w:space="0"/>
                  </w:tcBorders>
                  <w:vAlign w:val="center"/>
                </w:tcPr>
                <w:p>
                  <w:pPr>
                    <w:adjustRightInd w:val="0"/>
                    <w:snapToGrid w:val="0"/>
                    <w:jc w:val="center"/>
                    <w:rPr>
                      <w:bCs/>
                      <w:szCs w:val="21"/>
                    </w:rPr>
                  </w:pPr>
                  <w:r>
                    <w:rPr>
                      <w:bCs/>
                      <w:szCs w:val="21"/>
                    </w:rPr>
                    <w:t>/</w:t>
                  </w:r>
                </w:p>
              </w:tc>
              <w:tc>
                <w:tcPr>
                  <w:tcW w:w="700" w:type="pct"/>
                  <w:tcBorders>
                    <w:left w:val="single" w:color="000000" w:sz="6" w:space="0"/>
                    <w:right w:val="single" w:color="000000" w:sz="6" w:space="0"/>
                  </w:tcBorders>
                  <w:vAlign w:val="center"/>
                </w:tcPr>
                <w:p>
                  <w:pPr>
                    <w:adjustRightInd w:val="0"/>
                    <w:snapToGrid w:val="0"/>
                    <w:jc w:val="center"/>
                    <w:rPr>
                      <w:bCs/>
                      <w:szCs w:val="21"/>
                    </w:rPr>
                  </w:pPr>
                  <w:r>
                    <w:rPr>
                      <w:bCs/>
                      <w:szCs w:val="21"/>
                    </w:rPr>
                    <w:t>6-9</w:t>
                  </w:r>
                </w:p>
              </w:tc>
              <w:tc>
                <w:tcPr>
                  <w:tcW w:w="696" w:type="pct"/>
                  <w:tcBorders>
                    <w:left w:val="single" w:color="000000" w:sz="6" w:space="0"/>
                  </w:tcBorders>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continue"/>
                  <w:vAlign w:val="center"/>
                </w:tcPr>
                <w:p>
                  <w:pPr>
                    <w:adjustRightInd w:val="0"/>
                    <w:snapToGrid w:val="0"/>
                    <w:jc w:val="center"/>
                    <w:rPr>
                      <w:bCs/>
                      <w:szCs w:val="21"/>
                    </w:rPr>
                  </w:pPr>
                </w:p>
              </w:tc>
              <w:tc>
                <w:tcPr>
                  <w:tcW w:w="622" w:type="pct"/>
                  <w:vMerge w:val="continue"/>
                  <w:vAlign w:val="center"/>
                </w:tcPr>
                <w:p>
                  <w:pPr>
                    <w:adjustRightInd w:val="0"/>
                    <w:snapToGrid w:val="0"/>
                    <w:jc w:val="center"/>
                    <w:rPr>
                      <w:bCs/>
                      <w:szCs w:val="21"/>
                    </w:rPr>
                  </w:pPr>
                </w:p>
              </w:tc>
              <w:tc>
                <w:tcPr>
                  <w:tcW w:w="900" w:type="pct"/>
                  <w:vAlign w:val="center"/>
                </w:tcPr>
                <w:p>
                  <w:pPr>
                    <w:adjustRightInd w:val="0"/>
                    <w:snapToGrid w:val="0"/>
                    <w:jc w:val="center"/>
                    <w:rPr>
                      <w:bCs/>
                      <w:szCs w:val="21"/>
                    </w:rPr>
                  </w:pPr>
                  <w:r>
                    <w:rPr>
                      <w:szCs w:val="21"/>
                    </w:rPr>
                    <w:t>COD</w:t>
                  </w:r>
                </w:p>
              </w:tc>
              <w:tc>
                <w:tcPr>
                  <w:tcW w:w="651" w:type="pct"/>
                  <w:vAlign w:val="center"/>
                </w:tcPr>
                <w:p>
                  <w:pPr>
                    <w:adjustRightInd w:val="0"/>
                    <w:snapToGrid w:val="0"/>
                    <w:jc w:val="center"/>
                    <w:rPr>
                      <w:bCs/>
                      <w:szCs w:val="21"/>
                    </w:rPr>
                  </w:pPr>
                  <w:r>
                    <w:rPr>
                      <w:bCs/>
                      <w:szCs w:val="21"/>
                    </w:rPr>
                    <w:t>400</w:t>
                  </w:r>
                </w:p>
              </w:tc>
              <w:tc>
                <w:tcPr>
                  <w:tcW w:w="915" w:type="dxa"/>
                  <w:vAlign w:val="center"/>
                </w:tcPr>
                <w:p>
                  <w:pPr>
                    <w:widowControl/>
                    <w:jc w:val="center"/>
                    <w:textAlignment w:val="center"/>
                    <w:rPr>
                      <w:bCs/>
                      <w:color w:val="FF0000"/>
                      <w:szCs w:val="21"/>
                    </w:rPr>
                  </w:pPr>
                  <w:r>
                    <w:rPr>
                      <w:rFonts w:hint="eastAsia"/>
                      <w:kern w:val="0"/>
                      <w:szCs w:val="21"/>
                      <w:lang w:bidi="ar"/>
                    </w:rPr>
                    <w:t>5.577</w:t>
                  </w:r>
                </w:p>
              </w:tc>
              <w:tc>
                <w:tcPr>
                  <w:tcW w:w="545" w:type="pct"/>
                  <w:tcBorders>
                    <w:right w:val="single" w:color="000000" w:sz="6" w:space="0"/>
                  </w:tcBorders>
                  <w:vAlign w:val="center"/>
                </w:tcPr>
                <w:p>
                  <w:pPr>
                    <w:adjustRightInd w:val="0"/>
                    <w:snapToGrid w:val="0"/>
                    <w:jc w:val="center"/>
                    <w:rPr>
                      <w:bCs/>
                      <w:szCs w:val="21"/>
                    </w:rPr>
                  </w:pPr>
                  <w:r>
                    <w:rPr>
                      <w:bCs/>
                      <w:szCs w:val="21"/>
                    </w:rPr>
                    <w:t>85</w:t>
                  </w:r>
                </w:p>
              </w:tc>
              <w:tc>
                <w:tcPr>
                  <w:tcW w:w="700" w:type="pct"/>
                  <w:tcBorders>
                    <w:left w:val="single" w:color="000000" w:sz="6" w:space="0"/>
                  </w:tcBorders>
                  <w:vAlign w:val="center"/>
                </w:tcPr>
                <w:p>
                  <w:pPr>
                    <w:adjustRightInd w:val="0"/>
                    <w:snapToGrid w:val="0"/>
                    <w:jc w:val="center"/>
                    <w:rPr>
                      <w:bCs/>
                      <w:szCs w:val="21"/>
                    </w:rPr>
                  </w:pPr>
                  <w:r>
                    <w:rPr>
                      <w:bCs/>
                      <w:szCs w:val="21"/>
                    </w:rPr>
                    <w:t>60</w:t>
                  </w:r>
                </w:p>
              </w:tc>
              <w:tc>
                <w:tcPr>
                  <w:tcW w:w="1161" w:type="dxa"/>
                  <w:vAlign w:val="center"/>
                </w:tcPr>
                <w:p>
                  <w:pPr>
                    <w:adjustRightInd w:val="0"/>
                    <w:snapToGrid w:val="0"/>
                    <w:jc w:val="center"/>
                    <w:rPr>
                      <w:bCs/>
                      <w:szCs w:val="21"/>
                    </w:rPr>
                  </w:pPr>
                  <w:r>
                    <w:rPr>
                      <w:rFonts w:hint="eastAsia"/>
                      <w:bCs/>
                      <w:szCs w:val="21"/>
                    </w:rPr>
                    <w:t>0.837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continue"/>
                  <w:vAlign w:val="center"/>
                </w:tcPr>
                <w:p>
                  <w:pPr>
                    <w:adjustRightInd w:val="0"/>
                    <w:snapToGrid w:val="0"/>
                    <w:jc w:val="center"/>
                    <w:rPr>
                      <w:bCs/>
                      <w:szCs w:val="21"/>
                    </w:rPr>
                  </w:pPr>
                </w:p>
              </w:tc>
              <w:tc>
                <w:tcPr>
                  <w:tcW w:w="622" w:type="pct"/>
                  <w:vMerge w:val="continue"/>
                  <w:vAlign w:val="center"/>
                </w:tcPr>
                <w:p>
                  <w:pPr>
                    <w:adjustRightInd w:val="0"/>
                    <w:snapToGrid w:val="0"/>
                    <w:jc w:val="center"/>
                    <w:rPr>
                      <w:bCs/>
                      <w:szCs w:val="21"/>
                    </w:rPr>
                  </w:pPr>
                </w:p>
              </w:tc>
              <w:tc>
                <w:tcPr>
                  <w:tcW w:w="900" w:type="pct"/>
                  <w:vAlign w:val="center"/>
                </w:tcPr>
                <w:p>
                  <w:pPr>
                    <w:adjustRightInd w:val="0"/>
                    <w:snapToGrid w:val="0"/>
                    <w:jc w:val="center"/>
                    <w:rPr>
                      <w:bCs/>
                      <w:szCs w:val="21"/>
                    </w:rPr>
                  </w:pPr>
                  <w:r>
                    <w:rPr>
                      <w:szCs w:val="21"/>
                    </w:rPr>
                    <w:t>BOD</w:t>
                  </w:r>
                  <w:r>
                    <w:rPr>
                      <w:szCs w:val="21"/>
                      <w:vertAlign w:val="subscript"/>
                    </w:rPr>
                    <w:t>5</w:t>
                  </w:r>
                </w:p>
              </w:tc>
              <w:tc>
                <w:tcPr>
                  <w:tcW w:w="651" w:type="pct"/>
                  <w:vAlign w:val="center"/>
                </w:tcPr>
                <w:p>
                  <w:pPr>
                    <w:adjustRightInd w:val="0"/>
                    <w:snapToGrid w:val="0"/>
                    <w:jc w:val="center"/>
                    <w:rPr>
                      <w:bCs/>
                      <w:szCs w:val="21"/>
                    </w:rPr>
                  </w:pPr>
                  <w:r>
                    <w:rPr>
                      <w:bCs/>
                      <w:szCs w:val="21"/>
                    </w:rPr>
                    <w:t>250</w:t>
                  </w:r>
                </w:p>
              </w:tc>
              <w:tc>
                <w:tcPr>
                  <w:tcW w:w="915" w:type="dxa"/>
                  <w:vAlign w:val="center"/>
                </w:tcPr>
                <w:p>
                  <w:pPr>
                    <w:widowControl/>
                    <w:jc w:val="center"/>
                    <w:textAlignment w:val="center"/>
                    <w:rPr>
                      <w:bCs/>
                      <w:color w:val="FF0000"/>
                      <w:szCs w:val="21"/>
                    </w:rPr>
                  </w:pPr>
                  <w:r>
                    <w:rPr>
                      <w:rFonts w:hint="eastAsia"/>
                      <w:kern w:val="0"/>
                      <w:szCs w:val="21"/>
                      <w:lang w:bidi="ar"/>
                    </w:rPr>
                    <w:t>3.485</w:t>
                  </w:r>
                </w:p>
              </w:tc>
              <w:tc>
                <w:tcPr>
                  <w:tcW w:w="545" w:type="pct"/>
                  <w:tcBorders>
                    <w:right w:val="single" w:color="000000" w:sz="6" w:space="0"/>
                  </w:tcBorders>
                  <w:vAlign w:val="center"/>
                </w:tcPr>
                <w:p>
                  <w:pPr>
                    <w:adjustRightInd w:val="0"/>
                    <w:snapToGrid w:val="0"/>
                    <w:jc w:val="center"/>
                    <w:rPr>
                      <w:bCs/>
                      <w:szCs w:val="21"/>
                    </w:rPr>
                  </w:pPr>
                  <w:r>
                    <w:rPr>
                      <w:bCs/>
                      <w:szCs w:val="21"/>
                    </w:rPr>
                    <w:t>92</w:t>
                  </w:r>
                </w:p>
              </w:tc>
              <w:tc>
                <w:tcPr>
                  <w:tcW w:w="700" w:type="pct"/>
                  <w:tcBorders>
                    <w:left w:val="single" w:color="000000" w:sz="6" w:space="0"/>
                  </w:tcBorders>
                  <w:vAlign w:val="center"/>
                </w:tcPr>
                <w:p>
                  <w:pPr>
                    <w:adjustRightInd w:val="0"/>
                    <w:snapToGrid w:val="0"/>
                    <w:jc w:val="center"/>
                    <w:rPr>
                      <w:bCs/>
                      <w:szCs w:val="21"/>
                    </w:rPr>
                  </w:pPr>
                  <w:r>
                    <w:rPr>
                      <w:bCs/>
                      <w:szCs w:val="21"/>
                    </w:rPr>
                    <w:t>20</w:t>
                  </w:r>
                </w:p>
              </w:tc>
              <w:tc>
                <w:tcPr>
                  <w:tcW w:w="1161" w:type="dxa"/>
                  <w:vAlign w:val="center"/>
                </w:tcPr>
                <w:p>
                  <w:pPr>
                    <w:adjustRightInd w:val="0"/>
                    <w:snapToGrid w:val="0"/>
                    <w:jc w:val="center"/>
                    <w:rPr>
                      <w:bCs/>
                      <w:szCs w:val="21"/>
                    </w:rPr>
                  </w:pPr>
                  <w:r>
                    <w:rPr>
                      <w:rFonts w:hint="eastAsia"/>
                      <w:bCs/>
                      <w:szCs w:val="21"/>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continue"/>
                  <w:vAlign w:val="center"/>
                </w:tcPr>
                <w:p>
                  <w:pPr>
                    <w:adjustRightInd w:val="0"/>
                    <w:snapToGrid w:val="0"/>
                    <w:jc w:val="center"/>
                    <w:rPr>
                      <w:bCs/>
                      <w:szCs w:val="21"/>
                    </w:rPr>
                  </w:pPr>
                </w:p>
              </w:tc>
              <w:tc>
                <w:tcPr>
                  <w:tcW w:w="622" w:type="pct"/>
                  <w:vMerge w:val="continue"/>
                  <w:vAlign w:val="center"/>
                </w:tcPr>
                <w:p>
                  <w:pPr>
                    <w:adjustRightInd w:val="0"/>
                    <w:snapToGrid w:val="0"/>
                    <w:jc w:val="center"/>
                    <w:rPr>
                      <w:bCs/>
                      <w:szCs w:val="21"/>
                    </w:rPr>
                  </w:pPr>
                </w:p>
              </w:tc>
              <w:tc>
                <w:tcPr>
                  <w:tcW w:w="900" w:type="pct"/>
                  <w:vAlign w:val="center"/>
                </w:tcPr>
                <w:p>
                  <w:pPr>
                    <w:adjustRightInd w:val="0"/>
                    <w:snapToGrid w:val="0"/>
                    <w:jc w:val="center"/>
                    <w:rPr>
                      <w:bCs/>
                      <w:szCs w:val="21"/>
                    </w:rPr>
                  </w:pPr>
                  <w:r>
                    <w:rPr>
                      <w:bCs/>
                      <w:szCs w:val="21"/>
                    </w:rPr>
                    <w:t>SS</w:t>
                  </w:r>
                </w:p>
              </w:tc>
              <w:tc>
                <w:tcPr>
                  <w:tcW w:w="651" w:type="pct"/>
                  <w:vAlign w:val="center"/>
                </w:tcPr>
                <w:p>
                  <w:pPr>
                    <w:adjustRightInd w:val="0"/>
                    <w:snapToGrid w:val="0"/>
                    <w:jc w:val="center"/>
                    <w:rPr>
                      <w:bCs/>
                      <w:szCs w:val="21"/>
                    </w:rPr>
                  </w:pPr>
                  <w:r>
                    <w:rPr>
                      <w:bCs/>
                      <w:szCs w:val="21"/>
                    </w:rPr>
                    <w:t>280</w:t>
                  </w:r>
                </w:p>
              </w:tc>
              <w:tc>
                <w:tcPr>
                  <w:tcW w:w="915" w:type="dxa"/>
                  <w:vAlign w:val="center"/>
                </w:tcPr>
                <w:p>
                  <w:pPr>
                    <w:widowControl/>
                    <w:jc w:val="center"/>
                    <w:textAlignment w:val="center"/>
                    <w:rPr>
                      <w:bCs/>
                      <w:color w:val="FF0000"/>
                      <w:szCs w:val="21"/>
                    </w:rPr>
                  </w:pPr>
                  <w:r>
                    <w:rPr>
                      <w:rFonts w:hint="eastAsia"/>
                      <w:kern w:val="0"/>
                      <w:szCs w:val="21"/>
                      <w:lang w:bidi="ar"/>
                    </w:rPr>
                    <w:t>3.904</w:t>
                  </w:r>
                </w:p>
              </w:tc>
              <w:tc>
                <w:tcPr>
                  <w:tcW w:w="545" w:type="pct"/>
                  <w:tcBorders>
                    <w:right w:val="single" w:color="000000" w:sz="6" w:space="0"/>
                  </w:tcBorders>
                  <w:vAlign w:val="center"/>
                </w:tcPr>
                <w:p>
                  <w:pPr>
                    <w:adjustRightInd w:val="0"/>
                    <w:snapToGrid w:val="0"/>
                    <w:jc w:val="center"/>
                    <w:rPr>
                      <w:bCs/>
                      <w:szCs w:val="21"/>
                    </w:rPr>
                  </w:pPr>
                  <w:r>
                    <w:rPr>
                      <w:bCs/>
                      <w:szCs w:val="21"/>
                    </w:rPr>
                    <w:t>93</w:t>
                  </w:r>
                </w:p>
              </w:tc>
              <w:tc>
                <w:tcPr>
                  <w:tcW w:w="700" w:type="pct"/>
                  <w:tcBorders>
                    <w:left w:val="single" w:color="000000" w:sz="6" w:space="0"/>
                  </w:tcBorders>
                  <w:vAlign w:val="center"/>
                </w:tcPr>
                <w:p>
                  <w:pPr>
                    <w:adjustRightInd w:val="0"/>
                    <w:snapToGrid w:val="0"/>
                    <w:jc w:val="center"/>
                    <w:rPr>
                      <w:bCs/>
                      <w:szCs w:val="21"/>
                    </w:rPr>
                  </w:pPr>
                  <w:r>
                    <w:rPr>
                      <w:rFonts w:hint="eastAsia"/>
                      <w:bCs/>
                      <w:szCs w:val="21"/>
                    </w:rPr>
                    <w:t>19.6</w:t>
                  </w:r>
                </w:p>
              </w:tc>
              <w:tc>
                <w:tcPr>
                  <w:tcW w:w="1161" w:type="dxa"/>
                  <w:vAlign w:val="center"/>
                </w:tcPr>
                <w:p>
                  <w:pPr>
                    <w:adjustRightInd w:val="0"/>
                    <w:snapToGrid w:val="0"/>
                    <w:jc w:val="center"/>
                    <w:rPr>
                      <w:bCs/>
                      <w:szCs w:val="21"/>
                    </w:rPr>
                  </w:pPr>
                  <w:r>
                    <w:rPr>
                      <w:rFonts w:hint="eastAsia"/>
                      <w:bCs/>
                      <w:szCs w:val="21"/>
                    </w:rPr>
                    <w:t>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continue"/>
                  <w:vAlign w:val="center"/>
                </w:tcPr>
                <w:p>
                  <w:pPr>
                    <w:adjustRightInd w:val="0"/>
                    <w:snapToGrid w:val="0"/>
                    <w:jc w:val="center"/>
                    <w:rPr>
                      <w:bCs/>
                      <w:szCs w:val="21"/>
                    </w:rPr>
                  </w:pPr>
                </w:p>
              </w:tc>
              <w:tc>
                <w:tcPr>
                  <w:tcW w:w="622" w:type="pct"/>
                  <w:vMerge w:val="continue"/>
                  <w:vAlign w:val="center"/>
                </w:tcPr>
                <w:p>
                  <w:pPr>
                    <w:adjustRightInd w:val="0"/>
                    <w:snapToGrid w:val="0"/>
                    <w:jc w:val="center"/>
                    <w:rPr>
                      <w:bCs/>
                      <w:szCs w:val="21"/>
                    </w:rPr>
                  </w:pPr>
                </w:p>
              </w:tc>
              <w:tc>
                <w:tcPr>
                  <w:tcW w:w="900" w:type="pct"/>
                  <w:vAlign w:val="center"/>
                </w:tcPr>
                <w:p>
                  <w:pPr>
                    <w:adjustRightInd w:val="0"/>
                    <w:snapToGrid w:val="0"/>
                    <w:jc w:val="center"/>
                    <w:rPr>
                      <w:szCs w:val="21"/>
                    </w:rPr>
                  </w:pPr>
                  <w:r>
                    <w:rPr>
                      <w:szCs w:val="21"/>
                    </w:rPr>
                    <w:t>NH</w:t>
                  </w:r>
                  <w:r>
                    <w:rPr>
                      <w:szCs w:val="21"/>
                      <w:vertAlign w:val="subscript"/>
                    </w:rPr>
                    <w:t>3</w:t>
                  </w:r>
                  <w:r>
                    <w:rPr>
                      <w:szCs w:val="21"/>
                    </w:rPr>
                    <w:t>-N</w:t>
                  </w:r>
                </w:p>
              </w:tc>
              <w:tc>
                <w:tcPr>
                  <w:tcW w:w="651" w:type="pct"/>
                  <w:vAlign w:val="center"/>
                </w:tcPr>
                <w:p>
                  <w:pPr>
                    <w:adjustRightInd w:val="0"/>
                    <w:snapToGrid w:val="0"/>
                    <w:jc w:val="center"/>
                    <w:rPr>
                      <w:bCs/>
                      <w:szCs w:val="21"/>
                    </w:rPr>
                  </w:pPr>
                  <w:r>
                    <w:rPr>
                      <w:bCs/>
                      <w:szCs w:val="21"/>
                    </w:rPr>
                    <w:t>30</w:t>
                  </w:r>
                </w:p>
              </w:tc>
              <w:tc>
                <w:tcPr>
                  <w:tcW w:w="915" w:type="dxa"/>
                  <w:vAlign w:val="center"/>
                </w:tcPr>
                <w:p>
                  <w:pPr>
                    <w:widowControl/>
                    <w:jc w:val="center"/>
                    <w:textAlignment w:val="center"/>
                    <w:rPr>
                      <w:bCs/>
                      <w:color w:val="FF0000"/>
                      <w:szCs w:val="21"/>
                    </w:rPr>
                  </w:pPr>
                  <w:r>
                    <w:rPr>
                      <w:rFonts w:hint="eastAsia"/>
                      <w:kern w:val="0"/>
                      <w:szCs w:val="21"/>
                      <w:lang w:bidi="ar"/>
                    </w:rPr>
                    <w:t>0.418</w:t>
                  </w:r>
                </w:p>
              </w:tc>
              <w:tc>
                <w:tcPr>
                  <w:tcW w:w="545" w:type="pct"/>
                  <w:tcBorders>
                    <w:right w:val="single" w:color="000000" w:sz="6" w:space="0"/>
                  </w:tcBorders>
                  <w:vAlign w:val="center"/>
                </w:tcPr>
                <w:p>
                  <w:pPr>
                    <w:adjustRightInd w:val="0"/>
                    <w:snapToGrid w:val="0"/>
                    <w:jc w:val="center"/>
                    <w:rPr>
                      <w:bCs/>
                      <w:szCs w:val="21"/>
                    </w:rPr>
                  </w:pPr>
                  <w:r>
                    <w:rPr>
                      <w:bCs/>
                      <w:szCs w:val="21"/>
                    </w:rPr>
                    <w:t>50</w:t>
                  </w:r>
                </w:p>
              </w:tc>
              <w:tc>
                <w:tcPr>
                  <w:tcW w:w="700" w:type="pct"/>
                  <w:tcBorders>
                    <w:left w:val="single" w:color="000000" w:sz="6" w:space="0"/>
                  </w:tcBorders>
                  <w:vAlign w:val="center"/>
                </w:tcPr>
                <w:p>
                  <w:pPr>
                    <w:adjustRightInd w:val="0"/>
                    <w:snapToGrid w:val="0"/>
                    <w:jc w:val="center"/>
                    <w:rPr>
                      <w:bCs/>
                      <w:szCs w:val="21"/>
                    </w:rPr>
                  </w:pPr>
                  <w:r>
                    <w:rPr>
                      <w:bCs/>
                      <w:szCs w:val="21"/>
                    </w:rPr>
                    <w:t>15</w:t>
                  </w:r>
                </w:p>
              </w:tc>
              <w:tc>
                <w:tcPr>
                  <w:tcW w:w="1161" w:type="dxa"/>
                  <w:vAlign w:val="center"/>
                </w:tcPr>
                <w:p>
                  <w:pPr>
                    <w:adjustRightInd w:val="0"/>
                    <w:snapToGrid w:val="0"/>
                    <w:jc w:val="center"/>
                    <w:rPr>
                      <w:bCs/>
                      <w:szCs w:val="21"/>
                    </w:rPr>
                  </w:pPr>
                  <w:r>
                    <w:rPr>
                      <w:rFonts w:hint="eastAsia"/>
                      <w:bCs/>
                      <w:szCs w:val="21"/>
                    </w:rPr>
                    <w:t>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continue"/>
                  <w:vAlign w:val="center"/>
                </w:tcPr>
                <w:p>
                  <w:pPr>
                    <w:adjustRightInd w:val="0"/>
                    <w:snapToGrid w:val="0"/>
                    <w:jc w:val="center"/>
                    <w:rPr>
                      <w:bCs/>
                      <w:szCs w:val="21"/>
                    </w:rPr>
                  </w:pPr>
                </w:p>
              </w:tc>
              <w:tc>
                <w:tcPr>
                  <w:tcW w:w="622" w:type="pct"/>
                  <w:vMerge w:val="continue"/>
                  <w:vAlign w:val="center"/>
                </w:tcPr>
                <w:p>
                  <w:pPr>
                    <w:adjustRightInd w:val="0"/>
                    <w:snapToGrid w:val="0"/>
                    <w:jc w:val="center"/>
                    <w:rPr>
                      <w:bCs/>
                      <w:szCs w:val="21"/>
                    </w:rPr>
                  </w:pPr>
                </w:p>
              </w:tc>
              <w:tc>
                <w:tcPr>
                  <w:tcW w:w="900" w:type="pct"/>
                  <w:vAlign w:val="center"/>
                </w:tcPr>
                <w:p>
                  <w:pPr>
                    <w:spacing w:line="240" w:lineRule="atLeast"/>
                    <w:jc w:val="center"/>
                    <w:rPr>
                      <w:szCs w:val="21"/>
                    </w:rPr>
                  </w:pPr>
                  <w:r>
                    <w:rPr>
                      <w:szCs w:val="21"/>
                    </w:rPr>
                    <w:t>阴离子表面活性剂</w:t>
                  </w:r>
                </w:p>
              </w:tc>
              <w:tc>
                <w:tcPr>
                  <w:tcW w:w="651" w:type="pct"/>
                  <w:vAlign w:val="center"/>
                </w:tcPr>
                <w:p>
                  <w:pPr>
                    <w:adjustRightInd w:val="0"/>
                    <w:snapToGrid w:val="0"/>
                    <w:jc w:val="center"/>
                    <w:rPr>
                      <w:bCs/>
                      <w:szCs w:val="21"/>
                    </w:rPr>
                  </w:pPr>
                  <w:r>
                    <w:rPr>
                      <w:rFonts w:hint="eastAsia"/>
                      <w:bCs/>
                      <w:szCs w:val="21"/>
                    </w:rPr>
                    <w:t>2.02</w:t>
                  </w:r>
                </w:p>
              </w:tc>
              <w:tc>
                <w:tcPr>
                  <w:tcW w:w="905" w:type="dxa"/>
                  <w:vAlign w:val="center"/>
                </w:tcPr>
                <w:p>
                  <w:pPr>
                    <w:spacing w:line="240" w:lineRule="atLeast"/>
                    <w:jc w:val="center"/>
                    <w:rPr>
                      <w:bCs/>
                      <w:color w:val="FF0000"/>
                      <w:szCs w:val="21"/>
                    </w:rPr>
                  </w:pPr>
                  <w:r>
                    <w:rPr>
                      <w:szCs w:val="21"/>
                    </w:rPr>
                    <w:t>0.028</w:t>
                  </w:r>
                </w:p>
              </w:tc>
              <w:tc>
                <w:tcPr>
                  <w:tcW w:w="545" w:type="pct"/>
                  <w:tcBorders>
                    <w:right w:val="single" w:color="000000" w:sz="6" w:space="0"/>
                  </w:tcBorders>
                  <w:vAlign w:val="center"/>
                </w:tcPr>
                <w:p>
                  <w:pPr>
                    <w:adjustRightInd w:val="0"/>
                    <w:snapToGrid w:val="0"/>
                    <w:jc w:val="center"/>
                    <w:rPr>
                      <w:bCs/>
                      <w:szCs w:val="21"/>
                    </w:rPr>
                  </w:pPr>
                  <w:r>
                    <w:rPr>
                      <w:bCs/>
                      <w:szCs w:val="21"/>
                    </w:rPr>
                    <w:t>20</w:t>
                  </w:r>
                </w:p>
              </w:tc>
              <w:tc>
                <w:tcPr>
                  <w:tcW w:w="700" w:type="pct"/>
                  <w:tcBorders>
                    <w:left w:val="single" w:color="000000" w:sz="6" w:space="0"/>
                  </w:tcBorders>
                  <w:vAlign w:val="center"/>
                </w:tcPr>
                <w:p>
                  <w:pPr>
                    <w:adjustRightInd w:val="0"/>
                    <w:snapToGrid w:val="0"/>
                    <w:jc w:val="center"/>
                    <w:rPr>
                      <w:bCs/>
                      <w:szCs w:val="21"/>
                    </w:rPr>
                  </w:pPr>
                  <w:r>
                    <w:rPr>
                      <w:rFonts w:hint="eastAsia"/>
                      <w:bCs/>
                      <w:szCs w:val="21"/>
                    </w:rPr>
                    <w:t>1.62</w:t>
                  </w:r>
                </w:p>
              </w:tc>
              <w:tc>
                <w:tcPr>
                  <w:tcW w:w="1161" w:type="dxa"/>
                  <w:vAlign w:val="center"/>
                </w:tcPr>
                <w:p>
                  <w:pPr>
                    <w:adjustRightInd w:val="0"/>
                    <w:snapToGrid w:val="0"/>
                    <w:jc w:val="center"/>
                    <w:rPr>
                      <w:bCs/>
                      <w:szCs w:val="21"/>
                    </w:rPr>
                  </w:pPr>
                  <w:r>
                    <w:rPr>
                      <w:rFonts w:hint="eastAsia"/>
                      <w:bCs/>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vMerge w:val="continue"/>
                  <w:vAlign w:val="center"/>
                </w:tcPr>
                <w:p>
                  <w:pPr>
                    <w:adjustRightInd w:val="0"/>
                    <w:snapToGrid w:val="0"/>
                    <w:jc w:val="center"/>
                    <w:rPr>
                      <w:bCs/>
                      <w:szCs w:val="21"/>
                    </w:rPr>
                  </w:pPr>
                </w:p>
              </w:tc>
              <w:tc>
                <w:tcPr>
                  <w:tcW w:w="622" w:type="pct"/>
                  <w:vMerge w:val="continue"/>
                  <w:vAlign w:val="center"/>
                </w:tcPr>
                <w:p>
                  <w:pPr>
                    <w:adjustRightInd w:val="0"/>
                    <w:snapToGrid w:val="0"/>
                    <w:jc w:val="center"/>
                    <w:rPr>
                      <w:bCs/>
                      <w:szCs w:val="21"/>
                    </w:rPr>
                  </w:pPr>
                </w:p>
              </w:tc>
              <w:tc>
                <w:tcPr>
                  <w:tcW w:w="900" w:type="pct"/>
                  <w:vAlign w:val="center"/>
                </w:tcPr>
                <w:p>
                  <w:pPr>
                    <w:spacing w:line="240" w:lineRule="atLeast"/>
                    <w:jc w:val="center"/>
                    <w:rPr>
                      <w:szCs w:val="21"/>
                    </w:rPr>
                  </w:pPr>
                  <w:r>
                    <w:rPr>
                      <w:szCs w:val="21"/>
                    </w:rPr>
                    <w:t>粪大肠菌群数</w:t>
                  </w:r>
                  <w:r>
                    <w:rPr>
                      <w:rFonts w:hint="eastAsia"/>
                      <w:szCs w:val="21"/>
                    </w:rPr>
                    <w:t>MPN/L</w:t>
                  </w:r>
                </w:p>
              </w:tc>
              <w:tc>
                <w:tcPr>
                  <w:tcW w:w="651" w:type="pct"/>
                  <w:vAlign w:val="center"/>
                </w:tcPr>
                <w:p>
                  <w:pPr>
                    <w:adjustRightInd w:val="0"/>
                    <w:snapToGrid w:val="0"/>
                    <w:jc w:val="center"/>
                    <w:rPr>
                      <w:bCs/>
                      <w:szCs w:val="21"/>
                    </w:rPr>
                  </w:pPr>
                  <w:r>
                    <w:rPr>
                      <w:rFonts w:hint="eastAsia"/>
                      <w:szCs w:val="21"/>
                    </w:rPr>
                    <w:t>6.4</w:t>
                  </w:r>
                  <w:r>
                    <w:rPr>
                      <w:szCs w:val="21"/>
                    </w:rPr>
                    <w:t>×1</w:t>
                  </w:r>
                  <w:r>
                    <w:rPr>
                      <w:rFonts w:hint="eastAsia"/>
                      <w:szCs w:val="21"/>
                    </w:rPr>
                    <w:t>0</w:t>
                  </w:r>
                  <w:r>
                    <w:rPr>
                      <w:rFonts w:hint="eastAsia"/>
                      <w:szCs w:val="21"/>
                      <w:vertAlign w:val="superscript"/>
                    </w:rPr>
                    <w:t>5</w:t>
                  </w:r>
                </w:p>
              </w:tc>
              <w:tc>
                <w:tcPr>
                  <w:tcW w:w="534" w:type="pct"/>
                  <w:vAlign w:val="center"/>
                </w:tcPr>
                <w:p>
                  <w:pPr>
                    <w:adjustRightInd w:val="0"/>
                    <w:snapToGrid w:val="0"/>
                    <w:jc w:val="center"/>
                    <w:rPr>
                      <w:bCs/>
                      <w:szCs w:val="21"/>
                    </w:rPr>
                  </w:pPr>
                  <w:r>
                    <w:rPr>
                      <w:bCs/>
                      <w:szCs w:val="21"/>
                    </w:rPr>
                    <w:t>/</w:t>
                  </w:r>
                </w:p>
              </w:tc>
              <w:tc>
                <w:tcPr>
                  <w:tcW w:w="545" w:type="pct"/>
                  <w:tcBorders>
                    <w:right w:val="single" w:color="000000" w:sz="6" w:space="0"/>
                  </w:tcBorders>
                  <w:vAlign w:val="center"/>
                </w:tcPr>
                <w:p>
                  <w:pPr>
                    <w:adjustRightInd w:val="0"/>
                    <w:snapToGrid w:val="0"/>
                    <w:jc w:val="center"/>
                    <w:rPr>
                      <w:bCs/>
                      <w:szCs w:val="21"/>
                    </w:rPr>
                  </w:pPr>
                  <w:r>
                    <w:rPr>
                      <w:bCs/>
                      <w:szCs w:val="21"/>
                    </w:rPr>
                    <w:t>99.99</w:t>
                  </w:r>
                </w:p>
              </w:tc>
              <w:tc>
                <w:tcPr>
                  <w:tcW w:w="700" w:type="pct"/>
                  <w:tcBorders>
                    <w:left w:val="single" w:color="000000" w:sz="6" w:space="0"/>
                  </w:tcBorders>
                  <w:vAlign w:val="center"/>
                </w:tcPr>
                <w:p>
                  <w:pPr>
                    <w:adjustRightInd w:val="0"/>
                    <w:snapToGrid w:val="0"/>
                    <w:jc w:val="center"/>
                    <w:rPr>
                      <w:bCs/>
                      <w:szCs w:val="21"/>
                    </w:rPr>
                  </w:pPr>
                  <w:r>
                    <w:rPr>
                      <w:bCs/>
                      <w:szCs w:val="21"/>
                    </w:rPr>
                    <w:t>64</w:t>
                  </w:r>
                </w:p>
              </w:tc>
              <w:tc>
                <w:tcPr>
                  <w:tcW w:w="696" w:type="pct"/>
                  <w:vAlign w:val="center"/>
                </w:tcPr>
                <w:p>
                  <w:pPr>
                    <w:adjustRightInd w:val="0"/>
                    <w:snapToGrid w:val="0"/>
                    <w:jc w:val="center"/>
                    <w:rPr>
                      <w:bCs/>
                      <w:szCs w:val="21"/>
                    </w:rPr>
                  </w:pPr>
                  <w:r>
                    <w:rPr>
                      <w:bCs/>
                      <w:szCs w:val="21"/>
                    </w:rPr>
                    <w:t>/</w:t>
                  </w:r>
                </w:p>
              </w:tc>
            </w:tr>
          </w:tbl>
          <w:p>
            <w:pPr>
              <w:adjustRightInd w:val="0"/>
              <w:spacing w:line="360" w:lineRule="auto"/>
              <w:ind w:firstLine="480" w:firstLineChars="200"/>
              <w:rPr>
                <w:sz w:val="24"/>
              </w:rPr>
            </w:pPr>
            <w:r>
              <w:rPr>
                <w:rFonts w:hint="eastAsia"/>
                <w:sz w:val="24"/>
              </w:rPr>
              <w:t>项目废水达标情况见下表</w:t>
            </w:r>
          </w:p>
          <w:p>
            <w:pPr>
              <w:numPr>
                <w:ilvl w:val="0"/>
                <w:numId w:val="9"/>
              </w:numPr>
              <w:adjustRightInd w:val="0"/>
              <w:spacing w:before="120" w:beforeLines="50" w:after="120" w:afterLines="50"/>
              <w:ind w:left="0" w:firstLine="0"/>
              <w:jc w:val="center"/>
              <w:rPr>
                <w:b/>
                <w:bCs/>
                <w:szCs w:val="21"/>
              </w:rPr>
            </w:pPr>
            <w:r>
              <w:rPr>
                <w:rFonts w:hint="eastAsia"/>
                <w:b/>
                <w:bCs/>
                <w:szCs w:val="21"/>
              </w:rPr>
              <w:t>项目废水达标情况一览表</w:t>
            </w:r>
          </w:p>
          <w:tbl>
            <w:tblPr>
              <w:tblStyle w:val="1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07"/>
              <w:gridCol w:w="1557"/>
              <w:gridCol w:w="2985"/>
              <w:gridCol w:w="26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7" w:type="dxa"/>
                  <w:vMerge w:val="restart"/>
                  <w:tcBorders>
                    <w:tl2br w:val="nil"/>
                    <w:tr2bl w:val="nil"/>
                  </w:tcBorders>
                  <w:vAlign w:val="center"/>
                </w:tcPr>
                <w:p>
                  <w:pPr>
                    <w:adjustRightInd w:val="0"/>
                    <w:snapToGrid w:val="0"/>
                    <w:jc w:val="center"/>
                    <w:rPr>
                      <w:b/>
                      <w:szCs w:val="21"/>
                    </w:rPr>
                  </w:pPr>
                  <w:r>
                    <w:rPr>
                      <w:rFonts w:hint="eastAsia"/>
                      <w:b/>
                      <w:szCs w:val="21"/>
                    </w:rPr>
                    <w:t>项目</w:t>
                  </w:r>
                </w:p>
              </w:tc>
              <w:tc>
                <w:tcPr>
                  <w:tcW w:w="1557" w:type="dxa"/>
                  <w:vMerge w:val="restart"/>
                  <w:tcBorders>
                    <w:tl2br w:val="nil"/>
                    <w:tr2bl w:val="nil"/>
                  </w:tcBorders>
                  <w:vAlign w:val="center"/>
                </w:tcPr>
                <w:p>
                  <w:pPr>
                    <w:adjustRightInd w:val="0"/>
                    <w:snapToGrid w:val="0"/>
                    <w:jc w:val="center"/>
                    <w:rPr>
                      <w:b/>
                      <w:szCs w:val="21"/>
                    </w:rPr>
                  </w:pPr>
                  <w:r>
                    <w:rPr>
                      <w:rFonts w:hint="eastAsia"/>
                      <w:b/>
                      <w:szCs w:val="21"/>
                    </w:rPr>
                    <w:t>处理后浓度（mg/L）</w:t>
                  </w:r>
                </w:p>
              </w:tc>
              <w:tc>
                <w:tcPr>
                  <w:tcW w:w="5604" w:type="dxa"/>
                  <w:gridSpan w:val="2"/>
                  <w:tcBorders>
                    <w:right w:val="single" w:color="auto" w:sz="4" w:space="0"/>
                    <w:tl2br w:val="nil"/>
                    <w:tr2bl w:val="nil"/>
                  </w:tcBorders>
                  <w:vAlign w:val="center"/>
                </w:tcPr>
                <w:p>
                  <w:pPr>
                    <w:adjustRightInd w:val="0"/>
                    <w:snapToGrid w:val="0"/>
                    <w:jc w:val="center"/>
                    <w:rPr>
                      <w:b/>
                      <w:szCs w:val="21"/>
                    </w:rPr>
                  </w:pPr>
                  <w:r>
                    <w:rPr>
                      <w:rFonts w:hint="eastAsia"/>
                      <w:b/>
                      <w:szCs w:val="21"/>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7" w:type="dxa"/>
                  <w:vMerge w:val="continue"/>
                  <w:tcBorders>
                    <w:tl2br w:val="nil"/>
                    <w:tr2bl w:val="nil"/>
                  </w:tcBorders>
                  <w:vAlign w:val="center"/>
                </w:tcPr>
                <w:p>
                  <w:pPr>
                    <w:adjustRightInd w:val="0"/>
                    <w:snapToGrid w:val="0"/>
                    <w:jc w:val="center"/>
                    <w:rPr>
                      <w:b/>
                      <w:szCs w:val="21"/>
                    </w:rPr>
                  </w:pPr>
                </w:p>
              </w:tc>
              <w:tc>
                <w:tcPr>
                  <w:tcW w:w="1557" w:type="dxa"/>
                  <w:vMerge w:val="continue"/>
                  <w:tcBorders>
                    <w:tl2br w:val="nil"/>
                    <w:tr2bl w:val="nil"/>
                  </w:tcBorders>
                  <w:vAlign w:val="center"/>
                </w:tcPr>
                <w:p>
                  <w:pPr>
                    <w:adjustRightInd w:val="0"/>
                    <w:snapToGrid w:val="0"/>
                    <w:jc w:val="center"/>
                    <w:rPr>
                      <w:b/>
                      <w:szCs w:val="21"/>
                    </w:rPr>
                  </w:pPr>
                </w:p>
              </w:tc>
              <w:tc>
                <w:tcPr>
                  <w:tcW w:w="2985" w:type="dxa"/>
                  <w:tcBorders>
                    <w:tl2br w:val="nil"/>
                    <w:tr2bl w:val="nil"/>
                  </w:tcBorders>
                  <w:vAlign w:val="center"/>
                </w:tcPr>
                <w:p>
                  <w:pPr>
                    <w:adjustRightInd w:val="0"/>
                    <w:snapToGrid w:val="0"/>
                    <w:jc w:val="center"/>
                    <w:rPr>
                      <w:b/>
                      <w:szCs w:val="21"/>
                    </w:rPr>
                  </w:pPr>
                  <w:r>
                    <w:rPr>
                      <w:rFonts w:hint="eastAsia"/>
                      <w:b/>
                      <w:szCs w:val="21"/>
                    </w:rPr>
                    <w:t>《医疗机构水污染物排放标准》（GB 18466-2005）表1中排放限值</w:t>
                  </w:r>
                </w:p>
              </w:tc>
              <w:tc>
                <w:tcPr>
                  <w:tcW w:w="2619" w:type="dxa"/>
                  <w:tcBorders>
                    <w:right w:val="single" w:color="auto" w:sz="4" w:space="0"/>
                    <w:tl2br w:val="nil"/>
                    <w:tr2bl w:val="nil"/>
                  </w:tcBorders>
                  <w:tcMar>
                    <w:left w:w="0" w:type="dxa"/>
                    <w:right w:w="0" w:type="dxa"/>
                  </w:tcMar>
                  <w:vAlign w:val="center"/>
                </w:tcPr>
                <w:p>
                  <w:pPr>
                    <w:adjustRightInd w:val="0"/>
                    <w:snapToGrid w:val="0"/>
                    <w:jc w:val="center"/>
                    <w:rPr>
                      <w:b/>
                      <w:szCs w:val="21"/>
                    </w:rPr>
                  </w:pPr>
                  <w:r>
                    <w:rPr>
                      <w:rFonts w:hint="eastAsia"/>
                      <w:b/>
                      <w:szCs w:val="21"/>
                    </w:rPr>
                    <w:t>宽城碧水源环保有限公司污水处理厂进水水质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pH</w:t>
                  </w:r>
                </w:p>
              </w:tc>
              <w:tc>
                <w:tcPr>
                  <w:tcW w:w="1557" w:type="dxa"/>
                  <w:tcBorders>
                    <w:tl2br w:val="nil"/>
                    <w:tr2bl w:val="nil"/>
                  </w:tcBorders>
                  <w:vAlign w:val="center"/>
                </w:tcPr>
                <w:p>
                  <w:pPr>
                    <w:adjustRightInd w:val="0"/>
                    <w:snapToGrid w:val="0"/>
                    <w:jc w:val="center"/>
                    <w:rPr>
                      <w:bCs/>
                      <w:szCs w:val="21"/>
                    </w:rPr>
                  </w:pPr>
                  <w:r>
                    <w:rPr>
                      <w:rFonts w:hint="eastAsia"/>
                      <w:bCs/>
                      <w:szCs w:val="21"/>
                    </w:rPr>
                    <w:t>6-9</w:t>
                  </w:r>
                </w:p>
              </w:tc>
              <w:tc>
                <w:tcPr>
                  <w:tcW w:w="2985" w:type="dxa"/>
                  <w:tcBorders>
                    <w:tl2br w:val="nil"/>
                    <w:tr2bl w:val="nil"/>
                  </w:tcBorders>
                  <w:vAlign w:val="center"/>
                </w:tcPr>
                <w:p>
                  <w:pPr>
                    <w:adjustRightInd w:val="0"/>
                    <w:snapToGrid w:val="0"/>
                    <w:jc w:val="center"/>
                    <w:rPr>
                      <w:bCs/>
                      <w:szCs w:val="21"/>
                    </w:rPr>
                  </w:pPr>
                  <w:r>
                    <w:rPr>
                      <w:rFonts w:hint="eastAsia"/>
                      <w:bCs/>
                      <w:szCs w:val="21"/>
                    </w:rPr>
                    <w:t>6-9</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COD</w:t>
                  </w:r>
                </w:p>
              </w:tc>
              <w:tc>
                <w:tcPr>
                  <w:tcW w:w="1557" w:type="dxa"/>
                  <w:tcBorders>
                    <w:tl2br w:val="nil"/>
                    <w:tr2bl w:val="nil"/>
                  </w:tcBorders>
                  <w:vAlign w:val="center"/>
                </w:tcPr>
                <w:p>
                  <w:pPr>
                    <w:adjustRightInd w:val="0"/>
                    <w:snapToGrid w:val="0"/>
                    <w:jc w:val="center"/>
                    <w:rPr>
                      <w:bCs/>
                      <w:szCs w:val="21"/>
                    </w:rPr>
                  </w:pPr>
                  <w:r>
                    <w:rPr>
                      <w:rFonts w:hint="eastAsia"/>
                      <w:bCs/>
                      <w:szCs w:val="21"/>
                    </w:rPr>
                    <w:t>60</w:t>
                  </w:r>
                </w:p>
              </w:tc>
              <w:tc>
                <w:tcPr>
                  <w:tcW w:w="2985" w:type="dxa"/>
                  <w:tcBorders>
                    <w:tl2br w:val="nil"/>
                    <w:tr2bl w:val="nil"/>
                  </w:tcBorders>
                  <w:vAlign w:val="center"/>
                </w:tcPr>
                <w:p>
                  <w:pPr>
                    <w:adjustRightInd w:val="0"/>
                    <w:snapToGrid w:val="0"/>
                    <w:jc w:val="center"/>
                    <w:rPr>
                      <w:bCs/>
                      <w:szCs w:val="21"/>
                    </w:rPr>
                  </w:pPr>
                  <w:r>
                    <w:rPr>
                      <w:rFonts w:hint="eastAsia"/>
                      <w:bCs/>
                      <w:szCs w:val="21"/>
                    </w:rPr>
                    <w:t>60</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BOD</w:t>
                  </w:r>
                  <w:r>
                    <w:rPr>
                      <w:rFonts w:hint="eastAsia"/>
                      <w:bCs/>
                      <w:szCs w:val="21"/>
                      <w:vertAlign w:val="subscript"/>
                    </w:rPr>
                    <w:t>5</w:t>
                  </w:r>
                </w:p>
              </w:tc>
              <w:tc>
                <w:tcPr>
                  <w:tcW w:w="1557" w:type="dxa"/>
                  <w:tcBorders>
                    <w:tl2br w:val="nil"/>
                    <w:tr2bl w:val="nil"/>
                  </w:tcBorders>
                  <w:vAlign w:val="center"/>
                </w:tcPr>
                <w:p>
                  <w:pPr>
                    <w:adjustRightInd w:val="0"/>
                    <w:snapToGrid w:val="0"/>
                    <w:jc w:val="center"/>
                    <w:rPr>
                      <w:bCs/>
                      <w:szCs w:val="21"/>
                    </w:rPr>
                  </w:pPr>
                  <w:r>
                    <w:rPr>
                      <w:rFonts w:hint="eastAsia"/>
                      <w:bCs/>
                      <w:szCs w:val="21"/>
                    </w:rPr>
                    <w:t>20</w:t>
                  </w:r>
                </w:p>
              </w:tc>
              <w:tc>
                <w:tcPr>
                  <w:tcW w:w="2985" w:type="dxa"/>
                  <w:tcBorders>
                    <w:tl2br w:val="nil"/>
                    <w:tr2bl w:val="nil"/>
                  </w:tcBorders>
                  <w:vAlign w:val="center"/>
                </w:tcPr>
                <w:p>
                  <w:pPr>
                    <w:adjustRightInd w:val="0"/>
                    <w:snapToGrid w:val="0"/>
                    <w:jc w:val="center"/>
                    <w:rPr>
                      <w:bCs/>
                      <w:szCs w:val="21"/>
                    </w:rPr>
                  </w:pPr>
                  <w:r>
                    <w:rPr>
                      <w:rFonts w:hint="eastAsia"/>
                      <w:bCs/>
                      <w:szCs w:val="21"/>
                    </w:rPr>
                    <w:t>20</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SS</w:t>
                  </w:r>
                </w:p>
              </w:tc>
              <w:tc>
                <w:tcPr>
                  <w:tcW w:w="1557" w:type="dxa"/>
                  <w:tcBorders>
                    <w:tl2br w:val="nil"/>
                    <w:tr2bl w:val="nil"/>
                  </w:tcBorders>
                  <w:vAlign w:val="center"/>
                </w:tcPr>
                <w:p>
                  <w:pPr>
                    <w:adjustRightInd w:val="0"/>
                    <w:snapToGrid w:val="0"/>
                    <w:jc w:val="center"/>
                    <w:rPr>
                      <w:bCs/>
                      <w:szCs w:val="21"/>
                    </w:rPr>
                  </w:pPr>
                  <w:r>
                    <w:rPr>
                      <w:rFonts w:hint="eastAsia"/>
                      <w:bCs/>
                      <w:szCs w:val="21"/>
                    </w:rPr>
                    <w:t>20</w:t>
                  </w:r>
                </w:p>
              </w:tc>
              <w:tc>
                <w:tcPr>
                  <w:tcW w:w="2985" w:type="dxa"/>
                  <w:tcBorders>
                    <w:tl2br w:val="nil"/>
                    <w:tr2bl w:val="nil"/>
                  </w:tcBorders>
                  <w:vAlign w:val="center"/>
                </w:tcPr>
                <w:p>
                  <w:pPr>
                    <w:adjustRightInd w:val="0"/>
                    <w:snapToGrid w:val="0"/>
                    <w:jc w:val="center"/>
                    <w:rPr>
                      <w:bCs/>
                      <w:szCs w:val="21"/>
                    </w:rPr>
                  </w:pPr>
                  <w:r>
                    <w:rPr>
                      <w:rFonts w:hint="eastAsia"/>
                      <w:bCs/>
                      <w:szCs w:val="21"/>
                    </w:rPr>
                    <w:t>20</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NH</w:t>
                  </w:r>
                  <w:r>
                    <w:rPr>
                      <w:rFonts w:hint="eastAsia"/>
                      <w:bCs/>
                      <w:szCs w:val="21"/>
                      <w:vertAlign w:val="subscript"/>
                    </w:rPr>
                    <w:t>3</w:t>
                  </w:r>
                  <w:r>
                    <w:rPr>
                      <w:rFonts w:hint="eastAsia"/>
                      <w:bCs/>
                      <w:szCs w:val="21"/>
                    </w:rPr>
                    <w:t>-N</w:t>
                  </w:r>
                </w:p>
              </w:tc>
              <w:tc>
                <w:tcPr>
                  <w:tcW w:w="1557" w:type="dxa"/>
                  <w:tcBorders>
                    <w:tl2br w:val="nil"/>
                    <w:tr2bl w:val="nil"/>
                  </w:tcBorders>
                  <w:vAlign w:val="center"/>
                </w:tcPr>
                <w:p>
                  <w:pPr>
                    <w:adjustRightInd w:val="0"/>
                    <w:snapToGrid w:val="0"/>
                    <w:jc w:val="center"/>
                    <w:rPr>
                      <w:bCs/>
                      <w:szCs w:val="21"/>
                    </w:rPr>
                  </w:pPr>
                  <w:r>
                    <w:rPr>
                      <w:rFonts w:hint="eastAsia"/>
                      <w:bCs/>
                      <w:szCs w:val="21"/>
                    </w:rPr>
                    <w:t>15</w:t>
                  </w:r>
                </w:p>
              </w:tc>
              <w:tc>
                <w:tcPr>
                  <w:tcW w:w="2985" w:type="dxa"/>
                  <w:tcBorders>
                    <w:tl2br w:val="nil"/>
                    <w:tr2bl w:val="nil"/>
                  </w:tcBorders>
                  <w:vAlign w:val="center"/>
                </w:tcPr>
                <w:p>
                  <w:pPr>
                    <w:adjustRightInd w:val="0"/>
                    <w:snapToGrid w:val="0"/>
                    <w:jc w:val="center"/>
                    <w:rPr>
                      <w:bCs/>
                      <w:szCs w:val="21"/>
                    </w:rPr>
                  </w:pPr>
                  <w:r>
                    <w:rPr>
                      <w:rFonts w:hint="eastAsia"/>
                      <w:bCs/>
                      <w:szCs w:val="21"/>
                    </w:rPr>
                    <w:t>15</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阴离子表面活性剂</w:t>
                  </w:r>
                </w:p>
              </w:tc>
              <w:tc>
                <w:tcPr>
                  <w:tcW w:w="1557" w:type="dxa"/>
                  <w:tcBorders>
                    <w:tl2br w:val="nil"/>
                    <w:tr2bl w:val="nil"/>
                  </w:tcBorders>
                  <w:vAlign w:val="center"/>
                </w:tcPr>
                <w:p>
                  <w:pPr>
                    <w:adjustRightInd w:val="0"/>
                    <w:snapToGrid w:val="0"/>
                    <w:jc w:val="center"/>
                    <w:rPr>
                      <w:bCs/>
                      <w:szCs w:val="21"/>
                    </w:rPr>
                  </w:pPr>
                  <w:r>
                    <w:rPr>
                      <w:rFonts w:hint="eastAsia"/>
                      <w:bCs/>
                      <w:szCs w:val="21"/>
                    </w:rPr>
                    <w:t>2.02</w:t>
                  </w:r>
                </w:p>
              </w:tc>
              <w:tc>
                <w:tcPr>
                  <w:tcW w:w="2985" w:type="dxa"/>
                  <w:tcBorders>
                    <w:tl2br w:val="nil"/>
                    <w:tr2bl w:val="nil"/>
                  </w:tcBorders>
                  <w:vAlign w:val="center"/>
                </w:tcPr>
                <w:p>
                  <w:pPr>
                    <w:adjustRightInd w:val="0"/>
                    <w:snapToGrid w:val="0"/>
                    <w:jc w:val="center"/>
                    <w:rPr>
                      <w:bCs/>
                      <w:szCs w:val="21"/>
                    </w:rPr>
                  </w:pPr>
                  <w:r>
                    <w:rPr>
                      <w:rFonts w:hint="eastAsia"/>
                      <w:bCs/>
                      <w:szCs w:val="21"/>
                    </w:rPr>
                    <w:t>5</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07" w:type="dxa"/>
                  <w:tcBorders>
                    <w:tl2br w:val="nil"/>
                    <w:tr2bl w:val="nil"/>
                  </w:tcBorders>
                  <w:vAlign w:val="center"/>
                </w:tcPr>
                <w:p>
                  <w:pPr>
                    <w:adjustRightInd w:val="0"/>
                    <w:snapToGrid w:val="0"/>
                    <w:jc w:val="center"/>
                    <w:rPr>
                      <w:bCs/>
                      <w:szCs w:val="21"/>
                    </w:rPr>
                  </w:pPr>
                  <w:r>
                    <w:rPr>
                      <w:rFonts w:hint="eastAsia"/>
                      <w:bCs/>
                      <w:szCs w:val="21"/>
                    </w:rPr>
                    <w:t>粪大肠菌群数MPN/L</w:t>
                  </w:r>
                </w:p>
              </w:tc>
              <w:tc>
                <w:tcPr>
                  <w:tcW w:w="1557" w:type="dxa"/>
                  <w:tcBorders>
                    <w:tl2br w:val="nil"/>
                    <w:tr2bl w:val="nil"/>
                  </w:tcBorders>
                  <w:vAlign w:val="center"/>
                </w:tcPr>
                <w:p>
                  <w:pPr>
                    <w:adjustRightInd w:val="0"/>
                    <w:snapToGrid w:val="0"/>
                    <w:jc w:val="center"/>
                    <w:rPr>
                      <w:bCs/>
                      <w:szCs w:val="21"/>
                    </w:rPr>
                  </w:pPr>
                  <w:r>
                    <w:rPr>
                      <w:rFonts w:hint="eastAsia"/>
                      <w:bCs/>
                      <w:szCs w:val="21"/>
                    </w:rPr>
                    <w:t>64</w:t>
                  </w:r>
                </w:p>
              </w:tc>
              <w:tc>
                <w:tcPr>
                  <w:tcW w:w="2985" w:type="dxa"/>
                  <w:tcBorders>
                    <w:tl2br w:val="nil"/>
                    <w:tr2bl w:val="nil"/>
                  </w:tcBorders>
                  <w:vAlign w:val="center"/>
                </w:tcPr>
                <w:p>
                  <w:pPr>
                    <w:adjustRightInd w:val="0"/>
                    <w:snapToGrid w:val="0"/>
                    <w:jc w:val="center"/>
                    <w:rPr>
                      <w:bCs/>
                      <w:szCs w:val="21"/>
                    </w:rPr>
                  </w:pPr>
                  <w:r>
                    <w:rPr>
                      <w:rFonts w:hint="eastAsia"/>
                      <w:bCs/>
                      <w:szCs w:val="21"/>
                    </w:rPr>
                    <w:t>100</w:t>
                  </w:r>
                </w:p>
              </w:tc>
              <w:tc>
                <w:tcPr>
                  <w:tcW w:w="2619" w:type="dxa"/>
                  <w:tcBorders>
                    <w:right w:val="single" w:color="auto" w:sz="4" w:space="0"/>
                    <w:tl2br w:val="nil"/>
                    <w:tr2bl w:val="nil"/>
                  </w:tcBorders>
                  <w:vAlign w:val="center"/>
                </w:tcPr>
                <w:p>
                  <w:pPr>
                    <w:adjustRightInd w:val="0"/>
                    <w:snapToGrid w:val="0"/>
                    <w:jc w:val="center"/>
                    <w:rPr>
                      <w:bCs/>
                      <w:szCs w:val="21"/>
                    </w:rPr>
                  </w:pPr>
                  <w:r>
                    <w:rPr>
                      <w:rFonts w:hint="eastAsia"/>
                      <w:bCs/>
                      <w:szCs w:val="21"/>
                    </w:rPr>
                    <w:t>/</w:t>
                  </w:r>
                </w:p>
              </w:tc>
            </w:tr>
          </w:tbl>
          <w:p>
            <w:pPr>
              <w:spacing w:before="120" w:beforeLines="50" w:line="360" w:lineRule="auto"/>
              <w:ind w:firstLine="482"/>
              <w:rPr>
                <w:b/>
                <w:sz w:val="24"/>
              </w:rPr>
            </w:pPr>
            <w:r>
              <w:rPr>
                <w:rFonts w:hint="eastAsia"/>
                <w:b/>
                <w:sz w:val="24"/>
              </w:rPr>
              <w:t>（2）废水污染治理设施的可行性</w:t>
            </w:r>
          </w:p>
          <w:p>
            <w:pPr>
              <w:adjustRightInd w:val="0"/>
              <w:spacing w:line="360" w:lineRule="auto"/>
              <w:ind w:firstLine="480" w:firstLineChars="200"/>
              <w:rPr>
                <w:rStyle w:val="23"/>
                <w:kern w:val="0"/>
                <w:szCs w:val="20"/>
              </w:rPr>
            </w:pPr>
            <w:r>
              <w:rPr>
                <w:rFonts w:hint="eastAsia"/>
                <w:sz w:val="24"/>
              </w:rPr>
              <w:t>项目废水处理依托东侧方舱医院污水处理站，生活污水和医疗污水统一排放到方舱医院污水处理站。废水经方舱医院污水处理站处理后，出水满足《医疗机构水污染物排放标准》（GB18466-2005）表1中传染病、结核病医疗机构水污染物排放限值要求，同时满足宽城碧水源环保有限公司污水处理厂进水水质指标要求，通过城镇污水管网排入宽城碧水源环保有限公司污水处理厂进一步处理。</w:t>
            </w:r>
          </w:p>
          <w:p>
            <w:pPr>
              <w:adjustRightInd w:val="0"/>
              <w:spacing w:line="360" w:lineRule="auto"/>
              <w:ind w:firstLine="480" w:firstLineChars="200"/>
              <w:rPr>
                <w:sz w:val="24"/>
              </w:rPr>
            </w:pPr>
            <w:r>
              <w:rPr>
                <w:rFonts w:hint="eastAsia"/>
                <w:sz w:val="24"/>
              </w:rPr>
              <w:t>宽城碧水源环保有限公司污水处理厂位于宽城县化皮溜子镇三家村，厂区中心地理坐标为</w:t>
            </w:r>
            <w:r>
              <w:rPr>
                <w:sz w:val="24"/>
              </w:rPr>
              <w:t>E118°25′16.85</w:t>
            </w:r>
            <w:r>
              <w:rPr>
                <w:rFonts w:hint="eastAsia"/>
                <w:sz w:val="24"/>
              </w:rPr>
              <w:t>7</w:t>
            </w:r>
            <w:r>
              <w:rPr>
                <w:sz w:val="24"/>
              </w:rPr>
              <w:t>″、N40°35′47.33</w:t>
            </w:r>
            <w:r>
              <w:rPr>
                <w:rFonts w:hint="eastAsia"/>
                <w:sz w:val="24"/>
              </w:rPr>
              <w:t>4</w:t>
            </w:r>
            <w:r>
              <w:rPr>
                <w:sz w:val="24"/>
              </w:rPr>
              <w:t>″</w:t>
            </w:r>
            <w:r>
              <w:rPr>
                <w:rFonts w:hint="eastAsia"/>
                <w:sz w:val="24"/>
              </w:rPr>
              <w:t>，</w:t>
            </w:r>
            <w:r>
              <w:rPr>
                <w:sz w:val="24"/>
              </w:rPr>
              <w:t>服务范围为宽城县城区及周边镇的工业废水以及城镇的生活污水</w:t>
            </w:r>
            <w:r>
              <w:rPr>
                <w:rFonts w:hint="eastAsia"/>
                <w:sz w:val="24"/>
              </w:rPr>
              <w:t>。本项目位于宽城碧水源环保有限公司污水处理厂东北侧8.8km处，根据现场调查，项目所在地已铺设污水收集管网，</w:t>
            </w:r>
            <w:r>
              <w:rPr>
                <w:sz w:val="24"/>
              </w:rPr>
              <w:t>本项目在该污水处理厂收水范围内</w:t>
            </w:r>
            <w:r>
              <w:rPr>
                <w:rFonts w:hint="eastAsia"/>
                <w:sz w:val="24"/>
              </w:rPr>
              <w:t>，宽城碧水源环保有限公司污水处理厂已同意接受本项目污水</w:t>
            </w:r>
            <w:r>
              <w:rPr>
                <w:sz w:val="24"/>
              </w:rPr>
              <w:t>。</w:t>
            </w:r>
            <w:r>
              <w:rPr>
                <w:rFonts w:hint="eastAsia"/>
                <w:sz w:val="24"/>
              </w:rPr>
              <w:t>本项目污水经方舱医院污水处理站处理后就近接入污水管网，因此，本项目污水接管空间上可行。</w:t>
            </w:r>
          </w:p>
          <w:p>
            <w:pPr>
              <w:spacing w:line="360" w:lineRule="auto"/>
              <w:ind w:firstLine="480"/>
              <w:rPr>
                <w:b/>
                <w:sz w:val="24"/>
              </w:rPr>
            </w:pPr>
            <w:r>
              <w:rPr>
                <w:rFonts w:hint="eastAsia"/>
                <w:b/>
                <w:sz w:val="24"/>
              </w:rPr>
              <w:t>（</w:t>
            </w:r>
            <w:r>
              <w:rPr>
                <w:b/>
                <w:sz w:val="24"/>
              </w:rPr>
              <w:t>3</w:t>
            </w:r>
            <w:r>
              <w:rPr>
                <w:rFonts w:hint="eastAsia"/>
                <w:b/>
                <w:sz w:val="24"/>
              </w:rPr>
              <w:t>）地表水环境影响分析结论</w:t>
            </w:r>
          </w:p>
          <w:p>
            <w:pPr>
              <w:spacing w:line="360" w:lineRule="auto"/>
              <w:ind w:firstLine="480" w:firstLineChars="200"/>
              <w:rPr>
                <w:sz w:val="24"/>
              </w:rPr>
            </w:pPr>
            <w:r>
              <w:rPr>
                <w:rFonts w:hint="eastAsia"/>
                <w:sz w:val="24"/>
              </w:rPr>
              <w:t>综上所述，定点医院污水处理依托东侧方舱医院污水处理站，经方舱医院污水处理站处理后出水可以满足</w:t>
            </w:r>
            <w:r>
              <w:rPr>
                <w:sz w:val="24"/>
              </w:rPr>
              <w:t>《医疗机构水污染物排放标准》（GB18466-2005）表</w:t>
            </w:r>
            <w:r>
              <w:rPr>
                <w:rFonts w:hint="eastAsia"/>
                <w:sz w:val="24"/>
              </w:rPr>
              <w:t>1</w:t>
            </w:r>
            <w:r>
              <w:rPr>
                <w:sz w:val="24"/>
              </w:rPr>
              <w:t>中</w:t>
            </w:r>
            <w:r>
              <w:rPr>
                <w:rFonts w:hint="eastAsia"/>
                <w:sz w:val="24"/>
              </w:rPr>
              <w:t>传染病、结核病医疗机构水污染物排放限值要求</w:t>
            </w:r>
            <w:r>
              <w:rPr>
                <w:sz w:val="24"/>
              </w:rPr>
              <w:t>，同时满足</w:t>
            </w:r>
            <w:r>
              <w:rPr>
                <w:rFonts w:hint="eastAsia"/>
                <w:sz w:val="24"/>
              </w:rPr>
              <w:t>宽城碧水源环保有限公司污水处理厂</w:t>
            </w:r>
            <w:r>
              <w:rPr>
                <w:sz w:val="24"/>
              </w:rPr>
              <w:t>进水水质指标要求</w:t>
            </w:r>
            <w:r>
              <w:rPr>
                <w:rFonts w:hint="eastAsia"/>
                <w:sz w:val="24"/>
              </w:rPr>
              <w:t>，通过城镇污水管网排入宽城碧水源环保有限公司污水处理厂进一步处理。本项目排放污水量和方舱医院排放污水量的总计污水量不超过污水处理站的处理能力，</w:t>
            </w:r>
            <w:r>
              <w:rPr>
                <w:sz w:val="24"/>
              </w:rPr>
              <w:t>项目拟采取的水污染控制措施</w:t>
            </w:r>
            <w:r>
              <w:rPr>
                <w:rFonts w:hint="eastAsia"/>
                <w:sz w:val="24"/>
              </w:rPr>
              <w:t>具有可行性，</w:t>
            </w:r>
            <w:r>
              <w:rPr>
                <w:sz w:val="24"/>
              </w:rPr>
              <w:t>项目产生的地表水环境影响可接受。</w:t>
            </w:r>
          </w:p>
          <w:p>
            <w:pPr>
              <w:spacing w:line="360" w:lineRule="auto"/>
              <w:ind w:firstLine="482"/>
              <w:rPr>
                <w:b/>
                <w:sz w:val="24"/>
              </w:rPr>
            </w:pPr>
            <w:r>
              <w:rPr>
                <w:b/>
                <w:sz w:val="24"/>
              </w:rPr>
              <w:t>3．</w:t>
            </w:r>
            <w:r>
              <w:rPr>
                <w:rFonts w:hint="eastAsia"/>
                <w:b/>
                <w:sz w:val="24"/>
              </w:rPr>
              <w:t>声环境影响和保护措施</w:t>
            </w:r>
          </w:p>
          <w:p>
            <w:pPr>
              <w:spacing w:line="360" w:lineRule="auto"/>
              <w:ind w:firstLine="480" w:firstLineChars="200"/>
              <w:rPr>
                <w:sz w:val="24"/>
              </w:rPr>
            </w:pPr>
            <w:r>
              <w:rPr>
                <w:rFonts w:hint="eastAsia"/>
                <w:sz w:val="24"/>
              </w:rPr>
              <w:t>项目主要噪声源为风机，</w:t>
            </w:r>
            <w:r>
              <w:rPr>
                <w:sz w:val="24"/>
              </w:rPr>
              <w:t>通过采取</w:t>
            </w:r>
            <w:r>
              <w:rPr>
                <w:rFonts w:hint="eastAsia"/>
                <w:sz w:val="24"/>
              </w:rPr>
              <w:t>选用低噪声设备、合理布局、基础减振、建筑隔声、加强维护和保养</w:t>
            </w:r>
            <w:r>
              <w:rPr>
                <w:sz w:val="24"/>
              </w:rPr>
              <w:t>等措施，降低项目设备运行产生的噪声。</w:t>
            </w:r>
          </w:p>
          <w:p>
            <w:pPr>
              <w:spacing w:line="360" w:lineRule="auto"/>
              <w:ind w:firstLine="480"/>
              <w:rPr>
                <w:b/>
                <w:sz w:val="24"/>
              </w:rPr>
            </w:pPr>
            <w:r>
              <w:rPr>
                <w:rFonts w:hint="eastAsia"/>
                <w:b/>
                <w:sz w:val="24"/>
              </w:rPr>
              <w:t>（</w:t>
            </w:r>
            <w:r>
              <w:rPr>
                <w:b/>
                <w:sz w:val="24"/>
              </w:rPr>
              <w:t>1</w:t>
            </w:r>
            <w:r>
              <w:rPr>
                <w:rFonts w:hint="eastAsia"/>
                <w:b/>
                <w:sz w:val="24"/>
              </w:rPr>
              <w:t>）噪声源强分析</w:t>
            </w:r>
          </w:p>
          <w:p>
            <w:pPr>
              <w:spacing w:line="360" w:lineRule="auto"/>
              <w:ind w:firstLine="480"/>
              <w:rPr>
                <w:sz w:val="24"/>
              </w:rPr>
            </w:pPr>
            <w:r>
              <w:rPr>
                <w:rFonts w:hint="eastAsia"/>
                <w:sz w:val="24"/>
              </w:rPr>
              <w:t>上述噪声的源强、降噪措施及噪声排放情况列表如下：</w:t>
            </w:r>
          </w:p>
          <w:p>
            <w:pPr>
              <w:numPr>
                <w:ilvl w:val="0"/>
                <w:numId w:val="9"/>
              </w:numPr>
              <w:adjustRightInd w:val="0"/>
              <w:spacing w:before="120" w:beforeLines="50" w:after="120" w:afterLines="50"/>
              <w:ind w:left="0" w:firstLine="0"/>
              <w:jc w:val="center"/>
              <w:rPr>
                <w:b/>
                <w:bCs/>
                <w:szCs w:val="21"/>
              </w:rPr>
            </w:pPr>
            <w:r>
              <w:rPr>
                <w:b/>
                <w:bCs/>
                <w:szCs w:val="21"/>
              </w:rPr>
              <w:t>主要噪声源一览表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08"/>
              <w:gridCol w:w="1433"/>
              <w:gridCol w:w="807"/>
              <w:gridCol w:w="1784"/>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pPr>
                    <w:pBdr>
                      <w:top w:val="none" w:color="auto" w:sz="0" w:space="1"/>
                      <w:left w:val="none" w:color="auto" w:sz="0" w:space="4"/>
                      <w:bottom w:val="none" w:color="auto" w:sz="0" w:space="1"/>
                      <w:right w:val="none" w:color="auto" w:sz="0" w:space="4"/>
                    </w:pBdr>
                    <w:adjustRightInd w:val="0"/>
                    <w:snapToGrid w:val="0"/>
                    <w:jc w:val="center"/>
                    <w:rPr>
                      <w:b/>
                      <w:bCs/>
                      <w:szCs w:val="21"/>
                    </w:rPr>
                  </w:pPr>
                  <w:r>
                    <w:rPr>
                      <w:b/>
                      <w:bCs/>
                      <w:szCs w:val="21"/>
                    </w:rPr>
                    <w:t>序号</w:t>
                  </w:r>
                </w:p>
              </w:tc>
              <w:tc>
                <w:tcPr>
                  <w:tcW w:w="830" w:type="pct"/>
                  <w:vAlign w:val="center"/>
                </w:tcPr>
                <w:p>
                  <w:pPr>
                    <w:pBdr>
                      <w:top w:val="none" w:color="auto" w:sz="0" w:space="1"/>
                      <w:left w:val="none" w:color="auto" w:sz="0" w:space="4"/>
                      <w:bottom w:val="none" w:color="auto" w:sz="0" w:space="1"/>
                      <w:right w:val="none" w:color="auto" w:sz="0" w:space="4"/>
                    </w:pBdr>
                    <w:adjustRightInd w:val="0"/>
                    <w:snapToGrid w:val="0"/>
                    <w:jc w:val="center"/>
                    <w:rPr>
                      <w:b/>
                      <w:bCs/>
                      <w:szCs w:val="21"/>
                    </w:rPr>
                  </w:pPr>
                  <w:r>
                    <w:rPr>
                      <w:b/>
                      <w:bCs/>
                      <w:szCs w:val="21"/>
                    </w:rPr>
                    <w:t>位置</w:t>
                  </w:r>
                </w:p>
              </w:tc>
              <w:tc>
                <w:tcPr>
                  <w:tcW w:w="844" w:type="pct"/>
                  <w:vAlign w:val="center"/>
                </w:tcPr>
                <w:p>
                  <w:pPr>
                    <w:pBdr>
                      <w:top w:val="none" w:color="auto" w:sz="0" w:space="1"/>
                      <w:left w:val="none" w:color="auto" w:sz="0" w:space="4"/>
                      <w:bottom w:val="none" w:color="auto" w:sz="0" w:space="1"/>
                      <w:right w:val="none" w:color="auto" w:sz="0" w:space="4"/>
                    </w:pBdr>
                    <w:adjustRightInd w:val="0"/>
                    <w:snapToGrid w:val="0"/>
                    <w:jc w:val="center"/>
                    <w:rPr>
                      <w:b/>
                      <w:bCs/>
                      <w:szCs w:val="21"/>
                    </w:rPr>
                  </w:pPr>
                  <w:r>
                    <w:rPr>
                      <w:b/>
                      <w:bCs/>
                      <w:szCs w:val="21"/>
                    </w:rPr>
                    <w:t>污染源</w:t>
                  </w:r>
                </w:p>
              </w:tc>
              <w:tc>
                <w:tcPr>
                  <w:tcW w:w="476" w:type="pct"/>
                  <w:vAlign w:val="center"/>
                </w:tcPr>
                <w:p>
                  <w:pPr>
                    <w:pBdr>
                      <w:top w:val="none" w:color="auto" w:sz="0" w:space="1"/>
                      <w:left w:val="none" w:color="auto" w:sz="0" w:space="4"/>
                      <w:bottom w:val="none" w:color="auto" w:sz="0" w:space="1"/>
                      <w:right w:val="none" w:color="auto" w:sz="0" w:space="4"/>
                    </w:pBdr>
                    <w:adjustRightInd w:val="0"/>
                    <w:snapToGrid w:val="0"/>
                    <w:jc w:val="center"/>
                    <w:rPr>
                      <w:b/>
                      <w:bCs/>
                      <w:szCs w:val="21"/>
                    </w:rPr>
                  </w:pPr>
                  <w:r>
                    <w:rPr>
                      <w:b/>
                      <w:bCs/>
                      <w:szCs w:val="21"/>
                    </w:rPr>
                    <w:t>数量</w:t>
                  </w:r>
                </w:p>
              </w:tc>
              <w:tc>
                <w:tcPr>
                  <w:tcW w:w="1051" w:type="pct"/>
                  <w:vAlign w:val="center"/>
                </w:tcPr>
                <w:p>
                  <w:pPr>
                    <w:pBdr>
                      <w:top w:val="none" w:color="auto" w:sz="0" w:space="1"/>
                      <w:left w:val="none" w:color="auto" w:sz="0" w:space="4"/>
                      <w:bottom w:val="none" w:color="auto" w:sz="0" w:space="1"/>
                      <w:right w:val="none" w:color="auto" w:sz="0" w:space="4"/>
                    </w:pBdr>
                    <w:adjustRightInd w:val="0"/>
                    <w:snapToGrid w:val="0"/>
                    <w:jc w:val="center"/>
                    <w:rPr>
                      <w:b/>
                      <w:bCs/>
                      <w:szCs w:val="21"/>
                    </w:rPr>
                  </w:pPr>
                  <w:r>
                    <w:rPr>
                      <w:b/>
                      <w:bCs/>
                      <w:szCs w:val="21"/>
                    </w:rPr>
                    <w:t>源强（dB（A））</w:t>
                  </w:r>
                </w:p>
              </w:tc>
              <w:tc>
                <w:tcPr>
                  <w:tcW w:w="1410" w:type="pct"/>
                  <w:vAlign w:val="center"/>
                </w:tcPr>
                <w:p>
                  <w:pPr>
                    <w:pBdr>
                      <w:top w:val="none" w:color="auto" w:sz="0" w:space="1"/>
                      <w:left w:val="none" w:color="auto" w:sz="0" w:space="4"/>
                      <w:bottom w:val="none" w:color="auto" w:sz="0" w:space="1"/>
                      <w:right w:val="none" w:color="auto" w:sz="0" w:space="4"/>
                    </w:pBdr>
                    <w:adjustRightInd w:val="0"/>
                    <w:snapToGrid w:val="0"/>
                    <w:jc w:val="center"/>
                    <w:rPr>
                      <w:b/>
                      <w:bCs/>
                      <w:szCs w:val="21"/>
                    </w:rPr>
                  </w:pPr>
                  <w:r>
                    <w:rPr>
                      <w:b/>
                      <w:bCs/>
                      <w:szCs w:val="21"/>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pPr>
                    <w:pBdr>
                      <w:top w:val="none" w:color="auto" w:sz="0" w:space="1"/>
                      <w:left w:val="none" w:color="auto" w:sz="0" w:space="4"/>
                      <w:bottom w:val="none" w:color="auto" w:sz="0" w:space="1"/>
                      <w:right w:val="none" w:color="auto" w:sz="0" w:space="4"/>
                    </w:pBdr>
                    <w:adjustRightInd w:val="0"/>
                    <w:snapToGrid w:val="0"/>
                    <w:jc w:val="center"/>
                    <w:rPr>
                      <w:bCs/>
                      <w:szCs w:val="21"/>
                    </w:rPr>
                  </w:pPr>
                  <w:r>
                    <w:rPr>
                      <w:szCs w:val="21"/>
                    </w:rPr>
                    <w:t>1</w:t>
                  </w:r>
                </w:p>
              </w:tc>
              <w:tc>
                <w:tcPr>
                  <w:tcW w:w="830"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定点医院南侧</w:t>
                  </w:r>
                </w:p>
              </w:tc>
              <w:tc>
                <w:tcPr>
                  <w:tcW w:w="844" w:type="pct"/>
                  <w:vAlign w:val="center"/>
                </w:tcPr>
                <w:p>
                  <w:pPr>
                    <w:adjustRightInd w:val="0"/>
                    <w:snapToGrid w:val="0"/>
                    <w:jc w:val="center"/>
                    <w:rPr>
                      <w:szCs w:val="21"/>
                    </w:rPr>
                  </w:pPr>
                  <w:r>
                    <w:rPr>
                      <w:rFonts w:hint="eastAsia"/>
                      <w:szCs w:val="21"/>
                    </w:rPr>
                    <w:t>直膨式新风机组</w:t>
                  </w:r>
                </w:p>
              </w:tc>
              <w:tc>
                <w:tcPr>
                  <w:tcW w:w="476"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1台</w:t>
                  </w:r>
                </w:p>
              </w:tc>
              <w:tc>
                <w:tcPr>
                  <w:tcW w:w="1051"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80</w:t>
                  </w:r>
                </w:p>
              </w:tc>
              <w:tc>
                <w:tcPr>
                  <w:tcW w:w="1410"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szCs w:val="21"/>
                    </w:rPr>
                    <w:t>购置低噪声设备，基础减振，</w:t>
                  </w:r>
                  <w:r>
                    <w:rPr>
                      <w:rFonts w:hint="eastAsia"/>
                      <w:szCs w:val="21"/>
                    </w:rPr>
                    <w:t>设备间吸声、</w:t>
                  </w:r>
                  <w:r>
                    <w:rPr>
                      <w:szCs w:val="21"/>
                    </w:rPr>
                    <w:t>隔声</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2</w:t>
                  </w:r>
                </w:p>
              </w:tc>
              <w:tc>
                <w:tcPr>
                  <w:tcW w:w="830"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定点医院东侧</w:t>
                  </w:r>
                </w:p>
              </w:tc>
              <w:tc>
                <w:tcPr>
                  <w:tcW w:w="844" w:type="pct"/>
                  <w:vAlign w:val="center"/>
                </w:tcPr>
                <w:p>
                  <w:pPr>
                    <w:adjustRightInd w:val="0"/>
                    <w:snapToGrid w:val="0"/>
                    <w:jc w:val="center"/>
                    <w:rPr>
                      <w:szCs w:val="21"/>
                    </w:rPr>
                  </w:pPr>
                  <w:r>
                    <w:rPr>
                      <w:rFonts w:hint="eastAsia"/>
                      <w:szCs w:val="21"/>
                    </w:rPr>
                    <w:t>排风机机组</w:t>
                  </w:r>
                </w:p>
              </w:tc>
              <w:tc>
                <w:tcPr>
                  <w:tcW w:w="476"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1台</w:t>
                  </w:r>
                </w:p>
              </w:tc>
              <w:tc>
                <w:tcPr>
                  <w:tcW w:w="1051"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80</w:t>
                  </w:r>
                </w:p>
              </w:tc>
              <w:tc>
                <w:tcPr>
                  <w:tcW w:w="1410" w:type="pct"/>
                  <w:vAlign w:val="center"/>
                </w:tcPr>
                <w:p>
                  <w:pPr>
                    <w:pBdr>
                      <w:top w:val="none" w:color="auto" w:sz="0" w:space="1"/>
                      <w:left w:val="none" w:color="auto" w:sz="0" w:space="4"/>
                      <w:bottom w:val="none" w:color="auto" w:sz="0" w:space="1"/>
                      <w:right w:val="none" w:color="auto" w:sz="0" w:space="4"/>
                    </w:pBdr>
                    <w:adjustRightInd w:val="0"/>
                    <w:snapToGrid w:val="0"/>
                    <w:jc w:val="center"/>
                    <w:rPr>
                      <w:szCs w:val="21"/>
                    </w:rPr>
                  </w:pPr>
                  <w:r>
                    <w:rPr>
                      <w:szCs w:val="21"/>
                    </w:rPr>
                    <w:t>购置低噪声设备，基础减振，</w:t>
                  </w:r>
                  <w:r>
                    <w:rPr>
                      <w:rFonts w:hint="eastAsia"/>
                      <w:szCs w:val="21"/>
                    </w:rPr>
                    <w:t>设备间吸声、</w:t>
                  </w:r>
                  <w:r>
                    <w:rPr>
                      <w:szCs w:val="21"/>
                    </w:rPr>
                    <w:t>隔声</w:t>
                  </w:r>
                  <w:r>
                    <w:rPr>
                      <w:rFonts w:hint="eastAsia"/>
                      <w:szCs w:val="21"/>
                    </w:rPr>
                    <w:t>。</w:t>
                  </w:r>
                </w:p>
              </w:tc>
            </w:tr>
          </w:tbl>
          <w:p>
            <w:pPr>
              <w:spacing w:before="120" w:beforeLines="50" w:line="360" w:lineRule="auto"/>
              <w:ind w:firstLine="482"/>
              <w:rPr>
                <w:b/>
                <w:sz w:val="24"/>
              </w:rPr>
            </w:pPr>
            <w:r>
              <w:rPr>
                <w:rFonts w:hint="eastAsia"/>
                <w:b/>
                <w:sz w:val="24"/>
              </w:rPr>
              <w:t>（</w:t>
            </w:r>
            <w:r>
              <w:rPr>
                <w:b/>
                <w:sz w:val="24"/>
              </w:rPr>
              <w:t>2</w:t>
            </w:r>
            <w:r>
              <w:rPr>
                <w:rFonts w:hint="eastAsia"/>
                <w:b/>
                <w:sz w:val="24"/>
              </w:rPr>
              <w:t>）达标情况分析</w:t>
            </w:r>
          </w:p>
          <w:p>
            <w:pPr>
              <w:spacing w:line="360" w:lineRule="auto"/>
              <w:ind w:firstLine="480"/>
              <w:rPr>
                <w:sz w:val="24"/>
              </w:rPr>
            </w:pPr>
            <w:r>
              <w:rPr>
                <w:sz w:val="24"/>
              </w:rPr>
              <w:t>项目声环境影响预测使用石家庄环安科技有限公司的噪声环境影响评价系统（NoiseSystem）2012标准版（版本3.2.1.20992）进行噪声预测，预测过程中，各噪声设备在一定的距离处可以被视作点源，设备所处位置、与墙壁的距离、房间常数、与预测点的距离、隔墙厚度等均按实际布设确定，同时考虑了地形因素的影响。</w:t>
            </w:r>
          </w:p>
          <w:p>
            <w:pPr>
              <w:spacing w:line="360" w:lineRule="auto"/>
              <w:ind w:firstLine="480"/>
              <w:rPr>
                <w:sz w:val="24"/>
              </w:rPr>
            </w:pPr>
            <w:r>
              <w:rPr>
                <w:sz w:val="24"/>
              </w:rPr>
              <w:t>项目厂界</w:t>
            </w:r>
            <w:r>
              <w:rPr>
                <w:rFonts w:hint="eastAsia"/>
                <w:sz w:val="24"/>
              </w:rPr>
              <w:t>及周边声环境保护目标的</w:t>
            </w:r>
            <w:r>
              <w:rPr>
                <w:sz w:val="24"/>
              </w:rPr>
              <w:t>噪声预测结果如下表所示：</w:t>
            </w:r>
          </w:p>
          <w:p>
            <w:pPr>
              <w:numPr>
                <w:ilvl w:val="0"/>
                <w:numId w:val="9"/>
              </w:numPr>
              <w:adjustRightInd w:val="0"/>
              <w:spacing w:before="120" w:beforeLines="50" w:after="120" w:afterLines="50"/>
              <w:ind w:left="0" w:firstLine="0"/>
              <w:jc w:val="center"/>
              <w:rPr>
                <w:b/>
                <w:bCs/>
                <w:szCs w:val="21"/>
              </w:rPr>
            </w:pPr>
            <w:r>
              <w:rPr>
                <w:rFonts w:hint="eastAsia"/>
                <w:b/>
                <w:bCs/>
                <w:szCs w:val="21"/>
              </w:rPr>
              <w:t>厂界噪声预测结果一览表（单位：</w:t>
            </w:r>
            <w:r>
              <w:rPr>
                <w:b/>
                <w:bCs/>
                <w:szCs w:val="21"/>
              </w:rPr>
              <w:t>dB（A）</w:t>
            </w:r>
            <w:r>
              <w:rPr>
                <w:rFonts w:hint="eastAsia"/>
                <w:b/>
                <w:bCs/>
                <w:szCs w:val="21"/>
              </w:rPr>
              <w:t>）</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207"/>
              <w:gridCol w:w="1208"/>
              <w:gridCol w:w="1454"/>
              <w:gridCol w:w="969"/>
              <w:gridCol w:w="1454"/>
              <w:gridCol w:w="969"/>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7" w:hRule="atLeast"/>
                <w:jc w:val="center"/>
              </w:trPr>
              <w:tc>
                <w:tcPr>
                  <w:tcW w:w="712" w:type="pct"/>
                  <w:vAlign w:val="center"/>
                </w:tcPr>
                <w:p>
                  <w:pPr>
                    <w:spacing w:line="0" w:lineRule="atLeast"/>
                    <w:jc w:val="center"/>
                    <w:rPr>
                      <w:b/>
                      <w:szCs w:val="21"/>
                    </w:rPr>
                  </w:pPr>
                  <w:r>
                    <w:rPr>
                      <w:rFonts w:hint="eastAsia"/>
                      <w:b/>
                      <w:szCs w:val="21"/>
                    </w:rPr>
                    <w:t>厂区</w:t>
                  </w:r>
                </w:p>
              </w:tc>
              <w:tc>
                <w:tcPr>
                  <w:tcW w:w="712" w:type="pct"/>
                  <w:vAlign w:val="center"/>
                </w:tcPr>
                <w:p>
                  <w:pPr>
                    <w:spacing w:line="0" w:lineRule="atLeast"/>
                    <w:jc w:val="center"/>
                    <w:rPr>
                      <w:b/>
                      <w:szCs w:val="21"/>
                    </w:rPr>
                  </w:pPr>
                  <w:r>
                    <w:rPr>
                      <w:b/>
                      <w:szCs w:val="21"/>
                    </w:rPr>
                    <w:t>点位</w:t>
                  </w:r>
                </w:p>
              </w:tc>
              <w:tc>
                <w:tcPr>
                  <w:tcW w:w="857" w:type="pct"/>
                  <w:vAlign w:val="center"/>
                </w:tcPr>
                <w:p>
                  <w:pPr>
                    <w:spacing w:line="0" w:lineRule="atLeast"/>
                    <w:jc w:val="center"/>
                    <w:rPr>
                      <w:b/>
                      <w:szCs w:val="21"/>
                    </w:rPr>
                  </w:pPr>
                  <w:r>
                    <w:rPr>
                      <w:rFonts w:hint="eastAsia"/>
                      <w:b/>
                      <w:szCs w:val="21"/>
                    </w:rPr>
                    <w:t>昼间</w:t>
                  </w:r>
                  <w:r>
                    <w:rPr>
                      <w:b/>
                      <w:szCs w:val="21"/>
                    </w:rPr>
                    <w:t>贡献值</w:t>
                  </w:r>
                </w:p>
              </w:tc>
              <w:tc>
                <w:tcPr>
                  <w:tcW w:w="572" w:type="pct"/>
                  <w:vAlign w:val="center"/>
                </w:tcPr>
                <w:p>
                  <w:pPr>
                    <w:spacing w:line="0" w:lineRule="atLeast"/>
                    <w:jc w:val="center"/>
                    <w:rPr>
                      <w:b/>
                      <w:szCs w:val="21"/>
                    </w:rPr>
                  </w:pPr>
                  <w:r>
                    <w:rPr>
                      <w:rFonts w:hint="eastAsia"/>
                      <w:b/>
                      <w:szCs w:val="21"/>
                    </w:rPr>
                    <w:t>标准值</w:t>
                  </w:r>
                </w:p>
              </w:tc>
              <w:tc>
                <w:tcPr>
                  <w:tcW w:w="857" w:type="pct"/>
                  <w:vAlign w:val="center"/>
                </w:tcPr>
                <w:p>
                  <w:pPr>
                    <w:spacing w:line="0" w:lineRule="atLeast"/>
                    <w:jc w:val="center"/>
                    <w:rPr>
                      <w:b/>
                      <w:szCs w:val="21"/>
                    </w:rPr>
                  </w:pPr>
                  <w:r>
                    <w:rPr>
                      <w:rFonts w:hint="eastAsia"/>
                      <w:b/>
                      <w:szCs w:val="21"/>
                    </w:rPr>
                    <w:t>夜间贡献值</w:t>
                  </w:r>
                </w:p>
              </w:tc>
              <w:tc>
                <w:tcPr>
                  <w:tcW w:w="572" w:type="pct"/>
                  <w:vAlign w:val="center"/>
                </w:tcPr>
                <w:p>
                  <w:pPr>
                    <w:spacing w:line="0" w:lineRule="atLeast"/>
                    <w:jc w:val="center"/>
                    <w:rPr>
                      <w:b/>
                      <w:szCs w:val="21"/>
                    </w:rPr>
                  </w:pPr>
                  <w:r>
                    <w:rPr>
                      <w:rFonts w:hint="eastAsia"/>
                      <w:b/>
                      <w:szCs w:val="21"/>
                    </w:rPr>
                    <w:t>标准值</w:t>
                  </w:r>
                </w:p>
              </w:tc>
              <w:tc>
                <w:tcPr>
                  <w:tcW w:w="714" w:type="pct"/>
                  <w:vAlign w:val="center"/>
                </w:tcPr>
                <w:p>
                  <w:pPr>
                    <w:spacing w:line="0" w:lineRule="atLeast"/>
                    <w:jc w:val="center"/>
                    <w:rPr>
                      <w:b/>
                      <w:szCs w:val="21"/>
                    </w:rPr>
                  </w:pPr>
                  <w:r>
                    <w:rPr>
                      <w:rFonts w:hint="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94" w:hRule="atLeast"/>
                <w:jc w:val="center"/>
              </w:trPr>
              <w:tc>
                <w:tcPr>
                  <w:tcW w:w="712" w:type="pct"/>
                  <w:vMerge w:val="restart"/>
                  <w:vAlign w:val="center"/>
                </w:tcPr>
                <w:p>
                  <w:pPr>
                    <w:spacing w:line="0" w:lineRule="atLeast"/>
                    <w:jc w:val="center"/>
                    <w:rPr>
                      <w:kern w:val="0"/>
                      <w:szCs w:val="21"/>
                    </w:rPr>
                  </w:pPr>
                  <w:r>
                    <w:rPr>
                      <w:rFonts w:hint="eastAsia"/>
                      <w:kern w:val="0"/>
                      <w:szCs w:val="21"/>
                    </w:rPr>
                    <w:t>定点医院</w:t>
                  </w:r>
                </w:p>
              </w:tc>
              <w:tc>
                <w:tcPr>
                  <w:tcW w:w="712" w:type="pct"/>
                  <w:vAlign w:val="center"/>
                </w:tcPr>
                <w:p>
                  <w:pPr>
                    <w:spacing w:line="0" w:lineRule="atLeast"/>
                    <w:jc w:val="center"/>
                    <w:rPr>
                      <w:kern w:val="0"/>
                      <w:szCs w:val="21"/>
                    </w:rPr>
                  </w:pPr>
                  <w:r>
                    <w:rPr>
                      <w:kern w:val="0"/>
                      <w:szCs w:val="21"/>
                    </w:rPr>
                    <w:t>东厂界</w:t>
                  </w:r>
                </w:p>
              </w:tc>
              <w:tc>
                <w:tcPr>
                  <w:tcW w:w="1469" w:type="dxa"/>
                  <w:vAlign w:val="center"/>
                </w:tcPr>
                <w:p>
                  <w:pPr>
                    <w:widowControl/>
                    <w:jc w:val="center"/>
                    <w:rPr>
                      <w:szCs w:val="21"/>
                    </w:rPr>
                  </w:pPr>
                  <w:r>
                    <w:rPr>
                      <w:szCs w:val="21"/>
                    </w:rPr>
                    <w:t>15.67</w:t>
                  </w:r>
                </w:p>
              </w:tc>
              <w:tc>
                <w:tcPr>
                  <w:tcW w:w="572" w:type="pct"/>
                  <w:vAlign w:val="center"/>
                </w:tcPr>
                <w:p>
                  <w:pPr>
                    <w:widowControl/>
                    <w:jc w:val="center"/>
                    <w:rPr>
                      <w:szCs w:val="21"/>
                    </w:rPr>
                  </w:pPr>
                  <w:r>
                    <w:rPr>
                      <w:rFonts w:hint="eastAsia"/>
                      <w:szCs w:val="21"/>
                    </w:rPr>
                    <w:t>55</w:t>
                  </w:r>
                </w:p>
              </w:tc>
              <w:tc>
                <w:tcPr>
                  <w:tcW w:w="1469" w:type="dxa"/>
                  <w:vAlign w:val="center"/>
                </w:tcPr>
                <w:p>
                  <w:pPr>
                    <w:widowControl/>
                    <w:jc w:val="center"/>
                    <w:rPr>
                      <w:szCs w:val="21"/>
                    </w:rPr>
                  </w:pPr>
                  <w:r>
                    <w:rPr>
                      <w:szCs w:val="21"/>
                    </w:rPr>
                    <w:t>15.67</w:t>
                  </w:r>
                </w:p>
              </w:tc>
              <w:tc>
                <w:tcPr>
                  <w:tcW w:w="572" w:type="pct"/>
                  <w:vAlign w:val="center"/>
                </w:tcPr>
                <w:p>
                  <w:pPr>
                    <w:widowControl/>
                    <w:jc w:val="center"/>
                    <w:rPr>
                      <w:szCs w:val="21"/>
                    </w:rPr>
                  </w:pPr>
                  <w:r>
                    <w:rPr>
                      <w:rFonts w:hint="eastAsia"/>
                      <w:szCs w:val="21"/>
                    </w:rPr>
                    <w:t>45</w:t>
                  </w:r>
                </w:p>
              </w:tc>
              <w:tc>
                <w:tcPr>
                  <w:tcW w:w="714" w:type="pct"/>
                  <w:vAlign w:val="center"/>
                </w:tcPr>
                <w:p>
                  <w:pPr>
                    <w:widowControl/>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94" w:hRule="atLeast"/>
                <w:jc w:val="center"/>
              </w:trPr>
              <w:tc>
                <w:tcPr>
                  <w:tcW w:w="712" w:type="pct"/>
                  <w:vMerge w:val="continue"/>
                  <w:vAlign w:val="center"/>
                </w:tcPr>
                <w:p>
                  <w:pPr>
                    <w:spacing w:line="0" w:lineRule="atLeast"/>
                    <w:jc w:val="center"/>
                    <w:rPr>
                      <w:kern w:val="0"/>
                      <w:szCs w:val="21"/>
                    </w:rPr>
                  </w:pPr>
                </w:p>
              </w:tc>
              <w:tc>
                <w:tcPr>
                  <w:tcW w:w="712" w:type="pct"/>
                  <w:vAlign w:val="center"/>
                </w:tcPr>
                <w:p>
                  <w:pPr>
                    <w:spacing w:line="0" w:lineRule="atLeast"/>
                    <w:jc w:val="center"/>
                    <w:rPr>
                      <w:kern w:val="0"/>
                      <w:szCs w:val="21"/>
                    </w:rPr>
                  </w:pPr>
                  <w:r>
                    <w:rPr>
                      <w:kern w:val="0"/>
                      <w:szCs w:val="21"/>
                    </w:rPr>
                    <w:t>南厂界</w:t>
                  </w:r>
                </w:p>
              </w:tc>
              <w:tc>
                <w:tcPr>
                  <w:tcW w:w="1469" w:type="dxa"/>
                  <w:vAlign w:val="center"/>
                </w:tcPr>
                <w:p>
                  <w:pPr>
                    <w:widowControl/>
                    <w:jc w:val="center"/>
                    <w:rPr>
                      <w:szCs w:val="21"/>
                    </w:rPr>
                  </w:pPr>
                  <w:r>
                    <w:rPr>
                      <w:szCs w:val="21"/>
                    </w:rPr>
                    <w:t>21.79</w:t>
                  </w:r>
                </w:p>
              </w:tc>
              <w:tc>
                <w:tcPr>
                  <w:tcW w:w="572" w:type="pct"/>
                  <w:vAlign w:val="center"/>
                </w:tcPr>
                <w:p>
                  <w:pPr>
                    <w:widowControl/>
                    <w:jc w:val="center"/>
                    <w:rPr>
                      <w:szCs w:val="21"/>
                    </w:rPr>
                  </w:pPr>
                  <w:r>
                    <w:rPr>
                      <w:rFonts w:hint="eastAsia"/>
                      <w:szCs w:val="21"/>
                    </w:rPr>
                    <w:t>55</w:t>
                  </w:r>
                </w:p>
              </w:tc>
              <w:tc>
                <w:tcPr>
                  <w:tcW w:w="1469" w:type="dxa"/>
                  <w:vAlign w:val="center"/>
                </w:tcPr>
                <w:p>
                  <w:pPr>
                    <w:widowControl/>
                    <w:jc w:val="center"/>
                    <w:rPr>
                      <w:szCs w:val="21"/>
                    </w:rPr>
                  </w:pPr>
                  <w:r>
                    <w:rPr>
                      <w:szCs w:val="21"/>
                    </w:rPr>
                    <w:t>21.79</w:t>
                  </w:r>
                </w:p>
              </w:tc>
              <w:tc>
                <w:tcPr>
                  <w:tcW w:w="572" w:type="pct"/>
                  <w:vAlign w:val="center"/>
                </w:tcPr>
                <w:p>
                  <w:pPr>
                    <w:widowControl/>
                    <w:jc w:val="center"/>
                    <w:rPr>
                      <w:szCs w:val="21"/>
                    </w:rPr>
                  </w:pPr>
                  <w:r>
                    <w:rPr>
                      <w:rFonts w:hint="eastAsia"/>
                      <w:szCs w:val="21"/>
                    </w:rPr>
                    <w:t>45</w:t>
                  </w:r>
                </w:p>
              </w:tc>
              <w:tc>
                <w:tcPr>
                  <w:tcW w:w="714" w:type="pct"/>
                  <w:vAlign w:val="center"/>
                </w:tcPr>
                <w:p>
                  <w:pPr>
                    <w:widowControl/>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94" w:hRule="atLeast"/>
                <w:jc w:val="center"/>
              </w:trPr>
              <w:tc>
                <w:tcPr>
                  <w:tcW w:w="712" w:type="pct"/>
                  <w:vMerge w:val="continue"/>
                  <w:vAlign w:val="center"/>
                </w:tcPr>
                <w:p>
                  <w:pPr>
                    <w:spacing w:line="0" w:lineRule="atLeast"/>
                    <w:jc w:val="center"/>
                    <w:rPr>
                      <w:kern w:val="0"/>
                      <w:szCs w:val="21"/>
                    </w:rPr>
                  </w:pPr>
                </w:p>
              </w:tc>
              <w:tc>
                <w:tcPr>
                  <w:tcW w:w="712" w:type="pct"/>
                  <w:vAlign w:val="center"/>
                </w:tcPr>
                <w:p>
                  <w:pPr>
                    <w:spacing w:line="0" w:lineRule="atLeast"/>
                    <w:jc w:val="center"/>
                    <w:rPr>
                      <w:kern w:val="0"/>
                      <w:szCs w:val="21"/>
                    </w:rPr>
                  </w:pPr>
                  <w:r>
                    <w:rPr>
                      <w:kern w:val="0"/>
                      <w:szCs w:val="21"/>
                    </w:rPr>
                    <w:t>西厂界</w:t>
                  </w:r>
                </w:p>
              </w:tc>
              <w:tc>
                <w:tcPr>
                  <w:tcW w:w="1469" w:type="dxa"/>
                  <w:vAlign w:val="center"/>
                </w:tcPr>
                <w:p>
                  <w:pPr>
                    <w:widowControl/>
                    <w:jc w:val="center"/>
                    <w:rPr>
                      <w:szCs w:val="21"/>
                    </w:rPr>
                  </w:pPr>
                  <w:r>
                    <w:rPr>
                      <w:szCs w:val="21"/>
                    </w:rPr>
                    <w:t>19.16</w:t>
                  </w:r>
                </w:p>
              </w:tc>
              <w:tc>
                <w:tcPr>
                  <w:tcW w:w="572" w:type="pct"/>
                  <w:vAlign w:val="center"/>
                </w:tcPr>
                <w:p>
                  <w:pPr>
                    <w:widowControl/>
                    <w:jc w:val="center"/>
                    <w:rPr>
                      <w:szCs w:val="21"/>
                    </w:rPr>
                  </w:pPr>
                  <w:r>
                    <w:rPr>
                      <w:rFonts w:hint="eastAsia"/>
                      <w:szCs w:val="21"/>
                    </w:rPr>
                    <w:t>55</w:t>
                  </w:r>
                </w:p>
              </w:tc>
              <w:tc>
                <w:tcPr>
                  <w:tcW w:w="1469" w:type="dxa"/>
                  <w:vAlign w:val="center"/>
                </w:tcPr>
                <w:p>
                  <w:pPr>
                    <w:widowControl/>
                    <w:jc w:val="center"/>
                    <w:rPr>
                      <w:szCs w:val="21"/>
                    </w:rPr>
                  </w:pPr>
                  <w:r>
                    <w:rPr>
                      <w:szCs w:val="21"/>
                    </w:rPr>
                    <w:t>19.16</w:t>
                  </w:r>
                </w:p>
              </w:tc>
              <w:tc>
                <w:tcPr>
                  <w:tcW w:w="572" w:type="pct"/>
                  <w:vAlign w:val="center"/>
                </w:tcPr>
                <w:p>
                  <w:pPr>
                    <w:widowControl/>
                    <w:jc w:val="center"/>
                    <w:rPr>
                      <w:szCs w:val="21"/>
                    </w:rPr>
                  </w:pPr>
                  <w:r>
                    <w:rPr>
                      <w:rFonts w:hint="eastAsia"/>
                      <w:szCs w:val="21"/>
                    </w:rPr>
                    <w:t>45</w:t>
                  </w:r>
                </w:p>
              </w:tc>
              <w:tc>
                <w:tcPr>
                  <w:tcW w:w="714" w:type="pct"/>
                  <w:vAlign w:val="center"/>
                </w:tcPr>
                <w:p>
                  <w:pPr>
                    <w:widowControl/>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94" w:hRule="atLeast"/>
                <w:jc w:val="center"/>
              </w:trPr>
              <w:tc>
                <w:tcPr>
                  <w:tcW w:w="712" w:type="pct"/>
                  <w:vMerge w:val="continue"/>
                  <w:vAlign w:val="center"/>
                </w:tcPr>
                <w:p>
                  <w:pPr>
                    <w:spacing w:line="0" w:lineRule="atLeast"/>
                    <w:jc w:val="center"/>
                    <w:rPr>
                      <w:kern w:val="0"/>
                      <w:szCs w:val="21"/>
                    </w:rPr>
                  </w:pPr>
                </w:p>
              </w:tc>
              <w:tc>
                <w:tcPr>
                  <w:tcW w:w="712" w:type="pct"/>
                  <w:vAlign w:val="center"/>
                </w:tcPr>
                <w:p>
                  <w:pPr>
                    <w:spacing w:line="0" w:lineRule="atLeast"/>
                    <w:jc w:val="center"/>
                    <w:rPr>
                      <w:kern w:val="0"/>
                      <w:szCs w:val="21"/>
                    </w:rPr>
                  </w:pPr>
                  <w:r>
                    <w:rPr>
                      <w:kern w:val="0"/>
                      <w:szCs w:val="21"/>
                    </w:rPr>
                    <w:t>北厂界</w:t>
                  </w:r>
                </w:p>
              </w:tc>
              <w:tc>
                <w:tcPr>
                  <w:tcW w:w="1469" w:type="dxa"/>
                  <w:vAlign w:val="center"/>
                </w:tcPr>
                <w:p>
                  <w:pPr>
                    <w:widowControl/>
                    <w:jc w:val="center"/>
                    <w:rPr>
                      <w:szCs w:val="21"/>
                    </w:rPr>
                  </w:pPr>
                  <w:r>
                    <w:rPr>
                      <w:szCs w:val="21"/>
                    </w:rPr>
                    <w:t>40.57</w:t>
                  </w:r>
                </w:p>
              </w:tc>
              <w:tc>
                <w:tcPr>
                  <w:tcW w:w="572" w:type="pct"/>
                  <w:vAlign w:val="center"/>
                </w:tcPr>
                <w:p>
                  <w:pPr>
                    <w:widowControl/>
                    <w:jc w:val="center"/>
                    <w:rPr>
                      <w:szCs w:val="21"/>
                    </w:rPr>
                  </w:pPr>
                  <w:r>
                    <w:rPr>
                      <w:rFonts w:hint="eastAsia"/>
                      <w:szCs w:val="21"/>
                    </w:rPr>
                    <w:t>55</w:t>
                  </w:r>
                </w:p>
              </w:tc>
              <w:tc>
                <w:tcPr>
                  <w:tcW w:w="1469" w:type="dxa"/>
                  <w:vAlign w:val="center"/>
                </w:tcPr>
                <w:p>
                  <w:pPr>
                    <w:widowControl/>
                    <w:jc w:val="center"/>
                    <w:rPr>
                      <w:szCs w:val="21"/>
                    </w:rPr>
                  </w:pPr>
                  <w:r>
                    <w:rPr>
                      <w:szCs w:val="21"/>
                    </w:rPr>
                    <w:t>40.57</w:t>
                  </w:r>
                </w:p>
              </w:tc>
              <w:tc>
                <w:tcPr>
                  <w:tcW w:w="572" w:type="pct"/>
                  <w:vAlign w:val="center"/>
                </w:tcPr>
                <w:p>
                  <w:pPr>
                    <w:widowControl/>
                    <w:jc w:val="center"/>
                    <w:rPr>
                      <w:szCs w:val="21"/>
                    </w:rPr>
                  </w:pPr>
                  <w:r>
                    <w:rPr>
                      <w:rFonts w:hint="eastAsia"/>
                      <w:szCs w:val="21"/>
                    </w:rPr>
                    <w:t>45</w:t>
                  </w:r>
                </w:p>
              </w:tc>
              <w:tc>
                <w:tcPr>
                  <w:tcW w:w="714" w:type="pct"/>
                  <w:vAlign w:val="center"/>
                </w:tcPr>
                <w:p>
                  <w:pPr>
                    <w:widowControl/>
                    <w:jc w:val="center"/>
                    <w:rPr>
                      <w:kern w:val="0"/>
                      <w:szCs w:val="21"/>
                    </w:rPr>
                  </w:pPr>
                  <w:r>
                    <w:rPr>
                      <w:rFonts w:hint="eastAsia"/>
                      <w:kern w:val="0"/>
                      <w:szCs w:val="21"/>
                    </w:rPr>
                    <w:t>达标</w:t>
                  </w:r>
                </w:p>
              </w:tc>
            </w:tr>
          </w:tbl>
          <w:p>
            <w:pPr>
              <w:numPr>
                <w:ilvl w:val="0"/>
                <w:numId w:val="9"/>
              </w:numPr>
              <w:adjustRightInd w:val="0"/>
              <w:spacing w:before="120" w:beforeLines="50" w:after="120" w:afterLines="50"/>
              <w:ind w:left="0" w:firstLine="0"/>
              <w:jc w:val="center"/>
              <w:rPr>
                <w:b/>
                <w:bCs/>
                <w:szCs w:val="21"/>
              </w:rPr>
            </w:pPr>
            <w:r>
              <w:rPr>
                <w:rFonts w:hint="eastAsia"/>
                <w:b/>
                <w:bCs/>
                <w:szCs w:val="21"/>
              </w:rPr>
              <w:t>本项目声环境保护目标噪声预测结果与达标分析表  单位： dB（A）</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528"/>
              <w:gridCol w:w="667"/>
              <w:gridCol w:w="582"/>
              <w:gridCol w:w="627"/>
              <w:gridCol w:w="624"/>
              <w:gridCol w:w="807"/>
              <w:gridCol w:w="651"/>
              <w:gridCol w:w="575"/>
              <w:gridCol w:w="651"/>
              <w:gridCol w:w="575"/>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35" w:type="pct"/>
                  <w:vMerge w:val="restar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点位</w:t>
                  </w:r>
                </w:p>
              </w:tc>
              <w:tc>
                <w:tcPr>
                  <w:tcW w:w="704" w:type="pct"/>
                  <w:gridSpan w:val="2"/>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rFonts w:hint="eastAsia"/>
                      <w:b/>
                      <w:bCs/>
                      <w:szCs w:val="21"/>
                    </w:rPr>
                    <w:t>噪声</w:t>
                  </w:r>
                  <w:r>
                    <w:rPr>
                      <w:b/>
                      <w:bCs/>
                      <w:szCs w:val="21"/>
                    </w:rPr>
                    <w:t>现状值</w:t>
                  </w:r>
                </w:p>
              </w:tc>
              <w:tc>
                <w:tcPr>
                  <w:tcW w:w="713" w:type="pct"/>
                  <w:gridSpan w:val="2"/>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rFonts w:hint="eastAsia"/>
                      <w:b/>
                      <w:bCs/>
                      <w:szCs w:val="21"/>
                    </w:rPr>
                    <w:t>噪声</w:t>
                  </w:r>
                  <w:r>
                    <w:rPr>
                      <w:b/>
                      <w:bCs/>
                      <w:szCs w:val="21"/>
                    </w:rPr>
                    <w:t>标准</w:t>
                  </w:r>
                </w:p>
              </w:tc>
              <w:tc>
                <w:tcPr>
                  <w:tcW w:w="844" w:type="pct"/>
                  <w:gridSpan w:val="2"/>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rFonts w:hint="eastAsia"/>
                      <w:b/>
                      <w:bCs/>
                      <w:szCs w:val="21"/>
                    </w:rPr>
                    <w:t>噪声</w:t>
                  </w:r>
                  <w:r>
                    <w:rPr>
                      <w:b/>
                      <w:bCs/>
                      <w:szCs w:val="21"/>
                    </w:rPr>
                    <w:t>贡献值</w:t>
                  </w:r>
                </w:p>
              </w:tc>
              <w:tc>
                <w:tcPr>
                  <w:tcW w:w="723" w:type="pct"/>
                  <w:gridSpan w:val="2"/>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rFonts w:hint="eastAsia"/>
                      <w:b/>
                      <w:bCs/>
                      <w:szCs w:val="21"/>
                    </w:rPr>
                    <w:t>噪声</w:t>
                  </w:r>
                  <w:r>
                    <w:rPr>
                      <w:b/>
                      <w:bCs/>
                      <w:szCs w:val="21"/>
                    </w:rPr>
                    <w:t>预测值</w:t>
                  </w:r>
                </w:p>
              </w:tc>
              <w:tc>
                <w:tcPr>
                  <w:tcW w:w="723" w:type="pct"/>
                  <w:gridSpan w:val="2"/>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rFonts w:hint="eastAsia"/>
                      <w:b/>
                      <w:bCs/>
                      <w:szCs w:val="21"/>
                    </w:rPr>
                    <w:t>较现状增量</w:t>
                  </w:r>
                </w:p>
              </w:tc>
              <w:tc>
                <w:tcPr>
                  <w:tcW w:w="354" w:type="pct"/>
                  <w:vMerge w:val="restar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35" w:type="pct"/>
                  <w:vMerge w:val="continue"/>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p>
              </w:tc>
              <w:tc>
                <w:tcPr>
                  <w:tcW w:w="311"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昼间</w:t>
                  </w:r>
                </w:p>
              </w:tc>
              <w:tc>
                <w:tcPr>
                  <w:tcW w:w="393"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夜间</w:t>
                  </w:r>
                </w:p>
              </w:tc>
              <w:tc>
                <w:tcPr>
                  <w:tcW w:w="343"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昼间</w:t>
                  </w:r>
                </w:p>
              </w:tc>
              <w:tc>
                <w:tcPr>
                  <w:tcW w:w="370"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夜间</w:t>
                  </w:r>
                </w:p>
              </w:tc>
              <w:tc>
                <w:tcPr>
                  <w:tcW w:w="368"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昼间</w:t>
                  </w:r>
                </w:p>
              </w:tc>
              <w:tc>
                <w:tcPr>
                  <w:tcW w:w="476"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夜间</w:t>
                  </w:r>
                </w:p>
              </w:tc>
              <w:tc>
                <w:tcPr>
                  <w:tcW w:w="384"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昼间</w:t>
                  </w:r>
                </w:p>
              </w:tc>
              <w:tc>
                <w:tcPr>
                  <w:tcW w:w="338"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夜间</w:t>
                  </w:r>
                </w:p>
              </w:tc>
              <w:tc>
                <w:tcPr>
                  <w:tcW w:w="384"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昼间</w:t>
                  </w:r>
                </w:p>
              </w:tc>
              <w:tc>
                <w:tcPr>
                  <w:tcW w:w="338" w:type="pct"/>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szCs w:val="21"/>
                    </w:rPr>
                  </w:pPr>
                  <w:r>
                    <w:rPr>
                      <w:b/>
                      <w:bCs/>
                      <w:szCs w:val="21"/>
                    </w:rPr>
                    <w:t>夜间</w:t>
                  </w:r>
                </w:p>
              </w:tc>
              <w:tc>
                <w:tcPr>
                  <w:tcW w:w="354" w:type="pct"/>
                  <w:vMerge w:val="continue"/>
                  <w:vAlign w:val="center"/>
                </w:tcPr>
                <w:p>
                  <w:pPr>
                    <w:adjustRightInd w:val="0"/>
                    <w:snapToGrid w:val="0"/>
                    <w:jc w:val="center"/>
                    <w:textAlignment w:val="bottom"/>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35" w:type="pct"/>
                  <w:vAlign w:val="center"/>
                </w:tcPr>
                <w:p>
                  <w:pPr>
                    <w:adjustRightInd w:val="0"/>
                    <w:snapToGrid w:val="0"/>
                    <w:jc w:val="center"/>
                    <w:textAlignment w:val="bottom"/>
                    <w:rPr>
                      <w:szCs w:val="21"/>
                    </w:rPr>
                  </w:pPr>
                  <w:r>
                    <w:rPr>
                      <w:rFonts w:hint="eastAsia"/>
                      <w:szCs w:val="21"/>
                    </w:rPr>
                    <w:t>方舱医院</w:t>
                  </w:r>
                </w:p>
              </w:tc>
              <w:tc>
                <w:tcPr>
                  <w:tcW w:w="311" w:type="pct"/>
                  <w:vAlign w:val="center"/>
                </w:tcPr>
                <w:p>
                  <w:pPr>
                    <w:adjustRightInd w:val="0"/>
                    <w:snapToGrid w:val="0"/>
                    <w:jc w:val="center"/>
                    <w:textAlignment w:val="bottom"/>
                    <w:rPr>
                      <w:color w:val="FF0000"/>
                      <w:szCs w:val="21"/>
                    </w:rPr>
                  </w:pPr>
                  <w:r>
                    <w:rPr>
                      <w:rFonts w:hint="eastAsia"/>
                      <w:szCs w:val="21"/>
                    </w:rPr>
                    <w:t>49.9</w:t>
                  </w:r>
                </w:p>
              </w:tc>
              <w:tc>
                <w:tcPr>
                  <w:tcW w:w="393" w:type="pct"/>
                  <w:vAlign w:val="center"/>
                </w:tcPr>
                <w:p>
                  <w:pPr>
                    <w:adjustRightInd w:val="0"/>
                    <w:snapToGrid w:val="0"/>
                    <w:jc w:val="center"/>
                    <w:textAlignment w:val="bottom"/>
                    <w:rPr>
                      <w:color w:val="FF0000"/>
                      <w:szCs w:val="21"/>
                    </w:rPr>
                  </w:pPr>
                  <w:r>
                    <w:rPr>
                      <w:rFonts w:hint="eastAsia"/>
                      <w:szCs w:val="21"/>
                    </w:rPr>
                    <w:t>39.4</w:t>
                  </w:r>
                </w:p>
              </w:tc>
              <w:tc>
                <w:tcPr>
                  <w:tcW w:w="343" w:type="pct"/>
                  <w:vAlign w:val="center"/>
                </w:tcPr>
                <w:p>
                  <w:pPr>
                    <w:adjustRightInd w:val="0"/>
                    <w:snapToGrid w:val="0"/>
                    <w:jc w:val="center"/>
                    <w:textAlignment w:val="bottom"/>
                    <w:rPr>
                      <w:szCs w:val="21"/>
                    </w:rPr>
                  </w:pPr>
                  <w:r>
                    <w:rPr>
                      <w:rFonts w:hint="eastAsia"/>
                      <w:szCs w:val="21"/>
                    </w:rPr>
                    <w:t>55</w:t>
                  </w:r>
                </w:p>
              </w:tc>
              <w:tc>
                <w:tcPr>
                  <w:tcW w:w="370" w:type="pct"/>
                  <w:vAlign w:val="center"/>
                </w:tcPr>
                <w:p>
                  <w:pPr>
                    <w:adjustRightInd w:val="0"/>
                    <w:snapToGrid w:val="0"/>
                    <w:jc w:val="center"/>
                    <w:textAlignment w:val="bottom"/>
                    <w:rPr>
                      <w:szCs w:val="21"/>
                    </w:rPr>
                  </w:pPr>
                  <w:r>
                    <w:rPr>
                      <w:rFonts w:hint="eastAsia"/>
                      <w:szCs w:val="21"/>
                    </w:rPr>
                    <w:t>45</w:t>
                  </w:r>
                </w:p>
              </w:tc>
              <w:tc>
                <w:tcPr>
                  <w:tcW w:w="368" w:type="pct"/>
                  <w:vAlign w:val="center"/>
                </w:tcPr>
                <w:p>
                  <w:pPr>
                    <w:adjustRightInd w:val="0"/>
                    <w:snapToGrid w:val="0"/>
                    <w:jc w:val="center"/>
                    <w:textAlignment w:val="bottom"/>
                    <w:rPr>
                      <w:szCs w:val="21"/>
                    </w:rPr>
                  </w:pPr>
                  <w:r>
                    <w:rPr>
                      <w:rFonts w:hint="eastAsia"/>
                      <w:szCs w:val="21"/>
                    </w:rPr>
                    <w:t>33.49</w:t>
                  </w:r>
                </w:p>
              </w:tc>
              <w:tc>
                <w:tcPr>
                  <w:tcW w:w="476" w:type="pct"/>
                  <w:vAlign w:val="center"/>
                </w:tcPr>
                <w:p>
                  <w:pPr>
                    <w:adjustRightInd w:val="0"/>
                    <w:snapToGrid w:val="0"/>
                    <w:jc w:val="center"/>
                    <w:textAlignment w:val="bottom"/>
                    <w:rPr>
                      <w:szCs w:val="21"/>
                    </w:rPr>
                  </w:pPr>
                  <w:r>
                    <w:rPr>
                      <w:rFonts w:hint="eastAsia"/>
                      <w:szCs w:val="21"/>
                    </w:rPr>
                    <w:t>33.49</w:t>
                  </w:r>
                </w:p>
              </w:tc>
              <w:tc>
                <w:tcPr>
                  <w:tcW w:w="384" w:type="pct"/>
                  <w:vAlign w:val="center"/>
                </w:tcPr>
                <w:p>
                  <w:pPr>
                    <w:adjustRightInd w:val="0"/>
                    <w:snapToGrid w:val="0"/>
                    <w:textAlignment w:val="bottom"/>
                    <w:rPr>
                      <w:szCs w:val="21"/>
                    </w:rPr>
                  </w:pPr>
                  <w:r>
                    <w:rPr>
                      <w:rFonts w:hint="eastAsia"/>
                      <w:szCs w:val="21"/>
                    </w:rPr>
                    <w:t>50.00</w:t>
                  </w:r>
                </w:p>
              </w:tc>
              <w:tc>
                <w:tcPr>
                  <w:tcW w:w="338" w:type="pct"/>
                  <w:vAlign w:val="center"/>
                </w:tcPr>
                <w:p>
                  <w:pPr>
                    <w:adjustRightInd w:val="0"/>
                    <w:snapToGrid w:val="0"/>
                    <w:jc w:val="center"/>
                    <w:textAlignment w:val="bottom"/>
                    <w:rPr>
                      <w:szCs w:val="21"/>
                    </w:rPr>
                  </w:pPr>
                  <w:r>
                    <w:rPr>
                      <w:rFonts w:hint="eastAsia"/>
                      <w:szCs w:val="21"/>
                    </w:rPr>
                    <w:t>40.39</w:t>
                  </w:r>
                </w:p>
              </w:tc>
              <w:tc>
                <w:tcPr>
                  <w:tcW w:w="670" w:type="dxa"/>
                  <w:vAlign w:val="center"/>
                </w:tcPr>
                <w:p>
                  <w:pPr>
                    <w:widowControl/>
                    <w:spacing w:line="240" w:lineRule="atLeast"/>
                    <w:jc w:val="center"/>
                    <w:textAlignment w:val="center"/>
                    <w:rPr>
                      <w:szCs w:val="21"/>
                    </w:rPr>
                  </w:pPr>
                  <w:r>
                    <w:rPr>
                      <w:kern w:val="0"/>
                      <w:szCs w:val="21"/>
                      <w:lang w:bidi="ar"/>
                    </w:rPr>
                    <w:t>0.01</w:t>
                  </w:r>
                </w:p>
              </w:tc>
              <w:tc>
                <w:tcPr>
                  <w:tcW w:w="590" w:type="dxa"/>
                  <w:vAlign w:val="center"/>
                </w:tcPr>
                <w:p>
                  <w:pPr>
                    <w:widowControl/>
                    <w:spacing w:line="240" w:lineRule="atLeast"/>
                    <w:jc w:val="center"/>
                    <w:textAlignment w:val="center"/>
                    <w:rPr>
                      <w:szCs w:val="21"/>
                    </w:rPr>
                  </w:pPr>
                  <w:r>
                    <w:rPr>
                      <w:kern w:val="0"/>
                      <w:szCs w:val="21"/>
                      <w:lang w:bidi="ar"/>
                    </w:rPr>
                    <w:t>0.</w:t>
                  </w:r>
                  <w:r>
                    <w:rPr>
                      <w:rFonts w:hint="eastAsia"/>
                      <w:kern w:val="0"/>
                      <w:szCs w:val="21"/>
                      <w:lang w:bidi="ar"/>
                    </w:rPr>
                    <w:t>99</w:t>
                  </w:r>
                </w:p>
              </w:tc>
              <w:tc>
                <w:tcPr>
                  <w:tcW w:w="354" w:type="pct"/>
                  <w:vAlign w:val="center"/>
                </w:tcPr>
                <w:p>
                  <w:pPr>
                    <w:adjustRightInd w:val="0"/>
                    <w:snapToGrid w:val="0"/>
                    <w:jc w:val="center"/>
                    <w:textAlignment w:val="bottom"/>
                    <w:rPr>
                      <w:szCs w:val="21"/>
                    </w:rPr>
                  </w:pPr>
                  <w:r>
                    <w:rPr>
                      <w:szCs w:val="21"/>
                    </w:rPr>
                    <w:t>达标</w:t>
                  </w:r>
                </w:p>
              </w:tc>
            </w:tr>
          </w:tbl>
          <w:p>
            <w:pPr>
              <w:spacing w:before="120" w:beforeLines="50" w:line="360" w:lineRule="auto"/>
              <w:ind w:firstLine="480" w:firstLineChars="200"/>
              <w:rPr>
                <w:sz w:val="24"/>
              </w:rPr>
            </w:pPr>
            <w:r>
              <w:rPr>
                <w:rFonts w:hint="eastAsia"/>
                <w:sz w:val="24"/>
              </w:rPr>
              <w:t>绘制噪声预测等声级线图如下图所示。</w:t>
            </w:r>
          </w:p>
          <w:p>
            <w:pPr>
              <w:spacing w:line="360" w:lineRule="auto"/>
              <w:jc w:val="center"/>
              <w:rPr>
                <w:rFonts w:hint="eastAsia" w:eastAsia="宋体"/>
                <w:color w:val="FF0000"/>
                <w:sz w:val="24"/>
                <w:lang w:eastAsia="zh-CN"/>
              </w:rPr>
            </w:pPr>
            <w:r>
              <w:rPr>
                <w:rFonts w:hint="eastAsia" w:eastAsia="宋体"/>
                <w:color w:val="FF0000"/>
                <w:sz w:val="24"/>
                <w:lang w:eastAsia="zh-CN"/>
              </w:rPr>
              <w:drawing>
                <wp:inline distT="0" distB="0" distL="114300" distR="114300">
                  <wp:extent cx="5379085" cy="2858770"/>
                  <wp:effectExtent l="0" t="0" r="12065" b="17780"/>
                  <wp:docPr id="10" name="图片 10" descr="15074ED5-A915-45b5-8F3F-F403C60FB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074ED5-A915-45b5-8F3F-F403C60FB42C"/>
                          <pic:cNvPicPr>
                            <a:picLocks noChangeAspect="1"/>
                          </pic:cNvPicPr>
                        </pic:nvPicPr>
                        <pic:blipFill>
                          <a:blip r:embed="rId15"/>
                          <a:stretch>
                            <a:fillRect/>
                          </a:stretch>
                        </pic:blipFill>
                        <pic:spPr>
                          <a:xfrm>
                            <a:off x="0" y="0"/>
                            <a:ext cx="5379085" cy="2858770"/>
                          </a:xfrm>
                          <a:prstGeom prst="rect">
                            <a:avLst/>
                          </a:prstGeom>
                        </pic:spPr>
                      </pic:pic>
                    </a:graphicData>
                  </a:graphic>
                </wp:inline>
              </w:drawing>
            </w:r>
          </w:p>
          <w:p>
            <w:pPr>
              <w:pStyle w:val="54"/>
              <w:numPr>
                <w:ilvl w:val="0"/>
                <w:numId w:val="10"/>
              </w:numPr>
              <w:spacing w:line="360" w:lineRule="auto"/>
              <w:ind w:firstLineChars="0"/>
              <w:jc w:val="center"/>
            </w:pPr>
            <w:r>
              <w:rPr>
                <w:rFonts w:eastAsia="宋体"/>
                <w:b/>
                <w:bCs/>
                <w:sz w:val="21"/>
              </w:rPr>
              <w:t>项目</w:t>
            </w:r>
            <w:r>
              <w:rPr>
                <w:rFonts w:hint="eastAsia" w:eastAsia="宋体"/>
                <w:b/>
                <w:bCs/>
                <w:sz w:val="21"/>
              </w:rPr>
              <w:t>运行阶段昼间</w:t>
            </w:r>
            <w:r>
              <w:rPr>
                <w:rFonts w:eastAsia="宋体"/>
                <w:b/>
                <w:bCs/>
                <w:sz w:val="21"/>
              </w:rPr>
              <w:t>噪声贡献值等值线图</w:t>
            </w:r>
          </w:p>
          <w:p>
            <w:pPr>
              <w:spacing w:line="360" w:lineRule="auto"/>
              <w:ind w:firstLine="482"/>
              <w:rPr>
                <w:sz w:val="24"/>
              </w:rPr>
            </w:pPr>
            <w:r>
              <w:rPr>
                <w:sz w:val="24"/>
              </w:rPr>
              <w:t>根据</w:t>
            </w:r>
            <w:r>
              <w:rPr>
                <w:rFonts w:hint="eastAsia"/>
                <w:sz w:val="24"/>
              </w:rPr>
              <w:t>上述预测</w:t>
            </w:r>
            <w:r>
              <w:rPr>
                <w:sz w:val="24"/>
              </w:rPr>
              <w:t>结果知，项目</w:t>
            </w:r>
            <w:r>
              <w:rPr>
                <w:rFonts w:hint="eastAsia"/>
                <w:sz w:val="24"/>
              </w:rPr>
              <w:t>定点医院的</w:t>
            </w:r>
            <w:r>
              <w:rPr>
                <w:sz w:val="24"/>
              </w:rPr>
              <w:t>四</w:t>
            </w:r>
            <w:r>
              <w:rPr>
                <w:rFonts w:hint="eastAsia"/>
                <w:sz w:val="24"/>
              </w:rPr>
              <w:t>侧</w:t>
            </w:r>
            <w:r>
              <w:rPr>
                <w:sz w:val="24"/>
              </w:rPr>
              <w:t>厂界</w:t>
            </w:r>
            <w:r>
              <w:rPr>
                <w:rFonts w:hint="eastAsia"/>
                <w:sz w:val="24"/>
              </w:rPr>
              <w:t>和东侧方舱医院</w:t>
            </w:r>
            <w:r>
              <w:rPr>
                <w:sz w:val="24"/>
              </w:rPr>
              <w:t>噪声贡献值</w:t>
            </w:r>
            <w:r>
              <w:rPr>
                <w:rFonts w:hint="eastAsia"/>
                <w:sz w:val="24"/>
              </w:rPr>
              <w:t>均</w:t>
            </w:r>
            <w:r>
              <w:rPr>
                <w:sz w:val="24"/>
              </w:rPr>
              <w:t>符合《工业企业厂界环境噪声排放标准》（GB12348-2008）中</w:t>
            </w:r>
            <w:r>
              <w:rPr>
                <w:rFonts w:hint="eastAsia"/>
                <w:sz w:val="24"/>
              </w:rPr>
              <w:t>1</w:t>
            </w:r>
            <w:r>
              <w:rPr>
                <w:sz w:val="24"/>
              </w:rPr>
              <w:t>类区标准要求</w:t>
            </w:r>
            <w:r>
              <w:rPr>
                <w:rFonts w:hint="eastAsia"/>
                <w:sz w:val="24"/>
              </w:rPr>
              <w:t>，项目的厂界噪声为达标排放。</w:t>
            </w:r>
          </w:p>
          <w:p>
            <w:pPr>
              <w:spacing w:line="360" w:lineRule="auto"/>
              <w:ind w:firstLine="480"/>
              <w:rPr>
                <w:b/>
                <w:sz w:val="24"/>
              </w:rPr>
            </w:pPr>
            <w:r>
              <w:rPr>
                <w:rFonts w:hint="eastAsia"/>
                <w:b/>
                <w:sz w:val="24"/>
              </w:rPr>
              <w:t>（</w:t>
            </w:r>
            <w:r>
              <w:rPr>
                <w:b/>
                <w:sz w:val="24"/>
              </w:rPr>
              <w:t>3</w:t>
            </w:r>
            <w:r>
              <w:rPr>
                <w:rFonts w:hint="eastAsia"/>
                <w:b/>
                <w:sz w:val="24"/>
              </w:rPr>
              <w:t>）监测要求</w:t>
            </w:r>
          </w:p>
          <w:p>
            <w:pPr>
              <w:autoSpaceDE w:val="0"/>
              <w:adjustRightInd w:val="0"/>
              <w:snapToGrid w:val="0"/>
              <w:spacing w:line="360" w:lineRule="auto"/>
              <w:ind w:firstLine="480"/>
              <w:rPr>
                <w:color w:val="000000"/>
                <w:sz w:val="24"/>
                <w:szCs w:val="21"/>
              </w:rPr>
            </w:pPr>
            <w:r>
              <w:rPr>
                <w:rFonts w:ascii="宋体" w:hAnsi="宋体"/>
                <w:color w:val="000000"/>
                <w:sz w:val="24"/>
                <w:szCs w:val="21"/>
              </w:rPr>
              <w:t>项目</w:t>
            </w:r>
            <w:r>
              <w:rPr>
                <w:rFonts w:hint="eastAsia" w:ascii="宋体" w:hAnsi="宋体"/>
                <w:color w:val="000000"/>
                <w:sz w:val="24"/>
                <w:szCs w:val="21"/>
              </w:rPr>
              <w:t>噪声源</w:t>
            </w:r>
            <w:r>
              <w:rPr>
                <w:rFonts w:ascii="宋体" w:hAnsi="宋体"/>
                <w:color w:val="000000"/>
                <w:sz w:val="24"/>
                <w:szCs w:val="21"/>
              </w:rPr>
              <w:t>监测要求详见下表：</w:t>
            </w:r>
          </w:p>
          <w:p>
            <w:pPr>
              <w:numPr>
                <w:ilvl w:val="0"/>
                <w:numId w:val="9"/>
              </w:numPr>
              <w:adjustRightInd w:val="0"/>
              <w:spacing w:before="120" w:beforeLines="50" w:after="120" w:afterLines="50"/>
              <w:ind w:left="0" w:firstLine="0"/>
              <w:jc w:val="center"/>
              <w:rPr>
                <w:b/>
                <w:bCs/>
                <w:szCs w:val="21"/>
              </w:rPr>
            </w:pPr>
            <w:r>
              <w:rPr>
                <w:rFonts w:hint="eastAsia"/>
                <w:b/>
                <w:bCs/>
                <w:szCs w:val="21"/>
              </w:rPr>
              <w:t>项目噪声监测要求一览表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373"/>
              <w:gridCol w:w="1152"/>
              <w:gridCol w:w="1165"/>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环境要素</w:t>
                  </w:r>
                </w:p>
              </w:tc>
              <w:tc>
                <w:tcPr>
                  <w:tcW w:w="1350" w:type="dxa"/>
                  <w:tcBorders>
                    <w:top w:val="single" w:color="auto" w:sz="4" w:space="0"/>
                    <w:left w:val="nil"/>
                    <w:bottom w:val="single" w:color="auto" w:sz="4" w:space="0"/>
                    <w:right w:val="single" w:color="auto" w:sz="4" w:space="0"/>
                  </w:tcBorders>
                  <w:vAlign w:val="center"/>
                </w:tcPr>
                <w:p>
                  <w:pPr>
                    <w:jc w:val="center"/>
                    <w:rPr>
                      <w:b/>
                      <w:color w:val="000000"/>
                      <w:szCs w:val="21"/>
                    </w:rPr>
                  </w:pPr>
                  <w:r>
                    <w:rPr>
                      <w:b/>
                      <w:color w:val="000000"/>
                      <w:szCs w:val="21"/>
                    </w:rPr>
                    <w:t>监测位置</w:t>
                  </w:r>
                </w:p>
              </w:tc>
              <w:tc>
                <w:tcPr>
                  <w:tcW w:w="1132" w:type="dxa"/>
                  <w:tcBorders>
                    <w:top w:val="single" w:color="auto" w:sz="4" w:space="0"/>
                    <w:left w:val="nil"/>
                    <w:bottom w:val="single" w:color="auto" w:sz="4" w:space="0"/>
                    <w:right w:val="single" w:color="auto" w:sz="4" w:space="0"/>
                  </w:tcBorders>
                  <w:vAlign w:val="center"/>
                </w:tcPr>
                <w:p>
                  <w:pPr>
                    <w:jc w:val="center"/>
                    <w:rPr>
                      <w:b/>
                      <w:color w:val="000000"/>
                      <w:szCs w:val="21"/>
                    </w:rPr>
                  </w:pPr>
                  <w:r>
                    <w:rPr>
                      <w:b/>
                      <w:color w:val="000000"/>
                      <w:szCs w:val="21"/>
                    </w:rPr>
                    <w:t>监测项目</w:t>
                  </w:r>
                </w:p>
              </w:tc>
              <w:tc>
                <w:tcPr>
                  <w:tcW w:w="1145" w:type="dxa"/>
                  <w:tcBorders>
                    <w:top w:val="single" w:color="auto" w:sz="4" w:space="0"/>
                    <w:left w:val="nil"/>
                    <w:bottom w:val="single" w:color="auto" w:sz="4" w:space="0"/>
                    <w:right w:val="single" w:color="auto" w:sz="4" w:space="0"/>
                  </w:tcBorders>
                  <w:vAlign w:val="center"/>
                </w:tcPr>
                <w:p>
                  <w:pPr>
                    <w:jc w:val="center"/>
                    <w:rPr>
                      <w:b/>
                      <w:color w:val="000000"/>
                      <w:szCs w:val="21"/>
                    </w:rPr>
                  </w:pPr>
                  <w:r>
                    <w:rPr>
                      <w:b/>
                      <w:color w:val="000000"/>
                      <w:szCs w:val="21"/>
                    </w:rPr>
                    <w:t>频次</w:t>
                  </w:r>
                </w:p>
              </w:tc>
              <w:tc>
                <w:tcPr>
                  <w:tcW w:w="3602" w:type="dxa"/>
                  <w:tcBorders>
                    <w:top w:val="single" w:color="auto" w:sz="4" w:space="0"/>
                    <w:left w:val="nil"/>
                    <w:bottom w:val="single" w:color="auto" w:sz="4" w:space="0"/>
                    <w:right w:val="single" w:color="auto" w:sz="4" w:space="0"/>
                  </w:tcBorders>
                  <w:vAlign w:val="center"/>
                </w:tcPr>
                <w:p>
                  <w:pPr>
                    <w:jc w:val="center"/>
                    <w:rPr>
                      <w:b/>
                      <w:color w:val="000000"/>
                      <w:szCs w:val="21"/>
                    </w:rPr>
                  </w:pPr>
                  <w:r>
                    <w:rPr>
                      <w:b/>
                      <w:color w:val="00000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噪声</w:t>
                  </w:r>
                </w:p>
              </w:tc>
              <w:tc>
                <w:tcPr>
                  <w:tcW w:w="1350" w:type="dxa"/>
                  <w:tcBorders>
                    <w:top w:val="single" w:color="auto" w:sz="4" w:space="0"/>
                    <w:left w:val="nil"/>
                    <w:bottom w:val="single" w:color="auto" w:sz="4" w:space="0"/>
                    <w:right w:val="single" w:color="auto" w:sz="4" w:space="0"/>
                  </w:tcBorders>
                  <w:vAlign w:val="center"/>
                </w:tcPr>
                <w:p>
                  <w:pPr>
                    <w:jc w:val="center"/>
                    <w:rPr>
                      <w:color w:val="000000"/>
                      <w:szCs w:val="21"/>
                    </w:rPr>
                  </w:pPr>
                  <w:r>
                    <w:rPr>
                      <w:rFonts w:hint="eastAsia"/>
                      <w:color w:val="000000"/>
                      <w:szCs w:val="21"/>
                    </w:rPr>
                    <w:t>定点医院的</w:t>
                  </w:r>
                  <w:r>
                    <w:rPr>
                      <w:color w:val="000000"/>
                      <w:szCs w:val="21"/>
                    </w:rPr>
                    <w:t>四厂界外1m处</w:t>
                  </w:r>
                  <w:r>
                    <w:rPr>
                      <w:rFonts w:hint="eastAsia"/>
                      <w:color w:val="000000"/>
                      <w:szCs w:val="21"/>
                    </w:rPr>
                    <w:t>和东侧方舱医院</w:t>
                  </w:r>
                </w:p>
              </w:tc>
              <w:tc>
                <w:tcPr>
                  <w:tcW w:w="1132"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Leq</w:t>
                  </w:r>
                </w:p>
              </w:tc>
              <w:tc>
                <w:tcPr>
                  <w:tcW w:w="1145" w:type="dxa"/>
                  <w:tcBorders>
                    <w:top w:val="single" w:color="auto" w:sz="4" w:space="0"/>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w:t>
                  </w:r>
                  <w:r>
                    <w:rPr>
                      <w:rFonts w:hint="eastAsia"/>
                      <w:color w:val="000000" w:themeColor="text1"/>
                      <w:szCs w:val="21"/>
                      <w14:textFill>
                        <w14:solidFill>
                          <w14:schemeClr w14:val="tx1"/>
                        </w14:solidFill>
                      </w14:textFill>
                    </w:rPr>
                    <w:t>季度</w:t>
                  </w:r>
                </w:p>
                <w:p>
                  <w:pPr>
                    <w:jc w:val="center"/>
                    <w:rPr>
                      <w:color w:val="000000"/>
                      <w:szCs w:val="21"/>
                    </w:rPr>
                  </w:pPr>
                  <w:r>
                    <w:rPr>
                      <w:color w:val="000000" w:themeColor="text1"/>
                      <w:szCs w:val="21"/>
                      <w14:textFill>
                        <w14:solidFill>
                          <w14:schemeClr w14:val="tx1"/>
                        </w14:solidFill>
                      </w14:textFill>
                    </w:rPr>
                    <w:t>一次</w:t>
                  </w:r>
                </w:p>
              </w:tc>
              <w:tc>
                <w:tcPr>
                  <w:tcW w:w="3602"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《工业企业厂界环境噪声排放标准》（GB12348-2008）中</w:t>
                  </w:r>
                  <w:r>
                    <w:rPr>
                      <w:rFonts w:hint="eastAsia"/>
                      <w:color w:val="000000"/>
                      <w:szCs w:val="21"/>
                    </w:rPr>
                    <w:t>1</w:t>
                  </w:r>
                  <w:r>
                    <w:rPr>
                      <w:color w:val="000000"/>
                      <w:szCs w:val="21"/>
                    </w:rPr>
                    <w:t>类区标准要求</w:t>
                  </w:r>
                </w:p>
              </w:tc>
            </w:tr>
          </w:tbl>
          <w:p>
            <w:pPr>
              <w:adjustRightInd w:val="0"/>
              <w:snapToGrid w:val="0"/>
              <w:ind w:firstLine="482" w:firstLineChars="200"/>
              <w:rPr>
                <w:b/>
                <w:sz w:val="24"/>
              </w:rPr>
            </w:pPr>
            <w:r>
              <w:rPr>
                <w:b/>
                <w:sz w:val="24"/>
              </w:rPr>
              <w:t>4．</w:t>
            </w:r>
            <w:r>
              <w:rPr>
                <w:rFonts w:hint="eastAsia"/>
                <w:b/>
                <w:sz w:val="24"/>
              </w:rPr>
              <w:t>固体废物环境影响和处置措施</w:t>
            </w:r>
          </w:p>
          <w:p>
            <w:pPr>
              <w:spacing w:line="360" w:lineRule="auto"/>
              <w:ind w:firstLine="482"/>
              <w:rPr>
                <w:sz w:val="24"/>
              </w:rPr>
            </w:pPr>
            <w:r>
              <w:rPr>
                <w:rFonts w:hint="eastAsia"/>
                <w:sz w:val="24"/>
              </w:rPr>
              <w:t>项目运营期产生的固体废物主要为危险废物，包括医疗废物、感染类生活垃圾和通风系统废滤材。</w:t>
            </w:r>
          </w:p>
          <w:p>
            <w:pPr>
              <w:spacing w:line="360" w:lineRule="auto"/>
              <w:ind w:firstLine="480"/>
              <w:rPr>
                <w:sz w:val="24"/>
              </w:rPr>
            </w:pPr>
            <w:r>
              <w:rPr>
                <w:rFonts w:hint="eastAsia"/>
                <w:b/>
                <w:sz w:val="24"/>
              </w:rPr>
              <w:t>（1）固体废物污染源源强核算</w:t>
            </w:r>
          </w:p>
          <w:p>
            <w:pPr>
              <w:numPr>
                <w:ilvl w:val="0"/>
                <w:numId w:val="11"/>
              </w:numPr>
              <w:spacing w:line="360" w:lineRule="auto"/>
              <w:ind w:firstLine="480" w:firstLineChars="200"/>
              <w:rPr>
                <w:sz w:val="24"/>
              </w:rPr>
            </w:pPr>
            <w:r>
              <w:rPr>
                <w:rFonts w:hint="eastAsia"/>
                <w:sz w:val="24"/>
              </w:rPr>
              <w:t>医疗废物</w:t>
            </w:r>
          </w:p>
          <w:p>
            <w:pPr>
              <w:spacing w:line="360" w:lineRule="auto"/>
              <w:ind w:firstLine="482"/>
              <w:rPr>
                <w:sz w:val="24"/>
              </w:rPr>
            </w:pPr>
            <w:r>
              <w:rPr>
                <w:rFonts w:hint="eastAsia"/>
                <w:sz w:val="24"/>
              </w:rPr>
              <w:t>根据《医疗废物分类名录（2021年版）》医疗废物分为感染性废物、损伤性废物、病理性废物、药物性废物和化学性废物。本项目医疗废物主要为废一次性用品、试剂、药品等，产生量按0.3kg/d·床计，床位数77床，年工作365天，医疗废物产生量为8.43t/a。</w:t>
            </w:r>
          </w:p>
          <w:p>
            <w:pPr>
              <w:spacing w:line="360" w:lineRule="auto"/>
              <w:ind w:firstLine="482"/>
              <w:rPr>
                <w:sz w:val="24"/>
              </w:rPr>
            </w:pPr>
            <w:r>
              <w:rPr>
                <w:rFonts w:hint="eastAsia"/>
                <w:sz w:val="24"/>
              </w:rPr>
              <w:t>根据《国家危险废物名录（2021年版）》医疗废物属于危险废物，危废类别为“HW01医疗废物”和“HW03废药物、药品</w:t>
            </w:r>
            <w:r>
              <w:rPr>
                <w:rFonts w:hint="eastAsia"/>
                <w:sz w:val="24"/>
                <w:lang w:eastAsia="zh-CN"/>
              </w:rPr>
              <w:t>（废物代码：900-002-03）</w:t>
            </w:r>
            <w:r>
              <w:rPr>
                <w:rFonts w:hint="eastAsia"/>
                <w:sz w:val="24"/>
              </w:rPr>
              <w:t>”，“HW01医疗废物”可分为5类，分别为感染性废物（废物代码：841-001-01）、损伤性废物（废物代码：841-002-01）、病理性废物（废物代码：841-003-01）、化学性废物（废物代码：841-004-01）和药物性废物（废物代码：841-005-01），过期，失效药品属于“HW03废药物、药品</w:t>
            </w:r>
            <w:r>
              <w:rPr>
                <w:rFonts w:hint="eastAsia"/>
                <w:sz w:val="24"/>
                <w:lang w:eastAsia="zh-CN"/>
              </w:rPr>
              <w:t>（废物代码：900-002-03）</w:t>
            </w:r>
            <w:r>
              <w:rPr>
                <w:rFonts w:hint="eastAsia"/>
                <w:sz w:val="24"/>
              </w:rPr>
              <w:t>”。医疗废物分类收集至相应容器，分类、分区暂存于医疗废物贮存间内，经消毒处理后，交由有资质单位处置。</w:t>
            </w:r>
          </w:p>
          <w:p>
            <w:pPr>
              <w:numPr>
                <w:ilvl w:val="0"/>
                <w:numId w:val="11"/>
              </w:numPr>
              <w:spacing w:line="360" w:lineRule="auto"/>
              <w:ind w:firstLine="480" w:firstLineChars="200"/>
              <w:rPr>
                <w:sz w:val="24"/>
              </w:rPr>
            </w:pPr>
            <w:r>
              <w:rPr>
                <w:rFonts w:hint="eastAsia"/>
                <w:sz w:val="24"/>
              </w:rPr>
              <w:t>感染类生活垃圾</w:t>
            </w:r>
          </w:p>
          <w:p>
            <w:pPr>
              <w:spacing w:line="360" w:lineRule="auto"/>
              <w:ind w:firstLine="482"/>
              <w:rPr>
                <w:sz w:val="24"/>
              </w:rPr>
            </w:pPr>
            <w:r>
              <w:rPr>
                <w:rFonts w:hint="eastAsia"/>
                <w:sz w:val="24"/>
              </w:rPr>
              <w:t>本项目感染类生活垃圾主要为工作人员和住院病人产生的生活垃圾。项目劳动定员40人，床位77个，住院患者最多77人/d，生活垃圾产生量按0.5kg/d·人计，则感染类生活垃圾产生量为21.35t/a。</w:t>
            </w:r>
          </w:p>
          <w:p>
            <w:pPr>
              <w:spacing w:line="360" w:lineRule="auto"/>
              <w:ind w:firstLine="482"/>
              <w:rPr>
                <w:sz w:val="24"/>
              </w:rPr>
            </w:pPr>
            <w:r>
              <w:rPr>
                <w:rFonts w:hint="eastAsia"/>
                <w:sz w:val="24"/>
              </w:rPr>
              <w:t>根据《国家卫生健康委办公厅关于做好新型冠状病毒感染的肺炎疫情期间医疗机构医疗废物管理工作的通知》（国卫办医函[2020]81号），医疗机构在诊疗新型冠状病毒感染的肺炎患者及疑似患者发热门诊和病区（房）产生的废弃物，包括医疗废物和生活垃圾，均应当按照医疗废物进行分类收集。根据《国家危险废物名录（2021年版）》感染类生活垃圾属于“HW01医疗废物”中的“841-001-01感染性废物”，收集至相应容器，分类、分区暂存于医疗废物贮存间内，经消毒处理后，定期交由有资质单位处置。</w:t>
            </w:r>
          </w:p>
          <w:p>
            <w:pPr>
              <w:numPr>
                <w:ilvl w:val="0"/>
                <w:numId w:val="11"/>
              </w:numPr>
              <w:spacing w:line="360" w:lineRule="auto"/>
              <w:ind w:firstLine="480" w:firstLineChars="200"/>
              <w:rPr>
                <w:sz w:val="24"/>
              </w:rPr>
            </w:pPr>
            <w:r>
              <w:rPr>
                <w:rFonts w:hint="eastAsia"/>
                <w:sz w:val="24"/>
              </w:rPr>
              <w:t>通风系统废滤材</w:t>
            </w:r>
          </w:p>
          <w:p>
            <w:pPr>
              <w:spacing w:line="360" w:lineRule="auto"/>
              <w:ind w:firstLine="482"/>
              <w:rPr>
                <w:sz w:val="24"/>
              </w:rPr>
            </w:pPr>
            <w:r>
              <w:rPr>
                <w:rFonts w:hint="eastAsia"/>
                <w:sz w:val="24"/>
              </w:rPr>
              <w:t>本项目设置高效空气过滤器以防止危险性生物气溶胶散逸。高效空气过滤器针对操作中可能产生的附着病菌的气溶胶可达99.995%的截留效率，排气中的致病细菌可被彻底除去，本项目负压通风系统更换的废滤材产生量为0.15t/a。根据《国家危险废物名录（2021年版）》，通风系统废滤材属于“HW01医疗废物”中的“841-001-01感染性废物”，通风系统废滤材经收集后暂存于医疗废物贮存间内，定期委托有资质单位处置。</w:t>
            </w:r>
          </w:p>
          <w:p>
            <w:pPr>
              <w:numPr>
                <w:ilvl w:val="0"/>
                <w:numId w:val="9"/>
              </w:numPr>
              <w:adjustRightInd w:val="0"/>
              <w:spacing w:before="120" w:beforeLines="50" w:after="120" w:afterLines="50"/>
              <w:ind w:left="0" w:firstLine="0"/>
              <w:jc w:val="center"/>
              <w:rPr>
                <w:b/>
                <w:bCs/>
                <w:szCs w:val="21"/>
              </w:rPr>
            </w:pPr>
            <w:r>
              <w:rPr>
                <w:rFonts w:hint="eastAsia"/>
                <w:b/>
                <w:bCs/>
                <w:szCs w:val="21"/>
              </w:rPr>
              <w:t>固废污染物产生处置汇总表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010"/>
              <w:gridCol w:w="1007"/>
              <w:gridCol w:w="667"/>
              <w:gridCol w:w="998"/>
              <w:gridCol w:w="744"/>
              <w:gridCol w:w="907"/>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noWrap/>
                  <w:vAlign w:val="center"/>
                </w:tcPr>
                <w:p>
                  <w:pPr>
                    <w:spacing w:line="240" w:lineRule="atLeast"/>
                    <w:jc w:val="center"/>
                    <w:rPr>
                      <w:b/>
                      <w:szCs w:val="21"/>
                    </w:rPr>
                  </w:pPr>
                  <w:r>
                    <w:rPr>
                      <w:b/>
                      <w:szCs w:val="21"/>
                    </w:rPr>
                    <w:t>序号</w:t>
                  </w:r>
                </w:p>
              </w:tc>
              <w:tc>
                <w:tcPr>
                  <w:tcW w:w="595" w:type="pct"/>
                  <w:noWrap/>
                  <w:vAlign w:val="center"/>
                </w:tcPr>
                <w:p>
                  <w:pPr>
                    <w:spacing w:line="240" w:lineRule="atLeast"/>
                    <w:jc w:val="center"/>
                    <w:rPr>
                      <w:b/>
                      <w:szCs w:val="21"/>
                    </w:rPr>
                  </w:pPr>
                  <w:r>
                    <w:rPr>
                      <w:b/>
                      <w:szCs w:val="21"/>
                    </w:rPr>
                    <w:t>产生工序及装置</w:t>
                  </w:r>
                </w:p>
              </w:tc>
              <w:tc>
                <w:tcPr>
                  <w:tcW w:w="593" w:type="pct"/>
                  <w:noWrap/>
                  <w:vAlign w:val="center"/>
                </w:tcPr>
                <w:p>
                  <w:pPr>
                    <w:spacing w:line="240" w:lineRule="atLeast"/>
                    <w:jc w:val="center"/>
                    <w:rPr>
                      <w:b/>
                      <w:szCs w:val="21"/>
                    </w:rPr>
                  </w:pPr>
                  <w:r>
                    <w:rPr>
                      <w:b/>
                      <w:szCs w:val="21"/>
                    </w:rPr>
                    <w:t>废物名称</w:t>
                  </w:r>
                </w:p>
              </w:tc>
              <w:tc>
                <w:tcPr>
                  <w:tcW w:w="393" w:type="pct"/>
                  <w:noWrap/>
                  <w:vAlign w:val="center"/>
                </w:tcPr>
                <w:p>
                  <w:pPr>
                    <w:spacing w:line="240" w:lineRule="atLeast"/>
                    <w:jc w:val="center"/>
                    <w:rPr>
                      <w:b/>
                      <w:szCs w:val="21"/>
                    </w:rPr>
                  </w:pPr>
                  <w:r>
                    <w:rPr>
                      <w:rFonts w:hint="eastAsia"/>
                      <w:b/>
                      <w:szCs w:val="21"/>
                    </w:rPr>
                    <w:t>属性</w:t>
                  </w:r>
                </w:p>
              </w:tc>
              <w:tc>
                <w:tcPr>
                  <w:tcW w:w="588" w:type="pct"/>
                  <w:noWrap/>
                  <w:vAlign w:val="center"/>
                </w:tcPr>
                <w:p>
                  <w:pPr>
                    <w:spacing w:line="240" w:lineRule="atLeast"/>
                    <w:jc w:val="center"/>
                    <w:rPr>
                      <w:b/>
                      <w:szCs w:val="21"/>
                    </w:rPr>
                  </w:pPr>
                  <w:r>
                    <w:rPr>
                      <w:b/>
                      <w:szCs w:val="21"/>
                    </w:rPr>
                    <w:t>类别</w:t>
                  </w:r>
                </w:p>
              </w:tc>
              <w:tc>
                <w:tcPr>
                  <w:tcW w:w="438" w:type="pct"/>
                  <w:noWrap/>
                  <w:vAlign w:val="center"/>
                </w:tcPr>
                <w:p>
                  <w:pPr>
                    <w:spacing w:line="240" w:lineRule="atLeast"/>
                    <w:jc w:val="center"/>
                    <w:rPr>
                      <w:b/>
                      <w:szCs w:val="21"/>
                    </w:rPr>
                  </w:pPr>
                  <w:r>
                    <w:rPr>
                      <w:b/>
                      <w:szCs w:val="21"/>
                    </w:rPr>
                    <w:t>代码</w:t>
                  </w:r>
                </w:p>
              </w:tc>
              <w:tc>
                <w:tcPr>
                  <w:tcW w:w="534" w:type="pct"/>
                  <w:noWrap/>
                  <w:vAlign w:val="center"/>
                </w:tcPr>
                <w:p>
                  <w:pPr>
                    <w:spacing w:line="240" w:lineRule="atLeast"/>
                    <w:jc w:val="center"/>
                    <w:rPr>
                      <w:b/>
                      <w:szCs w:val="21"/>
                    </w:rPr>
                  </w:pPr>
                  <w:r>
                    <w:rPr>
                      <w:b/>
                      <w:szCs w:val="21"/>
                    </w:rPr>
                    <w:t>产生量（t/a）</w:t>
                  </w:r>
                </w:p>
              </w:tc>
              <w:tc>
                <w:tcPr>
                  <w:tcW w:w="1595" w:type="pct"/>
                  <w:noWrap/>
                  <w:vAlign w:val="center"/>
                </w:tcPr>
                <w:p>
                  <w:pPr>
                    <w:spacing w:line="240" w:lineRule="atLeast"/>
                    <w:jc w:val="center"/>
                    <w:rPr>
                      <w:b/>
                      <w:szCs w:val="21"/>
                    </w:rPr>
                  </w:pPr>
                  <w:r>
                    <w:rPr>
                      <w:b/>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vMerge w:val="restart"/>
                  <w:noWrap/>
                  <w:vAlign w:val="center"/>
                </w:tcPr>
                <w:p>
                  <w:pPr>
                    <w:spacing w:line="240" w:lineRule="atLeast"/>
                    <w:jc w:val="center"/>
                    <w:rPr>
                      <w:szCs w:val="21"/>
                    </w:rPr>
                  </w:pPr>
                  <w:r>
                    <w:rPr>
                      <w:rFonts w:hint="eastAsia"/>
                      <w:szCs w:val="21"/>
                    </w:rPr>
                    <w:t>1</w:t>
                  </w:r>
                </w:p>
              </w:tc>
              <w:tc>
                <w:tcPr>
                  <w:tcW w:w="595" w:type="pct"/>
                  <w:vMerge w:val="restart"/>
                  <w:noWrap/>
                  <w:vAlign w:val="center"/>
                </w:tcPr>
                <w:p>
                  <w:pPr>
                    <w:spacing w:line="240" w:lineRule="atLeast"/>
                    <w:jc w:val="center"/>
                    <w:rPr>
                      <w:szCs w:val="21"/>
                    </w:rPr>
                  </w:pPr>
                  <w:r>
                    <w:rPr>
                      <w:rFonts w:hint="eastAsia"/>
                      <w:bCs/>
                      <w:szCs w:val="21"/>
                    </w:rPr>
                    <w:t>定点医院</w:t>
                  </w:r>
                </w:p>
              </w:tc>
              <w:tc>
                <w:tcPr>
                  <w:tcW w:w="593" w:type="pct"/>
                  <w:vMerge w:val="restart"/>
                  <w:noWrap/>
                  <w:vAlign w:val="center"/>
                </w:tcPr>
                <w:p>
                  <w:pPr>
                    <w:spacing w:line="240" w:lineRule="atLeast"/>
                    <w:jc w:val="center"/>
                    <w:rPr>
                      <w:szCs w:val="21"/>
                    </w:rPr>
                  </w:pPr>
                  <w:r>
                    <w:rPr>
                      <w:rFonts w:hint="eastAsia"/>
                      <w:szCs w:val="21"/>
                    </w:rPr>
                    <w:t>医疗废物</w:t>
                  </w:r>
                </w:p>
              </w:tc>
              <w:tc>
                <w:tcPr>
                  <w:tcW w:w="393" w:type="pct"/>
                  <w:vMerge w:val="restart"/>
                  <w:noWrap/>
                  <w:vAlign w:val="center"/>
                </w:tcPr>
                <w:p>
                  <w:pPr>
                    <w:adjustRightInd w:val="0"/>
                    <w:snapToGrid w:val="0"/>
                    <w:spacing w:line="240" w:lineRule="atLeast"/>
                    <w:jc w:val="center"/>
                    <w:rPr>
                      <w:szCs w:val="21"/>
                      <w:highlight w:val="yellow"/>
                    </w:rPr>
                  </w:pPr>
                  <w:r>
                    <w:rPr>
                      <w:rFonts w:hint="eastAsia"/>
                      <w:szCs w:val="21"/>
                    </w:rPr>
                    <w:t>危险废物</w:t>
                  </w:r>
                </w:p>
              </w:tc>
              <w:tc>
                <w:tcPr>
                  <w:tcW w:w="588" w:type="pct"/>
                  <w:vMerge w:val="restart"/>
                  <w:noWrap/>
                  <w:vAlign w:val="center"/>
                </w:tcPr>
                <w:p>
                  <w:pPr>
                    <w:spacing w:line="240" w:lineRule="atLeast"/>
                    <w:jc w:val="center"/>
                    <w:rPr>
                      <w:rFonts w:hint="eastAsia" w:eastAsia="宋体"/>
                      <w:szCs w:val="21"/>
                      <w:lang w:eastAsia="zh-CN"/>
                    </w:rPr>
                  </w:pPr>
                  <w:r>
                    <w:rPr>
                      <w:szCs w:val="21"/>
                    </w:rPr>
                    <w:t>HW01医疗废物</w:t>
                  </w:r>
                  <w:r>
                    <w:rPr>
                      <w:rFonts w:hint="eastAsia"/>
                      <w:szCs w:val="21"/>
                      <w:lang w:eastAsia="zh-CN"/>
                    </w:rPr>
                    <w:t>、HW03废药物、药品</w:t>
                  </w:r>
                </w:p>
              </w:tc>
              <w:tc>
                <w:tcPr>
                  <w:tcW w:w="438" w:type="pct"/>
                  <w:noWrap/>
                  <w:vAlign w:val="center"/>
                </w:tcPr>
                <w:p>
                  <w:pPr>
                    <w:spacing w:line="240" w:lineRule="atLeast"/>
                    <w:jc w:val="center"/>
                    <w:rPr>
                      <w:szCs w:val="21"/>
                    </w:rPr>
                  </w:pPr>
                  <w:r>
                    <w:rPr>
                      <w:szCs w:val="21"/>
                    </w:rPr>
                    <w:t>841-001-01</w:t>
                  </w:r>
                </w:p>
              </w:tc>
              <w:tc>
                <w:tcPr>
                  <w:tcW w:w="534" w:type="pct"/>
                  <w:vMerge w:val="restart"/>
                  <w:noWrap/>
                  <w:vAlign w:val="center"/>
                </w:tcPr>
                <w:p>
                  <w:pPr>
                    <w:spacing w:line="240" w:lineRule="atLeast"/>
                    <w:jc w:val="center"/>
                    <w:rPr>
                      <w:szCs w:val="21"/>
                    </w:rPr>
                  </w:pPr>
                  <w:r>
                    <w:rPr>
                      <w:rFonts w:hint="eastAsia"/>
                      <w:szCs w:val="21"/>
                    </w:rPr>
                    <w:t>8.43</w:t>
                  </w:r>
                </w:p>
              </w:tc>
              <w:tc>
                <w:tcPr>
                  <w:tcW w:w="1595" w:type="pct"/>
                  <w:vMerge w:val="restart"/>
                  <w:noWrap/>
                  <w:vAlign w:val="center"/>
                </w:tcPr>
                <w:p>
                  <w:pPr>
                    <w:spacing w:line="240" w:lineRule="atLeast"/>
                    <w:jc w:val="center"/>
                    <w:rPr>
                      <w:szCs w:val="21"/>
                    </w:rPr>
                  </w:pPr>
                  <w:r>
                    <w:rPr>
                      <w:rFonts w:hint="eastAsia"/>
                      <w:szCs w:val="21"/>
                    </w:rPr>
                    <w:t>暂存于医疗废物贮存间，定期委托有资质单位处置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vMerge w:val="continue"/>
                  <w:noWrap/>
                  <w:vAlign w:val="center"/>
                </w:tcPr>
                <w:p>
                  <w:pPr>
                    <w:spacing w:line="240" w:lineRule="atLeast"/>
                    <w:jc w:val="center"/>
                    <w:rPr>
                      <w:szCs w:val="21"/>
                    </w:rPr>
                  </w:pPr>
                </w:p>
              </w:tc>
              <w:tc>
                <w:tcPr>
                  <w:tcW w:w="595" w:type="pct"/>
                  <w:vMerge w:val="continue"/>
                  <w:noWrap/>
                  <w:vAlign w:val="center"/>
                </w:tcPr>
                <w:p>
                  <w:pPr>
                    <w:spacing w:line="240" w:lineRule="atLeast"/>
                    <w:jc w:val="center"/>
                    <w:rPr>
                      <w:bCs/>
                      <w:szCs w:val="21"/>
                    </w:rPr>
                  </w:pPr>
                </w:p>
              </w:tc>
              <w:tc>
                <w:tcPr>
                  <w:tcW w:w="593" w:type="pct"/>
                  <w:vMerge w:val="continue"/>
                  <w:noWrap/>
                  <w:vAlign w:val="center"/>
                </w:tcPr>
                <w:p>
                  <w:pPr>
                    <w:spacing w:line="240" w:lineRule="atLeast"/>
                    <w:jc w:val="center"/>
                    <w:rPr>
                      <w:szCs w:val="21"/>
                    </w:rPr>
                  </w:pPr>
                </w:p>
              </w:tc>
              <w:tc>
                <w:tcPr>
                  <w:tcW w:w="393" w:type="pct"/>
                  <w:vMerge w:val="continue"/>
                  <w:noWrap/>
                  <w:vAlign w:val="center"/>
                </w:tcPr>
                <w:p>
                  <w:pPr>
                    <w:adjustRightInd w:val="0"/>
                    <w:snapToGrid w:val="0"/>
                    <w:spacing w:line="240" w:lineRule="atLeast"/>
                    <w:jc w:val="center"/>
                    <w:rPr>
                      <w:szCs w:val="21"/>
                    </w:rPr>
                  </w:pPr>
                </w:p>
              </w:tc>
              <w:tc>
                <w:tcPr>
                  <w:tcW w:w="588" w:type="pct"/>
                  <w:vMerge w:val="continue"/>
                  <w:noWrap/>
                  <w:vAlign w:val="center"/>
                </w:tcPr>
                <w:p>
                  <w:pPr>
                    <w:spacing w:line="240" w:lineRule="atLeast"/>
                    <w:jc w:val="center"/>
                    <w:rPr>
                      <w:szCs w:val="21"/>
                    </w:rPr>
                  </w:pPr>
                </w:p>
              </w:tc>
              <w:tc>
                <w:tcPr>
                  <w:tcW w:w="438" w:type="pct"/>
                  <w:noWrap/>
                  <w:vAlign w:val="center"/>
                </w:tcPr>
                <w:p>
                  <w:pPr>
                    <w:spacing w:line="240" w:lineRule="atLeast"/>
                    <w:jc w:val="center"/>
                    <w:rPr>
                      <w:szCs w:val="21"/>
                    </w:rPr>
                  </w:pPr>
                  <w:r>
                    <w:rPr>
                      <w:rFonts w:hint="eastAsia"/>
                      <w:szCs w:val="21"/>
                    </w:rPr>
                    <w:t>841-002-01</w:t>
                  </w:r>
                </w:p>
              </w:tc>
              <w:tc>
                <w:tcPr>
                  <w:tcW w:w="534" w:type="pct"/>
                  <w:vMerge w:val="continue"/>
                  <w:noWrap/>
                  <w:vAlign w:val="center"/>
                </w:tcPr>
                <w:p>
                  <w:pPr>
                    <w:spacing w:line="240" w:lineRule="atLeast"/>
                    <w:jc w:val="center"/>
                    <w:rPr>
                      <w:szCs w:val="21"/>
                    </w:rPr>
                  </w:pPr>
                </w:p>
              </w:tc>
              <w:tc>
                <w:tcPr>
                  <w:tcW w:w="1595" w:type="pct"/>
                  <w:vMerge w:val="continue"/>
                  <w:noWrap/>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vMerge w:val="continue"/>
                  <w:noWrap/>
                  <w:vAlign w:val="center"/>
                </w:tcPr>
                <w:p>
                  <w:pPr>
                    <w:spacing w:line="240" w:lineRule="atLeast"/>
                    <w:jc w:val="center"/>
                    <w:rPr>
                      <w:szCs w:val="21"/>
                    </w:rPr>
                  </w:pPr>
                </w:p>
              </w:tc>
              <w:tc>
                <w:tcPr>
                  <w:tcW w:w="595" w:type="pct"/>
                  <w:vMerge w:val="continue"/>
                  <w:noWrap/>
                  <w:vAlign w:val="center"/>
                </w:tcPr>
                <w:p>
                  <w:pPr>
                    <w:spacing w:line="240" w:lineRule="atLeast"/>
                    <w:jc w:val="center"/>
                    <w:rPr>
                      <w:bCs/>
                      <w:szCs w:val="21"/>
                    </w:rPr>
                  </w:pPr>
                </w:p>
              </w:tc>
              <w:tc>
                <w:tcPr>
                  <w:tcW w:w="593" w:type="pct"/>
                  <w:vMerge w:val="continue"/>
                  <w:noWrap/>
                  <w:vAlign w:val="center"/>
                </w:tcPr>
                <w:p>
                  <w:pPr>
                    <w:spacing w:line="240" w:lineRule="atLeast"/>
                    <w:jc w:val="center"/>
                    <w:rPr>
                      <w:szCs w:val="21"/>
                    </w:rPr>
                  </w:pPr>
                </w:p>
              </w:tc>
              <w:tc>
                <w:tcPr>
                  <w:tcW w:w="393" w:type="pct"/>
                  <w:vMerge w:val="continue"/>
                  <w:noWrap/>
                  <w:vAlign w:val="center"/>
                </w:tcPr>
                <w:p>
                  <w:pPr>
                    <w:adjustRightInd w:val="0"/>
                    <w:snapToGrid w:val="0"/>
                    <w:spacing w:line="240" w:lineRule="atLeast"/>
                    <w:jc w:val="center"/>
                    <w:rPr>
                      <w:szCs w:val="21"/>
                    </w:rPr>
                  </w:pPr>
                </w:p>
              </w:tc>
              <w:tc>
                <w:tcPr>
                  <w:tcW w:w="588" w:type="pct"/>
                  <w:vMerge w:val="continue"/>
                  <w:noWrap/>
                  <w:vAlign w:val="center"/>
                </w:tcPr>
                <w:p>
                  <w:pPr>
                    <w:spacing w:line="240" w:lineRule="atLeast"/>
                    <w:jc w:val="center"/>
                    <w:rPr>
                      <w:szCs w:val="21"/>
                    </w:rPr>
                  </w:pPr>
                </w:p>
              </w:tc>
              <w:tc>
                <w:tcPr>
                  <w:tcW w:w="438" w:type="pct"/>
                  <w:noWrap/>
                  <w:vAlign w:val="center"/>
                </w:tcPr>
                <w:p>
                  <w:pPr>
                    <w:spacing w:line="240" w:lineRule="atLeast"/>
                    <w:jc w:val="center"/>
                    <w:rPr>
                      <w:szCs w:val="21"/>
                    </w:rPr>
                  </w:pPr>
                  <w:r>
                    <w:rPr>
                      <w:rFonts w:hint="eastAsia"/>
                      <w:szCs w:val="21"/>
                    </w:rPr>
                    <w:t>841-003-01</w:t>
                  </w:r>
                </w:p>
              </w:tc>
              <w:tc>
                <w:tcPr>
                  <w:tcW w:w="534" w:type="pct"/>
                  <w:vMerge w:val="continue"/>
                  <w:noWrap/>
                  <w:vAlign w:val="center"/>
                </w:tcPr>
                <w:p>
                  <w:pPr>
                    <w:spacing w:line="240" w:lineRule="atLeast"/>
                    <w:jc w:val="center"/>
                    <w:rPr>
                      <w:szCs w:val="21"/>
                    </w:rPr>
                  </w:pPr>
                </w:p>
              </w:tc>
              <w:tc>
                <w:tcPr>
                  <w:tcW w:w="1595" w:type="pct"/>
                  <w:vMerge w:val="continue"/>
                  <w:noWrap/>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vMerge w:val="continue"/>
                  <w:noWrap/>
                  <w:vAlign w:val="center"/>
                </w:tcPr>
                <w:p>
                  <w:pPr>
                    <w:spacing w:line="240" w:lineRule="atLeast"/>
                    <w:jc w:val="center"/>
                    <w:rPr>
                      <w:szCs w:val="21"/>
                    </w:rPr>
                  </w:pPr>
                </w:p>
              </w:tc>
              <w:tc>
                <w:tcPr>
                  <w:tcW w:w="595" w:type="pct"/>
                  <w:vMerge w:val="continue"/>
                  <w:noWrap/>
                  <w:vAlign w:val="center"/>
                </w:tcPr>
                <w:p>
                  <w:pPr>
                    <w:spacing w:line="240" w:lineRule="atLeast"/>
                    <w:jc w:val="center"/>
                    <w:rPr>
                      <w:bCs/>
                      <w:szCs w:val="21"/>
                    </w:rPr>
                  </w:pPr>
                </w:p>
              </w:tc>
              <w:tc>
                <w:tcPr>
                  <w:tcW w:w="593" w:type="pct"/>
                  <w:vMerge w:val="continue"/>
                  <w:noWrap/>
                  <w:vAlign w:val="center"/>
                </w:tcPr>
                <w:p>
                  <w:pPr>
                    <w:spacing w:line="240" w:lineRule="atLeast"/>
                    <w:jc w:val="center"/>
                    <w:rPr>
                      <w:szCs w:val="21"/>
                    </w:rPr>
                  </w:pPr>
                </w:p>
              </w:tc>
              <w:tc>
                <w:tcPr>
                  <w:tcW w:w="393" w:type="pct"/>
                  <w:vMerge w:val="continue"/>
                  <w:noWrap/>
                  <w:vAlign w:val="center"/>
                </w:tcPr>
                <w:p>
                  <w:pPr>
                    <w:adjustRightInd w:val="0"/>
                    <w:snapToGrid w:val="0"/>
                    <w:spacing w:line="240" w:lineRule="atLeast"/>
                    <w:jc w:val="center"/>
                    <w:rPr>
                      <w:szCs w:val="21"/>
                    </w:rPr>
                  </w:pPr>
                </w:p>
              </w:tc>
              <w:tc>
                <w:tcPr>
                  <w:tcW w:w="588" w:type="pct"/>
                  <w:vMerge w:val="continue"/>
                  <w:noWrap/>
                  <w:vAlign w:val="center"/>
                </w:tcPr>
                <w:p>
                  <w:pPr>
                    <w:spacing w:line="240" w:lineRule="atLeast"/>
                    <w:jc w:val="center"/>
                    <w:rPr>
                      <w:szCs w:val="21"/>
                    </w:rPr>
                  </w:pPr>
                </w:p>
              </w:tc>
              <w:tc>
                <w:tcPr>
                  <w:tcW w:w="438" w:type="pct"/>
                  <w:noWrap/>
                  <w:vAlign w:val="center"/>
                </w:tcPr>
                <w:p>
                  <w:pPr>
                    <w:spacing w:line="240" w:lineRule="atLeast"/>
                    <w:jc w:val="center"/>
                    <w:rPr>
                      <w:szCs w:val="21"/>
                    </w:rPr>
                  </w:pPr>
                  <w:r>
                    <w:rPr>
                      <w:rFonts w:hint="eastAsia"/>
                      <w:szCs w:val="21"/>
                    </w:rPr>
                    <w:t>841-004-01</w:t>
                  </w:r>
                </w:p>
              </w:tc>
              <w:tc>
                <w:tcPr>
                  <w:tcW w:w="534" w:type="pct"/>
                  <w:vMerge w:val="continue"/>
                  <w:noWrap/>
                  <w:vAlign w:val="center"/>
                </w:tcPr>
                <w:p>
                  <w:pPr>
                    <w:spacing w:line="240" w:lineRule="atLeast"/>
                    <w:jc w:val="center"/>
                    <w:rPr>
                      <w:szCs w:val="21"/>
                    </w:rPr>
                  </w:pPr>
                </w:p>
              </w:tc>
              <w:tc>
                <w:tcPr>
                  <w:tcW w:w="1595" w:type="pct"/>
                  <w:vMerge w:val="continue"/>
                  <w:noWrap/>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vMerge w:val="continue"/>
                  <w:noWrap/>
                  <w:vAlign w:val="center"/>
                </w:tcPr>
                <w:p>
                  <w:pPr>
                    <w:spacing w:line="240" w:lineRule="atLeast"/>
                    <w:jc w:val="center"/>
                    <w:rPr>
                      <w:szCs w:val="21"/>
                    </w:rPr>
                  </w:pPr>
                </w:p>
              </w:tc>
              <w:tc>
                <w:tcPr>
                  <w:tcW w:w="595" w:type="pct"/>
                  <w:vMerge w:val="continue"/>
                  <w:noWrap/>
                  <w:vAlign w:val="center"/>
                </w:tcPr>
                <w:p>
                  <w:pPr>
                    <w:spacing w:line="240" w:lineRule="atLeast"/>
                    <w:jc w:val="center"/>
                    <w:rPr>
                      <w:bCs/>
                      <w:szCs w:val="21"/>
                    </w:rPr>
                  </w:pPr>
                </w:p>
              </w:tc>
              <w:tc>
                <w:tcPr>
                  <w:tcW w:w="593" w:type="pct"/>
                  <w:vMerge w:val="continue"/>
                  <w:noWrap/>
                  <w:vAlign w:val="center"/>
                </w:tcPr>
                <w:p>
                  <w:pPr>
                    <w:spacing w:line="240" w:lineRule="atLeast"/>
                    <w:jc w:val="center"/>
                    <w:rPr>
                      <w:szCs w:val="21"/>
                    </w:rPr>
                  </w:pPr>
                </w:p>
              </w:tc>
              <w:tc>
                <w:tcPr>
                  <w:tcW w:w="393" w:type="pct"/>
                  <w:vMerge w:val="continue"/>
                  <w:noWrap/>
                  <w:vAlign w:val="center"/>
                </w:tcPr>
                <w:p>
                  <w:pPr>
                    <w:adjustRightInd w:val="0"/>
                    <w:snapToGrid w:val="0"/>
                    <w:spacing w:line="240" w:lineRule="atLeast"/>
                    <w:jc w:val="center"/>
                    <w:rPr>
                      <w:szCs w:val="21"/>
                    </w:rPr>
                  </w:pPr>
                </w:p>
              </w:tc>
              <w:tc>
                <w:tcPr>
                  <w:tcW w:w="588" w:type="pct"/>
                  <w:vMerge w:val="continue"/>
                  <w:noWrap/>
                  <w:vAlign w:val="center"/>
                </w:tcPr>
                <w:p>
                  <w:pPr>
                    <w:spacing w:line="240" w:lineRule="atLeast"/>
                    <w:jc w:val="center"/>
                    <w:rPr>
                      <w:szCs w:val="21"/>
                    </w:rPr>
                  </w:pPr>
                </w:p>
              </w:tc>
              <w:tc>
                <w:tcPr>
                  <w:tcW w:w="438" w:type="pct"/>
                  <w:noWrap/>
                  <w:vAlign w:val="center"/>
                </w:tcPr>
                <w:p>
                  <w:pPr>
                    <w:spacing w:line="240" w:lineRule="atLeast"/>
                    <w:jc w:val="center"/>
                    <w:rPr>
                      <w:szCs w:val="21"/>
                    </w:rPr>
                  </w:pPr>
                  <w:r>
                    <w:rPr>
                      <w:rFonts w:hint="eastAsia"/>
                      <w:szCs w:val="21"/>
                    </w:rPr>
                    <w:t>841-005-01</w:t>
                  </w:r>
                </w:p>
              </w:tc>
              <w:tc>
                <w:tcPr>
                  <w:tcW w:w="534" w:type="pct"/>
                  <w:vMerge w:val="continue"/>
                  <w:noWrap/>
                  <w:vAlign w:val="center"/>
                </w:tcPr>
                <w:p>
                  <w:pPr>
                    <w:spacing w:line="240" w:lineRule="atLeast"/>
                    <w:jc w:val="center"/>
                    <w:rPr>
                      <w:szCs w:val="21"/>
                    </w:rPr>
                  </w:pPr>
                </w:p>
              </w:tc>
              <w:tc>
                <w:tcPr>
                  <w:tcW w:w="1595" w:type="pct"/>
                  <w:vMerge w:val="continue"/>
                  <w:noWrap/>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vMerge w:val="continue"/>
                  <w:noWrap/>
                  <w:vAlign w:val="center"/>
                </w:tcPr>
                <w:p>
                  <w:pPr>
                    <w:spacing w:line="240" w:lineRule="atLeast"/>
                    <w:jc w:val="center"/>
                    <w:rPr>
                      <w:szCs w:val="21"/>
                    </w:rPr>
                  </w:pPr>
                </w:p>
              </w:tc>
              <w:tc>
                <w:tcPr>
                  <w:tcW w:w="595" w:type="pct"/>
                  <w:vMerge w:val="continue"/>
                  <w:noWrap/>
                  <w:vAlign w:val="center"/>
                </w:tcPr>
                <w:p>
                  <w:pPr>
                    <w:spacing w:line="240" w:lineRule="atLeast"/>
                    <w:jc w:val="center"/>
                    <w:rPr>
                      <w:bCs/>
                      <w:szCs w:val="21"/>
                    </w:rPr>
                  </w:pPr>
                </w:p>
              </w:tc>
              <w:tc>
                <w:tcPr>
                  <w:tcW w:w="593" w:type="pct"/>
                  <w:vMerge w:val="continue"/>
                  <w:noWrap/>
                  <w:vAlign w:val="center"/>
                </w:tcPr>
                <w:p>
                  <w:pPr>
                    <w:spacing w:line="240" w:lineRule="atLeast"/>
                    <w:jc w:val="center"/>
                    <w:rPr>
                      <w:szCs w:val="21"/>
                    </w:rPr>
                  </w:pPr>
                </w:p>
              </w:tc>
              <w:tc>
                <w:tcPr>
                  <w:tcW w:w="393" w:type="pct"/>
                  <w:vMerge w:val="continue"/>
                  <w:noWrap/>
                  <w:vAlign w:val="center"/>
                </w:tcPr>
                <w:p>
                  <w:pPr>
                    <w:adjustRightInd w:val="0"/>
                    <w:snapToGrid w:val="0"/>
                    <w:spacing w:line="240" w:lineRule="atLeast"/>
                    <w:jc w:val="center"/>
                    <w:rPr>
                      <w:szCs w:val="21"/>
                    </w:rPr>
                  </w:pPr>
                </w:p>
              </w:tc>
              <w:tc>
                <w:tcPr>
                  <w:tcW w:w="588" w:type="pct"/>
                  <w:vMerge w:val="continue"/>
                  <w:noWrap/>
                  <w:vAlign w:val="center"/>
                </w:tcPr>
                <w:p>
                  <w:pPr>
                    <w:spacing w:line="240" w:lineRule="atLeast"/>
                    <w:jc w:val="center"/>
                    <w:rPr>
                      <w:szCs w:val="21"/>
                    </w:rPr>
                  </w:pPr>
                </w:p>
              </w:tc>
              <w:tc>
                <w:tcPr>
                  <w:tcW w:w="438" w:type="pct"/>
                  <w:noWrap/>
                  <w:vAlign w:val="center"/>
                </w:tcPr>
                <w:p>
                  <w:pPr>
                    <w:spacing w:line="240" w:lineRule="atLeast"/>
                    <w:jc w:val="center"/>
                    <w:rPr>
                      <w:rFonts w:hint="eastAsia"/>
                      <w:szCs w:val="21"/>
                    </w:rPr>
                  </w:pPr>
                  <w:r>
                    <w:rPr>
                      <w:rFonts w:hint="eastAsia"/>
                      <w:szCs w:val="21"/>
                      <w:lang w:eastAsia="zh-CN"/>
                    </w:rPr>
                    <w:t>900-002-03</w:t>
                  </w:r>
                </w:p>
              </w:tc>
              <w:tc>
                <w:tcPr>
                  <w:tcW w:w="534" w:type="pct"/>
                  <w:vMerge w:val="continue"/>
                  <w:noWrap/>
                  <w:vAlign w:val="center"/>
                </w:tcPr>
                <w:p>
                  <w:pPr>
                    <w:spacing w:line="240" w:lineRule="atLeast"/>
                    <w:jc w:val="center"/>
                    <w:rPr>
                      <w:szCs w:val="21"/>
                    </w:rPr>
                  </w:pPr>
                </w:p>
              </w:tc>
              <w:tc>
                <w:tcPr>
                  <w:tcW w:w="1595" w:type="pct"/>
                  <w:vMerge w:val="continue"/>
                  <w:noWrap/>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noWrap/>
                  <w:vAlign w:val="center"/>
                </w:tcPr>
                <w:p>
                  <w:pPr>
                    <w:spacing w:line="240" w:lineRule="atLeast"/>
                    <w:jc w:val="center"/>
                    <w:rPr>
                      <w:szCs w:val="21"/>
                    </w:rPr>
                  </w:pPr>
                  <w:r>
                    <w:rPr>
                      <w:szCs w:val="21"/>
                    </w:rPr>
                    <w:t>2</w:t>
                  </w:r>
                </w:p>
              </w:tc>
              <w:tc>
                <w:tcPr>
                  <w:tcW w:w="595" w:type="pct"/>
                  <w:vMerge w:val="continue"/>
                  <w:noWrap/>
                  <w:vAlign w:val="center"/>
                </w:tcPr>
                <w:p>
                  <w:pPr>
                    <w:spacing w:line="240" w:lineRule="atLeast"/>
                    <w:jc w:val="center"/>
                    <w:rPr>
                      <w:bCs/>
                      <w:szCs w:val="21"/>
                    </w:rPr>
                  </w:pPr>
                </w:p>
              </w:tc>
              <w:tc>
                <w:tcPr>
                  <w:tcW w:w="593" w:type="pct"/>
                  <w:noWrap/>
                  <w:vAlign w:val="center"/>
                </w:tcPr>
                <w:p>
                  <w:pPr>
                    <w:spacing w:line="240" w:lineRule="atLeast"/>
                    <w:jc w:val="center"/>
                    <w:rPr>
                      <w:szCs w:val="21"/>
                    </w:rPr>
                  </w:pPr>
                  <w:r>
                    <w:rPr>
                      <w:rFonts w:hint="eastAsia"/>
                      <w:szCs w:val="21"/>
                    </w:rPr>
                    <w:t>感染类生活垃圾</w:t>
                  </w:r>
                </w:p>
              </w:tc>
              <w:tc>
                <w:tcPr>
                  <w:tcW w:w="393" w:type="pct"/>
                  <w:vMerge w:val="continue"/>
                  <w:noWrap/>
                  <w:vAlign w:val="center"/>
                </w:tcPr>
                <w:p>
                  <w:pPr>
                    <w:adjustRightInd w:val="0"/>
                    <w:snapToGrid w:val="0"/>
                    <w:spacing w:line="240" w:lineRule="atLeast"/>
                    <w:jc w:val="center"/>
                    <w:rPr>
                      <w:szCs w:val="21"/>
                    </w:rPr>
                  </w:pPr>
                </w:p>
              </w:tc>
              <w:tc>
                <w:tcPr>
                  <w:tcW w:w="588" w:type="pct"/>
                  <w:noWrap/>
                  <w:vAlign w:val="center"/>
                </w:tcPr>
                <w:p>
                  <w:pPr>
                    <w:pStyle w:val="48"/>
                    <w:spacing w:line="240" w:lineRule="atLeast"/>
                    <w:rPr>
                      <w:b w:val="0"/>
                      <w:bCs/>
                      <w:szCs w:val="21"/>
                    </w:rPr>
                  </w:pPr>
                  <w:r>
                    <w:rPr>
                      <w:b w:val="0"/>
                      <w:bCs/>
                      <w:szCs w:val="21"/>
                    </w:rPr>
                    <w:t>HW01医疗废物</w:t>
                  </w:r>
                </w:p>
              </w:tc>
              <w:tc>
                <w:tcPr>
                  <w:tcW w:w="438" w:type="pct"/>
                  <w:noWrap/>
                  <w:vAlign w:val="center"/>
                </w:tcPr>
                <w:p>
                  <w:pPr>
                    <w:pStyle w:val="48"/>
                    <w:spacing w:line="240" w:lineRule="atLeast"/>
                    <w:rPr>
                      <w:b w:val="0"/>
                      <w:bCs/>
                      <w:szCs w:val="21"/>
                    </w:rPr>
                  </w:pPr>
                  <w:r>
                    <w:rPr>
                      <w:b w:val="0"/>
                      <w:bCs/>
                      <w:szCs w:val="21"/>
                    </w:rPr>
                    <w:t>841-001-01</w:t>
                  </w:r>
                </w:p>
              </w:tc>
              <w:tc>
                <w:tcPr>
                  <w:tcW w:w="534" w:type="pct"/>
                  <w:noWrap/>
                  <w:vAlign w:val="center"/>
                </w:tcPr>
                <w:p>
                  <w:pPr>
                    <w:spacing w:line="240" w:lineRule="atLeast"/>
                    <w:jc w:val="center"/>
                    <w:rPr>
                      <w:bCs/>
                      <w:szCs w:val="21"/>
                    </w:rPr>
                  </w:pPr>
                  <w:r>
                    <w:rPr>
                      <w:rFonts w:hint="eastAsia"/>
                      <w:bCs/>
                      <w:szCs w:val="21"/>
                    </w:rPr>
                    <w:t>21.35</w:t>
                  </w:r>
                </w:p>
              </w:tc>
              <w:tc>
                <w:tcPr>
                  <w:tcW w:w="1595" w:type="pct"/>
                  <w:vMerge w:val="continue"/>
                  <w:noWrap/>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 w:type="pct"/>
                  <w:noWrap/>
                  <w:vAlign w:val="center"/>
                </w:tcPr>
                <w:p>
                  <w:pPr>
                    <w:spacing w:line="240" w:lineRule="atLeast"/>
                    <w:jc w:val="center"/>
                    <w:rPr>
                      <w:szCs w:val="21"/>
                    </w:rPr>
                  </w:pPr>
                  <w:r>
                    <w:rPr>
                      <w:rFonts w:hint="eastAsia"/>
                      <w:szCs w:val="21"/>
                    </w:rPr>
                    <w:t>3</w:t>
                  </w:r>
                </w:p>
              </w:tc>
              <w:tc>
                <w:tcPr>
                  <w:tcW w:w="595" w:type="pct"/>
                  <w:vMerge w:val="continue"/>
                  <w:noWrap/>
                  <w:vAlign w:val="center"/>
                </w:tcPr>
                <w:p>
                  <w:pPr>
                    <w:spacing w:line="240" w:lineRule="atLeast"/>
                    <w:jc w:val="center"/>
                    <w:rPr>
                      <w:bCs/>
                      <w:szCs w:val="21"/>
                    </w:rPr>
                  </w:pPr>
                </w:p>
              </w:tc>
              <w:tc>
                <w:tcPr>
                  <w:tcW w:w="593" w:type="pct"/>
                  <w:noWrap/>
                  <w:vAlign w:val="center"/>
                </w:tcPr>
                <w:p>
                  <w:pPr>
                    <w:spacing w:line="240" w:lineRule="atLeast"/>
                    <w:jc w:val="center"/>
                    <w:rPr>
                      <w:szCs w:val="21"/>
                    </w:rPr>
                  </w:pPr>
                  <w:r>
                    <w:rPr>
                      <w:rFonts w:hint="eastAsia"/>
                      <w:szCs w:val="21"/>
                    </w:rPr>
                    <w:t>通风系统废滤材</w:t>
                  </w:r>
                </w:p>
              </w:tc>
              <w:tc>
                <w:tcPr>
                  <w:tcW w:w="393" w:type="pct"/>
                  <w:vMerge w:val="continue"/>
                  <w:noWrap/>
                  <w:vAlign w:val="center"/>
                </w:tcPr>
                <w:p>
                  <w:pPr>
                    <w:adjustRightInd w:val="0"/>
                    <w:snapToGrid w:val="0"/>
                    <w:spacing w:line="240" w:lineRule="atLeast"/>
                    <w:jc w:val="center"/>
                    <w:rPr>
                      <w:szCs w:val="21"/>
                    </w:rPr>
                  </w:pPr>
                </w:p>
              </w:tc>
              <w:tc>
                <w:tcPr>
                  <w:tcW w:w="588" w:type="pct"/>
                  <w:noWrap/>
                  <w:vAlign w:val="center"/>
                </w:tcPr>
                <w:p>
                  <w:pPr>
                    <w:pStyle w:val="48"/>
                    <w:spacing w:line="240" w:lineRule="atLeast"/>
                    <w:rPr>
                      <w:b w:val="0"/>
                      <w:bCs/>
                      <w:szCs w:val="21"/>
                    </w:rPr>
                  </w:pPr>
                  <w:r>
                    <w:rPr>
                      <w:b w:val="0"/>
                      <w:bCs/>
                      <w:szCs w:val="21"/>
                    </w:rPr>
                    <w:t>HW01医疗废物</w:t>
                  </w:r>
                </w:p>
              </w:tc>
              <w:tc>
                <w:tcPr>
                  <w:tcW w:w="438" w:type="pct"/>
                  <w:noWrap/>
                  <w:vAlign w:val="center"/>
                </w:tcPr>
                <w:p>
                  <w:pPr>
                    <w:adjustRightInd w:val="0"/>
                    <w:snapToGrid w:val="0"/>
                    <w:spacing w:line="240" w:lineRule="atLeast"/>
                    <w:jc w:val="center"/>
                    <w:rPr>
                      <w:bCs/>
                      <w:szCs w:val="21"/>
                    </w:rPr>
                  </w:pPr>
                  <w:r>
                    <w:rPr>
                      <w:bCs/>
                      <w:szCs w:val="21"/>
                    </w:rPr>
                    <w:t>841-001-01</w:t>
                  </w:r>
                </w:p>
              </w:tc>
              <w:tc>
                <w:tcPr>
                  <w:tcW w:w="534" w:type="pct"/>
                  <w:noWrap/>
                  <w:vAlign w:val="center"/>
                </w:tcPr>
                <w:p>
                  <w:pPr>
                    <w:spacing w:line="240" w:lineRule="atLeast"/>
                    <w:jc w:val="center"/>
                    <w:rPr>
                      <w:bCs/>
                      <w:szCs w:val="21"/>
                    </w:rPr>
                  </w:pPr>
                  <w:r>
                    <w:rPr>
                      <w:rFonts w:hint="eastAsia"/>
                      <w:bCs/>
                      <w:szCs w:val="21"/>
                    </w:rPr>
                    <w:t>0.15</w:t>
                  </w:r>
                </w:p>
              </w:tc>
              <w:tc>
                <w:tcPr>
                  <w:tcW w:w="1595" w:type="pct"/>
                  <w:vMerge w:val="continue"/>
                  <w:noWrap/>
                  <w:vAlign w:val="center"/>
                </w:tcPr>
                <w:p>
                  <w:pPr>
                    <w:spacing w:line="240" w:lineRule="atLeast"/>
                    <w:jc w:val="center"/>
                    <w:rPr>
                      <w:szCs w:val="21"/>
                    </w:rPr>
                  </w:pPr>
                </w:p>
              </w:tc>
            </w:tr>
          </w:tbl>
          <w:p>
            <w:pPr>
              <w:spacing w:before="120" w:beforeLines="50" w:line="360" w:lineRule="auto"/>
              <w:ind w:firstLine="482"/>
              <w:rPr>
                <w:b/>
                <w:sz w:val="24"/>
              </w:rPr>
            </w:pPr>
            <w:r>
              <w:rPr>
                <w:rFonts w:hint="eastAsia"/>
                <w:b/>
                <w:sz w:val="24"/>
              </w:rPr>
              <w:t>（2）危险废物环境影响分析</w:t>
            </w:r>
          </w:p>
          <w:p>
            <w:pPr>
              <w:numPr>
                <w:ilvl w:val="0"/>
                <w:numId w:val="12"/>
              </w:numPr>
              <w:spacing w:line="360" w:lineRule="auto"/>
              <w:ind w:firstLine="480" w:firstLineChars="200"/>
              <w:rPr>
                <w:sz w:val="24"/>
              </w:rPr>
            </w:pPr>
            <w:r>
              <w:rPr>
                <w:rFonts w:hint="eastAsia"/>
                <w:sz w:val="24"/>
              </w:rPr>
              <w:t>危险废物贮存场所（设施）</w:t>
            </w:r>
          </w:p>
          <w:p>
            <w:pPr>
              <w:spacing w:line="360" w:lineRule="auto"/>
              <w:ind w:firstLine="480"/>
              <w:rPr>
                <w:sz w:val="24"/>
              </w:rPr>
            </w:pPr>
            <w:r>
              <w:rPr>
                <w:rFonts w:hint="eastAsia"/>
                <w:sz w:val="24"/>
              </w:rPr>
              <w:t>本项目拟建1座医疗废物贮存间，基本情况详见下表。</w:t>
            </w:r>
          </w:p>
          <w:p>
            <w:pPr>
              <w:numPr>
                <w:ilvl w:val="0"/>
                <w:numId w:val="9"/>
              </w:numPr>
              <w:adjustRightInd w:val="0"/>
              <w:spacing w:before="120" w:beforeLines="50" w:after="120" w:afterLines="50"/>
              <w:ind w:left="0" w:firstLine="0"/>
              <w:jc w:val="center"/>
              <w:rPr>
                <w:b/>
                <w:bCs/>
                <w:szCs w:val="21"/>
              </w:rPr>
            </w:pPr>
            <w:r>
              <w:rPr>
                <w:rFonts w:hint="eastAsia"/>
                <w:b/>
                <w:bCs/>
                <w:szCs w:val="21"/>
              </w:rPr>
              <w:t>医疗废物贮存场所基本情况一览表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62"/>
              <w:gridCol w:w="1215"/>
              <w:gridCol w:w="1220"/>
              <w:gridCol w:w="598"/>
              <w:gridCol w:w="709"/>
              <w:gridCol w:w="653"/>
              <w:gridCol w:w="861"/>
              <w:gridCol w:w="861"/>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pPr>
                    <w:adjustRightInd w:val="0"/>
                    <w:snapToGrid w:val="0"/>
                    <w:jc w:val="center"/>
                    <w:rPr>
                      <w:b/>
                      <w:szCs w:val="21"/>
                    </w:rPr>
                  </w:pPr>
                  <w:r>
                    <w:rPr>
                      <w:b/>
                      <w:szCs w:val="21"/>
                    </w:rPr>
                    <w:t>贮存场所（设施）名称</w:t>
                  </w:r>
                </w:p>
              </w:tc>
              <w:tc>
                <w:tcPr>
                  <w:tcW w:w="508" w:type="pct"/>
                  <w:vAlign w:val="center"/>
                </w:tcPr>
                <w:p>
                  <w:pPr>
                    <w:adjustRightInd w:val="0"/>
                    <w:snapToGrid w:val="0"/>
                    <w:jc w:val="center"/>
                    <w:rPr>
                      <w:b/>
                      <w:szCs w:val="21"/>
                    </w:rPr>
                  </w:pPr>
                  <w:r>
                    <w:rPr>
                      <w:b/>
                      <w:szCs w:val="21"/>
                    </w:rPr>
                    <w:t>废物名称</w:t>
                  </w:r>
                </w:p>
              </w:tc>
              <w:tc>
                <w:tcPr>
                  <w:tcW w:w="716" w:type="pct"/>
                  <w:vAlign w:val="center"/>
                </w:tcPr>
                <w:p>
                  <w:pPr>
                    <w:adjustRightInd w:val="0"/>
                    <w:snapToGrid w:val="0"/>
                    <w:jc w:val="center"/>
                    <w:rPr>
                      <w:b/>
                      <w:szCs w:val="21"/>
                    </w:rPr>
                  </w:pPr>
                  <w:r>
                    <w:rPr>
                      <w:b/>
                      <w:szCs w:val="21"/>
                    </w:rPr>
                    <w:t>危险废物类别</w:t>
                  </w:r>
                </w:p>
              </w:tc>
              <w:tc>
                <w:tcPr>
                  <w:tcW w:w="719" w:type="pct"/>
                  <w:vAlign w:val="center"/>
                </w:tcPr>
                <w:p>
                  <w:pPr>
                    <w:adjustRightInd w:val="0"/>
                    <w:snapToGrid w:val="0"/>
                    <w:jc w:val="center"/>
                    <w:rPr>
                      <w:b/>
                      <w:szCs w:val="21"/>
                    </w:rPr>
                  </w:pPr>
                  <w:r>
                    <w:rPr>
                      <w:b/>
                      <w:szCs w:val="21"/>
                    </w:rPr>
                    <w:t>危险废物代码</w:t>
                  </w:r>
                </w:p>
              </w:tc>
              <w:tc>
                <w:tcPr>
                  <w:tcW w:w="352" w:type="pct"/>
                  <w:vAlign w:val="center"/>
                </w:tcPr>
                <w:p>
                  <w:pPr>
                    <w:adjustRightInd w:val="0"/>
                    <w:snapToGrid w:val="0"/>
                    <w:jc w:val="center"/>
                    <w:rPr>
                      <w:b/>
                      <w:color w:val="FF0000"/>
                      <w:szCs w:val="21"/>
                    </w:rPr>
                  </w:pPr>
                  <w:r>
                    <w:rPr>
                      <w:b/>
                      <w:color w:val="FF0000"/>
                      <w:szCs w:val="21"/>
                    </w:rPr>
                    <w:t>位置</w:t>
                  </w:r>
                </w:p>
              </w:tc>
              <w:tc>
                <w:tcPr>
                  <w:tcW w:w="418" w:type="pct"/>
                  <w:vAlign w:val="center"/>
                </w:tcPr>
                <w:p>
                  <w:pPr>
                    <w:adjustRightInd w:val="0"/>
                    <w:snapToGrid w:val="0"/>
                    <w:jc w:val="center"/>
                    <w:rPr>
                      <w:b/>
                      <w:color w:val="FF0000"/>
                      <w:szCs w:val="21"/>
                    </w:rPr>
                  </w:pPr>
                  <w:r>
                    <w:rPr>
                      <w:b/>
                      <w:color w:val="FF0000"/>
                      <w:szCs w:val="21"/>
                    </w:rPr>
                    <w:t>占地面积</w:t>
                  </w:r>
                  <w:r>
                    <w:commentReference w:id="11"/>
                  </w:r>
                </w:p>
              </w:tc>
              <w:tc>
                <w:tcPr>
                  <w:tcW w:w="385" w:type="pct"/>
                  <w:vAlign w:val="center"/>
                </w:tcPr>
                <w:p>
                  <w:pPr>
                    <w:adjustRightInd w:val="0"/>
                    <w:snapToGrid w:val="0"/>
                    <w:jc w:val="center"/>
                    <w:rPr>
                      <w:b/>
                      <w:szCs w:val="21"/>
                    </w:rPr>
                  </w:pPr>
                  <w:r>
                    <w:rPr>
                      <w:b/>
                      <w:szCs w:val="21"/>
                    </w:rPr>
                    <w:t>贮存方式</w:t>
                  </w:r>
                </w:p>
              </w:tc>
              <w:tc>
                <w:tcPr>
                  <w:tcW w:w="507" w:type="pct"/>
                  <w:vAlign w:val="center"/>
                </w:tcPr>
                <w:p>
                  <w:pPr>
                    <w:adjustRightInd w:val="0"/>
                    <w:snapToGrid w:val="0"/>
                    <w:jc w:val="center"/>
                    <w:rPr>
                      <w:b/>
                      <w:szCs w:val="21"/>
                    </w:rPr>
                  </w:pPr>
                  <w:r>
                    <w:rPr>
                      <w:b/>
                      <w:szCs w:val="21"/>
                    </w:rPr>
                    <w:t>贮存能力</w:t>
                  </w:r>
                  <w:r>
                    <w:rPr>
                      <w:rFonts w:hint="eastAsia"/>
                      <w:b/>
                      <w:szCs w:val="21"/>
                    </w:rPr>
                    <w:t>（</w:t>
                  </w:r>
                  <w:r>
                    <w:rPr>
                      <w:b/>
                      <w:bCs/>
                      <w:szCs w:val="21"/>
                    </w:rPr>
                    <w:t>t/a</w:t>
                  </w:r>
                  <w:r>
                    <w:rPr>
                      <w:rFonts w:hint="eastAsia"/>
                      <w:b/>
                      <w:szCs w:val="21"/>
                    </w:rPr>
                    <w:t>）</w:t>
                  </w:r>
                </w:p>
              </w:tc>
              <w:tc>
                <w:tcPr>
                  <w:tcW w:w="507" w:type="pct"/>
                  <w:vAlign w:val="center"/>
                </w:tcPr>
                <w:p>
                  <w:pPr>
                    <w:adjustRightInd w:val="0"/>
                    <w:snapToGrid w:val="0"/>
                    <w:jc w:val="center"/>
                    <w:rPr>
                      <w:b/>
                      <w:szCs w:val="21"/>
                    </w:rPr>
                  </w:pPr>
                  <w:r>
                    <w:rPr>
                      <w:rFonts w:hint="eastAsia"/>
                      <w:b/>
                      <w:szCs w:val="21"/>
                    </w:rPr>
                    <w:t>产生量（</w:t>
                  </w:r>
                  <w:r>
                    <w:rPr>
                      <w:b/>
                      <w:bCs/>
                      <w:szCs w:val="21"/>
                    </w:rPr>
                    <w:t>t/a</w:t>
                  </w:r>
                  <w:r>
                    <w:rPr>
                      <w:rFonts w:hint="eastAsia"/>
                      <w:b/>
                      <w:szCs w:val="21"/>
                    </w:rPr>
                    <w:t>）</w:t>
                  </w:r>
                </w:p>
              </w:tc>
              <w:tc>
                <w:tcPr>
                  <w:tcW w:w="363" w:type="pct"/>
                  <w:vAlign w:val="center"/>
                </w:tcPr>
                <w:p>
                  <w:pPr>
                    <w:adjustRightInd w:val="0"/>
                    <w:snapToGrid w:val="0"/>
                    <w:jc w:val="center"/>
                    <w:rPr>
                      <w:b/>
                      <w:szCs w:val="21"/>
                    </w:rPr>
                  </w:pPr>
                  <w:r>
                    <w:rPr>
                      <w:b/>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20" w:type="pct"/>
                  <w:vMerge w:val="restart"/>
                  <w:vAlign w:val="center"/>
                </w:tcPr>
                <w:p>
                  <w:pPr>
                    <w:adjustRightInd w:val="0"/>
                    <w:snapToGrid w:val="0"/>
                    <w:jc w:val="center"/>
                    <w:rPr>
                      <w:szCs w:val="21"/>
                    </w:rPr>
                  </w:pPr>
                  <w:r>
                    <w:rPr>
                      <w:rFonts w:hint="eastAsia"/>
                      <w:szCs w:val="21"/>
                    </w:rPr>
                    <w:t>医疗</w:t>
                  </w:r>
                  <w:r>
                    <w:rPr>
                      <w:szCs w:val="21"/>
                    </w:rPr>
                    <w:t>废物贮存间</w:t>
                  </w:r>
                </w:p>
              </w:tc>
              <w:tc>
                <w:tcPr>
                  <w:tcW w:w="508" w:type="pct"/>
                  <w:vMerge w:val="restart"/>
                  <w:vAlign w:val="center"/>
                </w:tcPr>
                <w:p>
                  <w:pPr>
                    <w:adjustRightInd w:val="0"/>
                    <w:snapToGrid w:val="0"/>
                    <w:jc w:val="center"/>
                    <w:rPr>
                      <w:szCs w:val="21"/>
                    </w:rPr>
                  </w:pPr>
                  <w:r>
                    <w:rPr>
                      <w:rFonts w:hint="eastAsia"/>
                      <w:szCs w:val="21"/>
                    </w:rPr>
                    <w:t>医疗废物</w:t>
                  </w:r>
                </w:p>
              </w:tc>
              <w:tc>
                <w:tcPr>
                  <w:tcW w:w="716" w:type="pct"/>
                  <w:vMerge w:val="restart"/>
                  <w:vAlign w:val="center"/>
                </w:tcPr>
                <w:p>
                  <w:pPr>
                    <w:adjustRightInd w:val="0"/>
                    <w:snapToGrid w:val="0"/>
                    <w:jc w:val="center"/>
                    <w:rPr>
                      <w:szCs w:val="21"/>
                    </w:rPr>
                  </w:pPr>
                  <w:r>
                    <w:rPr>
                      <w:szCs w:val="21"/>
                    </w:rPr>
                    <w:t>HW01医疗废物</w:t>
                  </w:r>
                </w:p>
              </w:tc>
              <w:tc>
                <w:tcPr>
                  <w:tcW w:w="719" w:type="pct"/>
                  <w:vAlign w:val="center"/>
                </w:tcPr>
                <w:p>
                  <w:pPr>
                    <w:spacing w:line="240" w:lineRule="atLeast"/>
                    <w:jc w:val="center"/>
                    <w:rPr>
                      <w:szCs w:val="21"/>
                    </w:rPr>
                  </w:pPr>
                  <w:r>
                    <w:rPr>
                      <w:szCs w:val="21"/>
                    </w:rPr>
                    <w:t>841-001-01</w:t>
                  </w:r>
                </w:p>
              </w:tc>
              <w:tc>
                <w:tcPr>
                  <w:tcW w:w="352" w:type="pct"/>
                  <w:vMerge w:val="restart"/>
                  <w:vAlign w:val="center"/>
                </w:tcPr>
                <w:p>
                  <w:pPr>
                    <w:adjustRightInd w:val="0"/>
                    <w:snapToGrid w:val="0"/>
                    <w:jc w:val="center"/>
                    <w:rPr>
                      <w:rFonts w:hint="eastAsia" w:eastAsia="宋体"/>
                      <w:color w:val="FF0000"/>
                      <w:szCs w:val="21"/>
                      <w:lang w:val="en-US" w:eastAsia="zh-CN"/>
                    </w:rPr>
                  </w:pPr>
                  <w:r>
                    <w:rPr>
                      <w:rFonts w:hint="eastAsia"/>
                      <w:color w:val="FF0000"/>
                      <w:szCs w:val="21"/>
                    </w:rPr>
                    <w:t>定点医院</w:t>
                  </w:r>
                  <w:r>
                    <w:rPr>
                      <w:rFonts w:hint="eastAsia"/>
                      <w:color w:val="FF0000"/>
                      <w:szCs w:val="21"/>
                      <w:lang w:val="en-US" w:eastAsia="zh-CN"/>
                    </w:rPr>
                    <w:t>北侧</w:t>
                  </w:r>
                </w:p>
              </w:tc>
              <w:tc>
                <w:tcPr>
                  <w:tcW w:w="418" w:type="pct"/>
                  <w:vMerge w:val="restart"/>
                  <w:vAlign w:val="center"/>
                </w:tcPr>
                <w:p>
                  <w:pPr>
                    <w:adjustRightInd w:val="0"/>
                    <w:snapToGrid w:val="0"/>
                    <w:jc w:val="center"/>
                    <w:rPr>
                      <w:color w:val="FF0000"/>
                      <w:szCs w:val="21"/>
                    </w:rPr>
                  </w:pPr>
                  <w:r>
                    <w:rPr>
                      <w:rFonts w:hint="eastAsia"/>
                      <w:color w:val="FF0000"/>
                      <w:szCs w:val="21"/>
                    </w:rPr>
                    <w:t>17</w:t>
                  </w:r>
                  <w:r>
                    <w:rPr>
                      <w:color w:val="FF0000"/>
                      <w:szCs w:val="21"/>
                    </w:rPr>
                    <w:t>m</w:t>
                  </w:r>
                  <w:r>
                    <w:rPr>
                      <w:color w:val="FF0000"/>
                      <w:szCs w:val="21"/>
                      <w:vertAlign w:val="superscript"/>
                    </w:rPr>
                    <w:t>2</w:t>
                  </w:r>
                </w:p>
              </w:tc>
              <w:tc>
                <w:tcPr>
                  <w:tcW w:w="385" w:type="pct"/>
                  <w:vMerge w:val="restart"/>
                  <w:vAlign w:val="center"/>
                </w:tcPr>
                <w:p>
                  <w:pPr>
                    <w:adjustRightInd w:val="0"/>
                    <w:snapToGrid w:val="0"/>
                    <w:jc w:val="center"/>
                    <w:rPr>
                      <w:szCs w:val="21"/>
                    </w:rPr>
                  </w:pPr>
                  <w:r>
                    <w:rPr>
                      <w:szCs w:val="21"/>
                    </w:rPr>
                    <w:t>桶装</w:t>
                  </w:r>
                </w:p>
              </w:tc>
              <w:tc>
                <w:tcPr>
                  <w:tcW w:w="507" w:type="pct"/>
                  <w:vMerge w:val="restart"/>
                  <w:vAlign w:val="center"/>
                </w:tcPr>
                <w:p>
                  <w:pPr>
                    <w:adjustRightInd w:val="0"/>
                    <w:snapToGrid w:val="0"/>
                    <w:jc w:val="center"/>
                    <w:rPr>
                      <w:szCs w:val="21"/>
                    </w:rPr>
                  </w:pPr>
                  <w:r>
                    <w:rPr>
                      <w:rFonts w:hint="eastAsia"/>
                      <w:szCs w:val="21"/>
                    </w:rPr>
                    <w:t>1</w:t>
                  </w:r>
                </w:p>
              </w:tc>
              <w:tc>
                <w:tcPr>
                  <w:tcW w:w="507" w:type="pct"/>
                  <w:vMerge w:val="restart"/>
                  <w:vAlign w:val="center"/>
                </w:tcPr>
                <w:p>
                  <w:pPr>
                    <w:spacing w:line="240" w:lineRule="atLeast"/>
                    <w:jc w:val="center"/>
                    <w:rPr>
                      <w:szCs w:val="21"/>
                    </w:rPr>
                  </w:pPr>
                  <w:r>
                    <w:rPr>
                      <w:rFonts w:hint="eastAsia"/>
                      <w:szCs w:val="21"/>
                    </w:rPr>
                    <w:t>8.43</w:t>
                  </w:r>
                </w:p>
              </w:tc>
              <w:tc>
                <w:tcPr>
                  <w:tcW w:w="363" w:type="pct"/>
                  <w:vMerge w:val="restart"/>
                  <w:vAlign w:val="center"/>
                </w:tcPr>
                <w:p>
                  <w:pPr>
                    <w:adjustRightInd w:val="0"/>
                    <w:snapToGrid w:val="0"/>
                    <w:jc w:val="center"/>
                    <w:rPr>
                      <w:szCs w:val="21"/>
                    </w:rPr>
                  </w:pPr>
                  <w:r>
                    <w:rPr>
                      <w:rFonts w:hint="eastAsia"/>
                      <w:szCs w:val="21"/>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20" w:type="pct"/>
                  <w:vMerge w:val="continue"/>
                  <w:vAlign w:val="center"/>
                </w:tcPr>
                <w:p>
                  <w:pPr>
                    <w:adjustRightInd w:val="0"/>
                    <w:snapToGrid w:val="0"/>
                    <w:jc w:val="center"/>
                    <w:rPr>
                      <w:szCs w:val="21"/>
                    </w:rPr>
                  </w:pPr>
                </w:p>
              </w:tc>
              <w:tc>
                <w:tcPr>
                  <w:tcW w:w="508" w:type="pct"/>
                  <w:vMerge w:val="continue"/>
                  <w:vAlign w:val="center"/>
                </w:tcPr>
                <w:p>
                  <w:pPr>
                    <w:adjustRightInd w:val="0"/>
                    <w:snapToGrid w:val="0"/>
                    <w:jc w:val="center"/>
                    <w:rPr>
                      <w:szCs w:val="21"/>
                    </w:rPr>
                  </w:pPr>
                </w:p>
              </w:tc>
              <w:tc>
                <w:tcPr>
                  <w:tcW w:w="716" w:type="pct"/>
                  <w:vMerge w:val="continue"/>
                  <w:vAlign w:val="center"/>
                </w:tcPr>
                <w:p>
                  <w:pPr>
                    <w:adjustRightInd w:val="0"/>
                    <w:snapToGrid w:val="0"/>
                    <w:jc w:val="center"/>
                    <w:rPr>
                      <w:szCs w:val="21"/>
                    </w:rPr>
                  </w:pPr>
                </w:p>
              </w:tc>
              <w:tc>
                <w:tcPr>
                  <w:tcW w:w="719" w:type="pct"/>
                  <w:vAlign w:val="center"/>
                </w:tcPr>
                <w:p>
                  <w:pPr>
                    <w:spacing w:line="240" w:lineRule="atLeast"/>
                    <w:jc w:val="center"/>
                    <w:rPr>
                      <w:szCs w:val="21"/>
                    </w:rPr>
                  </w:pPr>
                  <w:r>
                    <w:rPr>
                      <w:rFonts w:hint="eastAsia"/>
                      <w:szCs w:val="21"/>
                    </w:rPr>
                    <w:t>841-002-01</w:t>
                  </w:r>
                </w:p>
              </w:tc>
              <w:tc>
                <w:tcPr>
                  <w:tcW w:w="352" w:type="pct"/>
                  <w:vMerge w:val="continue"/>
                  <w:vAlign w:val="center"/>
                </w:tcPr>
                <w:p>
                  <w:pPr>
                    <w:adjustRightInd w:val="0"/>
                    <w:snapToGrid w:val="0"/>
                    <w:jc w:val="center"/>
                    <w:rPr>
                      <w:szCs w:val="21"/>
                    </w:rPr>
                  </w:pPr>
                </w:p>
              </w:tc>
              <w:tc>
                <w:tcPr>
                  <w:tcW w:w="418" w:type="pct"/>
                  <w:vMerge w:val="continue"/>
                  <w:vAlign w:val="center"/>
                </w:tcPr>
                <w:p>
                  <w:pPr>
                    <w:adjustRightInd w:val="0"/>
                    <w:snapToGrid w:val="0"/>
                    <w:jc w:val="center"/>
                    <w:rPr>
                      <w:szCs w:val="21"/>
                    </w:rPr>
                  </w:pPr>
                </w:p>
              </w:tc>
              <w:tc>
                <w:tcPr>
                  <w:tcW w:w="385" w:type="pct"/>
                  <w:vMerge w:val="continue"/>
                  <w:vAlign w:val="center"/>
                </w:tcPr>
                <w:p>
                  <w:pPr>
                    <w:adjustRightInd w:val="0"/>
                    <w:snapToGrid w:val="0"/>
                    <w:jc w:val="center"/>
                    <w:rPr>
                      <w:szCs w:val="21"/>
                    </w:rPr>
                  </w:pPr>
                </w:p>
              </w:tc>
              <w:tc>
                <w:tcPr>
                  <w:tcW w:w="507" w:type="pct"/>
                  <w:vMerge w:val="continue"/>
                  <w:vAlign w:val="center"/>
                </w:tcPr>
                <w:p>
                  <w:pPr>
                    <w:adjustRightInd w:val="0"/>
                    <w:snapToGrid w:val="0"/>
                    <w:jc w:val="center"/>
                    <w:rPr>
                      <w:szCs w:val="21"/>
                    </w:rPr>
                  </w:pPr>
                </w:p>
              </w:tc>
              <w:tc>
                <w:tcPr>
                  <w:tcW w:w="507" w:type="pct"/>
                  <w:vMerge w:val="continue"/>
                  <w:vAlign w:val="center"/>
                </w:tcPr>
                <w:p>
                  <w:pPr>
                    <w:spacing w:line="240" w:lineRule="atLeast"/>
                    <w:jc w:val="center"/>
                    <w:rPr>
                      <w:szCs w:val="21"/>
                    </w:rPr>
                  </w:pPr>
                </w:p>
              </w:tc>
              <w:tc>
                <w:tcPr>
                  <w:tcW w:w="36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20" w:type="pct"/>
                  <w:vMerge w:val="continue"/>
                  <w:vAlign w:val="center"/>
                </w:tcPr>
                <w:p>
                  <w:pPr>
                    <w:adjustRightInd w:val="0"/>
                    <w:snapToGrid w:val="0"/>
                    <w:jc w:val="center"/>
                    <w:rPr>
                      <w:szCs w:val="21"/>
                    </w:rPr>
                  </w:pPr>
                </w:p>
              </w:tc>
              <w:tc>
                <w:tcPr>
                  <w:tcW w:w="508" w:type="pct"/>
                  <w:vMerge w:val="continue"/>
                  <w:vAlign w:val="center"/>
                </w:tcPr>
                <w:p>
                  <w:pPr>
                    <w:adjustRightInd w:val="0"/>
                    <w:snapToGrid w:val="0"/>
                    <w:jc w:val="center"/>
                    <w:rPr>
                      <w:szCs w:val="21"/>
                    </w:rPr>
                  </w:pPr>
                </w:p>
              </w:tc>
              <w:tc>
                <w:tcPr>
                  <w:tcW w:w="716" w:type="pct"/>
                  <w:vMerge w:val="continue"/>
                  <w:vAlign w:val="center"/>
                </w:tcPr>
                <w:p>
                  <w:pPr>
                    <w:adjustRightInd w:val="0"/>
                    <w:snapToGrid w:val="0"/>
                    <w:jc w:val="center"/>
                    <w:rPr>
                      <w:szCs w:val="21"/>
                    </w:rPr>
                  </w:pPr>
                </w:p>
              </w:tc>
              <w:tc>
                <w:tcPr>
                  <w:tcW w:w="719" w:type="pct"/>
                  <w:vAlign w:val="center"/>
                </w:tcPr>
                <w:p>
                  <w:pPr>
                    <w:spacing w:line="240" w:lineRule="atLeast"/>
                    <w:jc w:val="center"/>
                    <w:rPr>
                      <w:szCs w:val="21"/>
                    </w:rPr>
                  </w:pPr>
                  <w:r>
                    <w:rPr>
                      <w:rFonts w:hint="eastAsia"/>
                      <w:szCs w:val="21"/>
                    </w:rPr>
                    <w:t>841-003-01</w:t>
                  </w:r>
                </w:p>
              </w:tc>
              <w:tc>
                <w:tcPr>
                  <w:tcW w:w="352" w:type="pct"/>
                  <w:vMerge w:val="continue"/>
                  <w:vAlign w:val="center"/>
                </w:tcPr>
                <w:p>
                  <w:pPr>
                    <w:adjustRightInd w:val="0"/>
                    <w:snapToGrid w:val="0"/>
                    <w:jc w:val="center"/>
                    <w:rPr>
                      <w:szCs w:val="21"/>
                    </w:rPr>
                  </w:pPr>
                </w:p>
              </w:tc>
              <w:tc>
                <w:tcPr>
                  <w:tcW w:w="418" w:type="pct"/>
                  <w:vMerge w:val="continue"/>
                  <w:vAlign w:val="center"/>
                </w:tcPr>
                <w:p>
                  <w:pPr>
                    <w:adjustRightInd w:val="0"/>
                    <w:snapToGrid w:val="0"/>
                    <w:jc w:val="center"/>
                    <w:rPr>
                      <w:szCs w:val="21"/>
                    </w:rPr>
                  </w:pPr>
                </w:p>
              </w:tc>
              <w:tc>
                <w:tcPr>
                  <w:tcW w:w="385" w:type="pct"/>
                  <w:vMerge w:val="continue"/>
                  <w:vAlign w:val="center"/>
                </w:tcPr>
                <w:p>
                  <w:pPr>
                    <w:adjustRightInd w:val="0"/>
                    <w:snapToGrid w:val="0"/>
                    <w:jc w:val="center"/>
                    <w:rPr>
                      <w:szCs w:val="21"/>
                    </w:rPr>
                  </w:pPr>
                </w:p>
              </w:tc>
              <w:tc>
                <w:tcPr>
                  <w:tcW w:w="507" w:type="pct"/>
                  <w:vMerge w:val="continue"/>
                  <w:vAlign w:val="center"/>
                </w:tcPr>
                <w:p>
                  <w:pPr>
                    <w:adjustRightInd w:val="0"/>
                    <w:snapToGrid w:val="0"/>
                    <w:jc w:val="center"/>
                    <w:rPr>
                      <w:szCs w:val="21"/>
                    </w:rPr>
                  </w:pPr>
                </w:p>
              </w:tc>
              <w:tc>
                <w:tcPr>
                  <w:tcW w:w="507" w:type="pct"/>
                  <w:vMerge w:val="continue"/>
                  <w:vAlign w:val="center"/>
                </w:tcPr>
                <w:p>
                  <w:pPr>
                    <w:spacing w:line="240" w:lineRule="atLeast"/>
                    <w:jc w:val="center"/>
                    <w:rPr>
                      <w:szCs w:val="21"/>
                    </w:rPr>
                  </w:pPr>
                </w:p>
              </w:tc>
              <w:tc>
                <w:tcPr>
                  <w:tcW w:w="36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20" w:type="pct"/>
                  <w:vMerge w:val="continue"/>
                  <w:vAlign w:val="center"/>
                </w:tcPr>
                <w:p>
                  <w:pPr>
                    <w:adjustRightInd w:val="0"/>
                    <w:snapToGrid w:val="0"/>
                    <w:jc w:val="center"/>
                    <w:rPr>
                      <w:szCs w:val="21"/>
                    </w:rPr>
                  </w:pPr>
                </w:p>
              </w:tc>
              <w:tc>
                <w:tcPr>
                  <w:tcW w:w="508" w:type="pct"/>
                  <w:vMerge w:val="continue"/>
                  <w:vAlign w:val="center"/>
                </w:tcPr>
                <w:p>
                  <w:pPr>
                    <w:adjustRightInd w:val="0"/>
                    <w:snapToGrid w:val="0"/>
                    <w:jc w:val="center"/>
                    <w:rPr>
                      <w:szCs w:val="21"/>
                    </w:rPr>
                  </w:pPr>
                </w:p>
              </w:tc>
              <w:tc>
                <w:tcPr>
                  <w:tcW w:w="716" w:type="pct"/>
                  <w:vMerge w:val="continue"/>
                  <w:vAlign w:val="center"/>
                </w:tcPr>
                <w:p>
                  <w:pPr>
                    <w:adjustRightInd w:val="0"/>
                    <w:snapToGrid w:val="0"/>
                    <w:jc w:val="center"/>
                    <w:rPr>
                      <w:szCs w:val="21"/>
                    </w:rPr>
                  </w:pPr>
                </w:p>
              </w:tc>
              <w:tc>
                <w:tcPr>
                  <w:tcW w:w="719" w:type="pct"/>
                  <w:vAlign w:val="center"/>
                </w:tcPr>
                <w:p>
                  <w:pPr>
                    <w:spacing w:line="240" w:lineRule="atLeast"/>
                    <w:jc w:val="center"/>
                    <w:rPr>
                      <w:szCs w:val="21"/>
                    </w:rPr>
                  </w:pPr>
                  <w:r>
                    <w:rPr>
                      <w:rFonts w:hint="eastAsia"/>
                      <w:szCs w:val="21"/>
                    </w:rPr>
                    <w:t>841-004-01</w:t>
                  </w:r>
                </w:p>
              </w:tc>
              <w:tc>
                <w:tcPr>
                  <w:tcW w:w="352" w:type="pct"/>
                  <w:vMerge w:val="continue"/>
                  <w:vAlign w:val="center"/>
                </w:tcPr>
                <w:p>
                  <w:pPr>
                    <w:adjustRightInd w:val="0"/>
                    <w:snapToGrid w:val="0"/>
                    <w:jc w:val="center"/>
                    <w:rPr>
                      <w:szCs w:val="21"/>
                    </w:rPr>
                  </w:pPr>
                </w:p>
              </w:tc>
              <w:tc>
                <w:tcPr>
                  <w:tcW w:w="418" w:type="pct"/>
                  <w:vMerge w:val="continue"/>
                  <w:vAlign w:val="center"/>
                </w:tcPr>
                <w:p>
                  <w:pPr>
                    <w:adjustRightInd w:val="0"/>
                    <w:snapToGrid w:val="0"/>
                    <w:jc w:val="center"/>
                    <w:rPr>
                      <w:szCs w:val="21"/>
                    </w:rPr>
                  </w:pPr>
                </w:p>
              </w:tc>
              <w:tc>
                <w:tcPr>
                  <w:tcW w:w="385" w:type="pct"/>
                  <w:vMerge w:val="continue"/>
                  <w:vAlign w:val="center"/>
                </w:tcPr>
                <w:p>
                  <w:pPr>
                    <w:adjustRightInd w:val="0"/>
                    <w:snapToGrid w:val="0"/>
                    <w:jc w:val="center"/>
                    <w:rPr>
                      <w:szCs w:val="21"/>
                    </w:rPr>
                  </w:pPr>
                </w:p>
              </w:tc>
              <w:tc>
                <w:tcPr>
                  <w:tcW w:w="507" w:type="pct"/>
                  <w:vMerge w:val="continue"/>
                  <w:vAlign w:val="center"/>
                </w:tcPr>
                <w:p>
                  <w:pPr>
                    <w:adjustRightInd w:val="0"/>
                    <w:snapToGrid w:val="0"/>
                    <w:jc w:val="center"/>
                    <w:rPr>
                      <w:szCs w:val="21"/>
                    </w:rPr>
                  </w:pPr>
                </w:p>
              </w:tc>
              <w:tc>
                <w:tcPr>
                  <w:tcW w:w="507" w:type="pct"/>
                  <w:vMerge w:val="continue"/>
                  <w:vAlign w:val="center"/>
                </w:tcPr>
                <w:p>
                  <w:pPr>
                    <w:spacing w:line="240" w:lineRule="atLeast"/>
                    <w:jc w:val="center"/>
                    <w:rPr>
                      <w:szCs w:val="21"/>
                    </w:rPr>
                  </w:pPr>
                </w:p>
              </w:tc>
              <w:tc>
                <w:tcPr>
                  <w:tcW w:w="36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20" w:type="pct"/>
                  <w:vMerge w:val="continue"/>
                  <w:vAlign w:val="center"/>
                </w:tcPr>
                <w:p>
                  <w:pPr>
                    <w:adjustRightInd w:val="0"/>
                    <w:snapToGrid w:val="0"/>
                    <w:jc w:val="center"/>
                    <w:rPr>
                      <w:szCs w:val="21"/>
                    </w:rPr>
                  </w:pPr>
                </w:p>
              </w:tc>
              <w:tc>
                <w:tcPr>
                  <w:tcW w:w="508" w:type="pct"/>
                  <w:vMerge w:val="continue"/>
                  <w:vAlign w:val="center"/>
                </w:tcPr>
                <w:p>
                  <w:pPr>
                    <w:adjustRightInd w:val="0"/>
                    <w:snapToGrid w:val="0"/>
                    <w:jc w:val="center"/>
                    <w:rPr>
                      <w:szCs w:val="21"/>
                    </w:rPr>
                  </w:pPr>
                </w:p>
              </w:tc>
              <w:tc>
                <w:tcPr>
                  <w:tcW w:w="716" w:type="pct"/>
                  <w:vMerge w:val="continue"/>
                  <w:vAlign w:val="center"/>
                </w:tcPr>
                <w:p>
                  <w:pPr>
                    <w:adjustRightInd w:val="0"/>
                    <w:snapToGrid w:val="0"/>
                    <w:jc w:val="center"/>
                    <w:rPr>
                      <w:szCs w:val="21"/>
                    </w:rPr>
                  </w:pPr>
                </w:p>
              </w:tc>
              <w:tc>
                <w:tcPr>
                  <w:tcW w:w="719" w:type="pct"/>
                  <w:vAlign w:val="center"/>
                </w:tcPr>
                <w:p>
                  <w:pPr>
                    <w:spacing w:line="240" w:lineRule="atLeast"/>
                    <w:jc w:val="center"/>
                    <w:rPr>
                      <w:szCs w:val="21"/>
                    </w:rPr>
                  </w:pPr>
                  <w:r>
                    <w:rPr>
                      <w:rFonts w:hint="eastAsia"/>
                      <w:szCs w:val="21"/>
                    </w:rPr>
                    <w:t>841-005-01</w:t>
                  </w:r>
                </w:p>
              </w:tc>
              <w:tc>
                <w:tcPr>
                  <w:tcW w:w="352" w:type="pct"/>
                  <w:vMerge w:val="continue"/>
                  <w:vAlign w:val="center"/>
                </w:tcPr>
                <w:p>
                  <w:pPr>
                    <w:adjustRightInd w:val="0"/>
                    <w:snapToGrid w:val="0"/>
                    <w:jc w:val="center"/>
                    <w:rPr>
                      <w:szCs w:val="21"/>
                    </w:rPr>
                  </w:pPr>
                </w:p>
              </w:tc>
              <w:tc>
                <w:tcPr>
                  <w:tcW w:w="418" w:type="pct"/>
                  <w:vMerge w:val="continue"/>
                  <w:vAlign w:val="center"/>
                </w:tcPr>
                <w:p>
                  <w:pPr>
                    <w:adjustRightInd w:val="0"/>
                    <w:snapToGrid w:val="0"/>
                    <w:jc w:val="center"/>
                    <w:rPr>
                      <w:szCs w:val="21"/>
                    </w:rPr>
                  </w:pPr>
                </w:p>
              </w:tc>
              <w:tc>
                <w:tcPr>
                  <w:tcW w:w="385" w:type="pct"/>
                  <w:vMerge w:val="continue"/>
                  <w:vAlign w:val="center"/>
                </w:tcPr>
                <w:p>
                  <w:pPr>
                    <w:adjustRightInd w:val="0"/>
                    <w:snapToGrid w:val="0"/>
                    <w:jc w:val="center"/>
                    <w:rPr>
                      <w:szCs w:val="21"/>
                    </w:rPr>
                  </w:pPr>
                </w:p>
              </w:tc>
              <w:tc>
                <w:tcPr>
                  <w:tcW w:w="507" w:type="pct"/>
                  <w:vMerge w:val="continue"/>
                  <w:vAlign w:val="center"/>
                </w:tcPr>
                <w:p>
                  <w:pPr>
                    <w:adjustRightInd w:val="0"/>
                    <w:snapToGrid w:val="0"/>
                    <w:jc w:val="center"/>
                    <w:rPr>
                      <w:szCs w:val="21"/>
                    </w:rPr>
                  </w:pPr>
                </w:p>
              </w:tc>
              <w:tc>
                <w:tcPr>
                  <w:tcW w:w="507" w:type="pct"/>
                  <w:vMerge w:val="continue"/>
                  <w:vAlign w:val="center"/>
                </w:tcPr>
                <w:p>
                  <w:pPr>
                    <w:spacing w:line="240" w:lineRule="atLeast"/>
                    <w:jc w:val="center"/>
                    <w:rPr>
                      <w:szCs w:val="21"/>
                    </w:rPr>
                  </w:pPr>
                </w:p>
              </w:tc>
              <w:tc>
                <w:tcPr>
                  <w:tcW w:w="36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adjustRightInd w:val="0"/>
                    <w:snapToGrid w:val="0"/>
                    <w:jc w:val="center"/>
                    <w:rPr>
                      <w:szCs w:val="21"/>
                    </w:rPr>
                  </w:pPr>
                </w:p>
              </w:tc>
              <w:tc>
                <w:tcPr>
                  <w:tcW w:w="508" w:type="pct"/>
                  <w:vAlign w:val="center"/>
                </w:tcPr>
                <w:p>
                  <w:pPr>
                    <w:spacing w:line="240" w:lineRule="atLeast"/>
                    <w:jc w:val="center"/>
                    <w:rPr>
                      <w:szCs w:val="21"/>
                    </w:rPr>
                  </w:pPr>
                  <w:r>
                    <w:rPr>
                      <w:rFonts w:hint="eastAsia"/>
                      <w:szCs w:val="21"/>
                    </w:rPr>
                    <w:t>感染类生活垃圾</w:t>
                  </w:r>
                </w:p>
              </w:tc>
              <w:tc>
                <w:tcPr>
                  <w:tcW w:w="716" w:type="pct"/>
                  <w:vAlign w:val="center"/>
                </w:tcPr>
                <w:p>
                  <w:pPr>
                    <w:adjustRightInd w:val="0"/>
                    <w:snapToGrid w:val="0"/>
                    <w:jc w:val="center"/>
                    <w:rPr>
                      <w:szCs w:val="21"/>
                    </w:rPr>
                  </w:pPr>
                  <w:r>
                    <w:rPr>
                      <w:szCs w:val="21"/>
                    </w:rPr>
                    <w:t>HW01医疗废物</w:t>
                  </w:r>
                </w:p>
              </w:tc>
              <w:tc>
                <w:tcPr>
                  <w:tcW w:w="719" w:type="pct"/>
                  <w:vAlign w:val="center"/>
                </w:tcPr>
                <w:p>
                  <w:pPr>
                    <w:adjustRightInd w:val="0"/>
                    <w:snapToGrid w:val="0"/>
                    <w:jc w:val="center"/>
                    <w:rPr>
                      <w:szCs w:val="21"/>
                    </w:rPr>
                  </w:pPr>
                  <w:r>
                    <w:rPr>
                      <w:szCs w:val="21"/>
                    </w:rPr>
                    <w:t>841-001-01</w:t>
                  </w:r>
                </w:p>
              </w:tc>
              <w:tc>
                <w:tcPr>
                  <w:tcW w:w="352" w:type="pct"/>
                  <w:vMerge w:val="continue"/>
                  <w:vAlign w:val="center"/>
                </w:tcPr>
                <w:p>
                  <w:pPr>
                    <w:adjustRightInd w:val="0"/>
                    <w:snapToGrid w:val="0"/>
                    <w:jc w:val="center"/>
                    <w:rPr>
                      <w:szCs w:val="21"/>
                    </w:rPr>
                  </w:pPr>
                </w:p>
              </w:tc>
              <w:tc>
                <w:tcPr>
                  <w:tcW w:w="418" w:type="pct"/>
                  <w:vMerge w:val="continue"/>
                  <w:vAlign w:val="center"/>
                </w:tcPr>
                <w:p>
                  <w:pPr>
                    <w:adjustRightInd w:val="0"/>
                    <w:snapToGrid w:val="0"/>
                    <w:jc w:val="center"/>
                    <w:rPr>
                      <w:szCs w:val="21"/>
                    </w:rPr>
                  </w:pPr>
                </w:p>
              </w:tc>
              <w:tc>
                <w:tcPr>
                  <w:tcW w:w="385" w:type="pct"/>
                  <w:vAlign w:val="center"/>
                </w:tcPr>
                <w:p>
                  <w:pPr>
                    <w:adjustRightInd w:val="0"/>
                    <w:snapToGrid w:val="0"/>
                    <w:jc w:val="center"/>
                    <w:rPr>
                      <w:szCs w:val="21"/>
                    </w:rPr>
                  </w:pPr>
                  <w:r>
                    <w:rPr>
                      <w:szCs w:val="21"/>
                    </w:rPr>
                    <w:t>桶装</w:t>
                  </w:r>
                </w:p>
              </w:tc>
              <w:tc>
                <w:tcPr>
                  <w:tcW w:w="507" w:type="pct"/>
                  <w:vAlign w:val="center"/>
                </w:tcPr>
                <w:p>
                  <w:pPr>
                    <w:adjustRightInd w:val="0"/>
                    <w:snapToGrid w:val="0"/>
                    <w:jc w:val="center"/>
                    <w:rPr>
                      <w:szCs w:val="21"/>
                    </w:rPr>
                  </w:pPr>
                  <w:r>
                    <w:rPr>
                      <w:rFonts w:hint="eastAsia"/>
                      <w:szCs w:val="21"/>
                    </w:rPr>
                    <w:t>1</w:t>
                  </w:r>
                </w:p>
              </w:tc>
              <w:tc>
                <w:tcPr>
                  <w:tcW w:w="507" w:type="pct"/>
                  <w:vAlign w:val="center"/>
                </w:tcPr>
                <w:p>
                  <w:pPr>
                    <w:spacing w:line="240" w:lineRule="atLeast"/>
                    <w:jc w:val="center"/>
                    <w:rPr>
                      <w:color w:val="FF0000"/>
                      <w:szCs w:val="21"/>
                    </w:rPr>
                  </w:pPr>
                  <w:r>
                    <w:rPr>
                      <w:rFonts w:hint="eastAsia"/>
                      <w:bCs/>
                      <w:szCs w:val="21"/>
                    </w:rPr>
                    <w:t>21.35</w:t>
                  </w:r>
                </w:p>
              </w:tc>
              <w:tc>
                <w:tcPr>
                  <w:tcW w:w="363" w:type="pct"/>
                  <w:vAlign w:val="center"/>
                </w:tcPr>
                <w:p>
                  <w:pPr>
                    <w:adjustRightInd w:val="0"/>
                    <w:snapToGrid w:val="0"/>
                    <w:jc w:val="center"/>
                    <w:rPr>
                      <w:szCs w:val="21"/>
                    </w:rPr>
                  </w:pPr>
                  <w:r>
                    <w:rPr>
                      <w:rFonts w:hint="eastAsia"/>
                      <w:szCs w:val="21"/>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pPr>
                    <w:adjustRightInd w:val="0"/>
                    <w:snapToGrid w:val="0"/>
                    <w:jc w:val="center"/>
                    <w:rPr>
                      <w:szCs w:val="21"/>
                    </w:rPr>
                  </w:pPr>
                </w:p>
              </w:tc>
              <w:tc>
                <w:tcPr>
                  <w:tcW w:w="508" w:type="pct"/>
                  <w:vAlign w:val="center"/>
                </w:tcPr>
                <w:p>
                  <w:pPr>
                    <w:spacing w:line="240" w:lineRule="atLeast"/>
                    <w:jc w:val="center"/>
                    <w:rPr>
                      <w:szCs w:val="21"/>
                    </w:rPr>
                  </w:pPr>
                  <w:r>
                    <w:rPr>
                      <w:rFonts w:hint="eastAsia"/>
                      <w:szCs w:val="21"/>
                    </w:rPr>
                    <w:t>通风系统废滤材</w:t>
                  </w:r>
                </w:p>
              </w:tc>
              <w:tc>
                <w:tcPr>
                  <w:tcW w:w="716" w:type="pct"/>
                  <w:vAlign w:val="center"/>
                </w:tcPr>
                <w:p>
                  <w:pPr>
                    <w:adjustRightInd w:val="0"/>
                    <w:snapToGrid w:val="0"/>
                    <w:jc w:val="center"/>
                    <w:rPr>
                      <w:szCs w:val="21"/>
                    </w:rPr>
                  </w:pPr>
                  <w:r>
                    <w:rPr>
                      <w:szCs w:val="21"/>
                    </w:rPr>
                    <w:t>HW01医疗废物</w:t>
                  </w:r>
                </w:p>
              </w:tc>
              <w:tc>
                <w:tcPr>
                  <w:tcW w:w="719" w:type="pct"/>
                  <w:vAlign w:val="center"/>
                </w:tcPr>
                <w:p>
                  <w:pPr>
                    <w:adjustRightInd w:val="0"/>
                    <w:snapToGrid w:val="0"/>
                    <w:jc w:val="center"/>
                    <w:rPr>
                      <w:szCs w:val="21"/>
                    </w:rPr>
                  </w:pPr>
                  <w:r>
                    <w:rPr>
                      <w:szCs w:val="21"/>
                    </w:rPr>
                    <w:t>841-001-01</w:t>
                  </w:r>
                </w:p>
              </w:tc>
              <w:tc>
                <w:tcPr>
                  <w:tcW w:w="352" w:type="pct"/>
                  <w:vMerge w:val="continue"/>
                  <w:vAlign w:val="center"/>
                </w:tcPr>
                <w:p>
                  <w:pPr>
                    <w:adjustRightInd w:val="0"/>
                    <w:snapToGrid w:val="0"/>
                    <w:jc w:val="center"/>
                    <w:rPr>
                      <w:szCs w:val="21"/>
                      <w:highlight w:val="yellow"/>
                    </w:rPr>
                  </w:pPr>
                </w:p>
              </w:tc>
              <w:tc>
                <w:tcPr>
                  <w:tcW w:w="418" w:type="pct"/>
                  <w:vMerge w:val="continue"/>
                  <w:vAlign w:val="center"/>
                </w:tcPr>
                <w:p>
                  <w:pPr>
                    <w:adjustRightInd w:val="0"/>
                    <w:snapToGrid w:val="0"/>
                    <w:jc w:val="center"/>
                    <w:rPr>
                      <w:szCs w:val="21"/>
                      <w:highlight w:val="yellow"/>
                    </w:rPr>
                  </w:pPr>
                </w:p>
              </w:tc>
              <w:tc>
                <w:tcPr>
                  <w:tcW w:w="385" w:type="pct"/>
                  <w:vAlign w:val="center"/>
                </w:tcPr>
                <w:p>
                  <w:pPr>
                    <w:adjustRightInd w:val="0"/>
                    <w:snapToGrid w:val="0"/>
                    <w:jc w:val="center"/>
                    <w:rPr>
                      <w:szCs w:val="21"/>
                    </w:rPr>
                  </w:pPr>
                  <w:r>
                    <w:rPr>
                      <w:szCs w:val="21"/>
                    </w:rPr>
                    <w:t>桶装</w:t>
                  </w:r>
                </w:p>
              </w:tc>
              <w:tc>
                <w:tcPr>
                  <w:tcW w:w="507" w:type="pct"/>
                  <w:vAlign w:val="center"/>
                </w:tcPr>
                <w:p>
                  <w:pPr>
                    <w:adjustRightInd w:val="0"/>
                    <w:snapToGrid w:val="0"/>
                    <w:jc w:val="center"/>
                    <w:rPr>
                      <w:szCs w:val="21"/>
                    </w:rPr>
                  </w:pPr>
                  <w:r>
                    <w:rPr>
                      <w:rFonts w:hint="eastAsia"/>
                      <w:szCs w:val="21"/>
                    </w:rPr>
                    <w:t>0.5</w:t>
                  </w:r>
                </w:p>
              </w:tc>
              <w:tc>
                <w:tcPr>
                  <w:tcW w:w="507" w:type="pct"/>
                  <w:vAlign w:val="center"/>
                </w:tcPr>
                <w:p>
                  <w:pPr>
                    <w:spacing w:line="240" w:lineRule="atLeast"/>
                    <w:jc w:val="center"/>
                    <w:rPr>
                      <w:bCs/>
                      <w:color w:val="FF0000"/>
                      <w:szCs w:val="21"/>
                    </w:rPr>
                  </w:pPr>
                  <w:r>
                    <w:rPr>
                      <w:rFonts w:hint="eastAsia"/>
                      <w:bCs/>
                      <w:szCs w:val="21"/>
                    </w:rPr>
                    <w:t>0.15</w:t>
                  </w:r>
                </w:p>
              </w:tc>
              <w:tc>
                <w:tcPr>
                  <w:tcW w:w="363" w:type="pct"/>
                  <w:vAlign w:val="center"/>
                </w:tcPr>
                <w:p>
                  <w:pPr>
                    <w:adjustRightInd w:val="0"/>
                    <w:snapToGrid w:val="0"/>
                    <w:jc w:val="center"/>
                    <w:rPr>
                      <w:szCs w:val="21"/>
                    </w:rPr>
                  </w:pPr>
                  <w:r>
                    <w:rPr>
                      <w:rFonts w:hint="eastAsia"/>
                      <w:szCs w:val="21"/>
                    </w:rPr>
                    <w:t>1天</w:t>
                  </w:r>
                </w:p>
              </w:tc>
            </w:tr>
          </w:tbl>
          <w:p>
            <w:pPr>
              <w:spacing w:line="360" w:lineRule="auto"/>
              <w:ind w:firstLine="480"/>
              <w:rPr>
                <w:sz w:val="24"/>
              </w:rPr>
            </w:pPr>
            <w:r>
              <w:rPr>
                <w:rFonts w:hint="eastAsia"/>
                <w:sz w:val="24"/>
              </w:rPr>
              <w:t>根据《河北省新冠肺炎方舱医院建设管理方案》（冀防领办[2022]60号），医疗废弃物和生活垃圾参照定点医院设置管理规范执行。</w:t>
            </w:r>
          </w:p>
          <w:p>
            <w:pPr>
              <w:spacing w:line="360" w:lineRule="auto"/>
              <w:ind w:firstLine="480"/>
              <w:rPr>
                <w:sz w:val="24"/>
              </w:rPr>
            </w:pPr>
            <w:r>
              <w:rPr>
                <w:rFonts w:hint="eastAsia"/>
                <w:sz w:val="24"/>
              </w:rPr>
              <w:t>项目运营后，医疗废物应严格按《医疗废物管理条例》（国务院380号令）、《医疗卫生机构废物管理办法》、《医疗废物集中处置技术规范（试行）》（环发[2003]206号）、《医疗废物专用包装物、容器的标准和警示标识的规定》中的有关规定，对固体医疗废物进行分类收集。</w:t>
            </w:r>
          </w:p>
          <w:p>
            <w:pPr>
              <w:numPr>
                <w:ilvl w:val="0"/>
                <w:numId w:val="12"/>
              </w:numPr>
              <w:spacing w:line="360" w:lineRule="auto"/>
              <w:rPr>
                <w:sz w:val="24"/>
              </w:rPr>
            </w:pPr>
            <w:r>
              <w:rPr>
                <w:rFonts w:hint="eastAsia"/>
                <w:sz w:val="24"/>
              </w:rPr>
              <w:t>运输过程的环境影响分析</w:t>
            </w:r>
          </w:p>
          <w:p>
            <w:pPr>
              <w:spacing w:line="360" w:lineRule="auto"/>
              <w:ind w:firstLine="480"/>
              <w:rPr>
                <w:sz w:val="24"/>
              </w:rPr>
            </w:pPr>
            <w:r>
              <w:rPr>
                <w:rFonts w:hint="eastAsia"/>
                <w:sz w:val="24"/>
              </w:rPr>
              <w:t>内部运输：建设单位应当使用防渗漏、防遗撒的专用运送工具，按照单位确定的内部医疗废物运送时间、路线，将医疗废物收集、运送至暂时贮存地点。运送工具使用后应当在医疗卫生机构内指定的地点及时消毒和清洁；</w:t>
            </w:r>
          </w:p>
          <w:p>
            <w:pPr>
              <w:spacing w:line="360" w:lineRule="auto"/>
              <w:ind w:firstLine="480"/>
              <w:rPr>
                <w:sz w:val="24"/>
              </w:rPr>
            </w:pPr>
            <w:r>
              <w:rPr>
                <w:rFonts w:hint="eastAsia"/>
                <w:sz w:val="24"/>
              </w:rPr>
              <w:t>外部运输：医疗卫生机构应当依据就近集中处置的原则，及时将医疗废物交由医疗废物集中处置单位处置。</w:t>
            </w:r>
          </w:p>
          <w:p>
            <w:pPr>
              <w:numPr>
                <w:ilvl w:val="0"/>
                <w:numId w:val="13"/>
              </w:numPr>
              <w:spacing w:line="360" w:lineRule="auto"/>
              <w:ind w:left="0" w:firstLine="480" w:firstLineChars="200"/>
              <w:jc w:val="left"/>
              <w:rPr>
                <w:sz w:val="24"/>
              </w:rPr>
            </w:pPr>
            <w:r>
              <w:rPr>
                <w:rFonts w:hint="eastAsia"/>
                <w:sz w:val="24"/>
              </w:rPr>
              <w:t>医疗废物运输路线尽量避开人口密集区和交通拥堵道路；</w:t>
            </w:r>
          </w:p>
          <w:p>
            <w:pPr>
              <w:numPr>
                <w:ilvl w:val="0"/>
                <w:numId w:val="13"/>
              </w:numPr>
              <w:spacing w:line="360" w:lineRule="auto"/>
              <w:ind w:left="0" w:firstLine="480" w:firstLineChars="200"/>
              <w:jc w:val="left"/>
              <w:rPr>
                <w:sz w:val="24"/>
              </w:rPr>
            </w:pPr>
            <w:r>
              <w:rPr>
                <w:rFonts w:hint="eastAsia"/>
                <w:sz w:val="24"/>
              </w:rPr>
              <w:t>经包装的医疗废物应盛放于可重复使用的专用周转箱或一次性专用包装容器内，且应符合《医疗废物专用包装物、容器标准和警示标识规定》；</w:t>
            </w:r>
          </w:p>
          <w:p>
            <w:pPr>
              <w:numPr>
                <w:ilvl w:val="0"/>
                <w:numId w:val="13"/>
              </w:numPr>
              <w:spacing w:line="360" w:lineRule="auto"/>
              <w:ind w:left="0" w:firstLine="480" w:firstLineChars="200"/>
              <w:jc w:val="left"/>
              <w:rPr>
                <w:sz w:val="24"/>
              </w:rPr>
            </w:pPr>
            <w:r>
              <w:rPr>
                <w:rFonts w:hint="eastAsia"/>
                <w:sz w:val="24"/>
              </w:rPr>
              <w:t>医疗废物装卸载尽可能采用机械作业，将周转箱整齐地装入车内，尽量减少人工操作；如需手工操作应做好人员防护；</w:t>
            </w:r>
          </w:p>
          <w:p>
            <w:pPr>
              <w:numPr>
                <w:ilvl w:val="0"/>
                <w:numId w:val="13"/>
              </w:numPr>
              <w:spacing w:line="360" w:lineRule="auto"/>
              <w:ind w:left="0" w:firstLine="480" w:firstLineChars="200"/>
              <w:jc w:val="left"/>
              <w:rPr>
                <w:sz w:val="24"/>
              </w:rPr>
            </w:pPr>
            <w:r>
              <w:rPr>
                <w:rFonts w:hint="eastAsia"/>
                <w:sz w:val="24"/>
              </w:rPr>
              <w:t>医疗废物运送前，处置单位必须对每辆运送车的车况进行检查，确保车况良好方可出车。运送车负责人应对每辆运送车配备；</w:t>
            </w:r>
          </w:p>
          <w:p>
            <w:pPr>
              <w:numPr>
                <w:ilvl w:val="0"/>
                <w:numId w:val="13"/>
              </w:numPr>
              <w:spacing w:line="360" w:lineRule="auto"/>
              <w:ind w:left="0" w:firstLine="480" w:firstLineChars="200"/>
              <w:jc w:val="left"/>
              <w:rPr>
                <w:sz w:val="24"/>
              </w:rPr>
            </w:pPr>
            <w:r>
              <w:rPr>
                <w:rFonts w:hint="eastAsia"/>
                <w:sz w:val="24"/>
              </w:rPr>
              <w:t>医疗废物运送车辆不得搭乘其他无关人员，不得装载或混装其他货物和动植物。</w:t>
            </w:r>
          </w:p>
          <w:p>
            <w:pPr>
              <w:numPr>
                <w:ilvl w:val="0"/>
                <w:numId w:val="13"/>
              </w:numPr>
              <w:spacing w:line="360" w:lineRule="auto"/>
              <w:ind w:left="0" w:firstLine="480" w:firstLineChars="200"/>
              <w:jc w:val="left"/>
              <w:rPr>
                <w:sz w:val="24"/>
              </w:rPr>
            </w:pPr>
            <w:r>
              <w:rPr>
                <w:rFonts w:hint="eastAsia"/>
                <w:sz w:val="24"/>
              </w:rPr>
              <w:t>车辆行驶时应锁闭车厢门，确保安全、不得丢失、遗撒和打开。</w:t>
            </w:r>
          </w:p>
          <w:p>
            <w:pPr>
              <w:spacing w:line="360" w:lineRule="auto"/>
              <w:ind w:firstLine="480"/>
              <w:rPr>
                <w:sz w:val="24"/>
              </w:rPr>
            </w:pPr>
            <w:r>
              <w:rPr>
                <w:rFonts w:hint="eastAsia"/>
                <w:sz w:val="24"/>
              </w:rPr>
              <w:t>项目医疗废物在产生部位经塑料袋+塑料收集桶收集并加盖，通过污梯、污物通道送入医疗废物暂存库，由塑料收集桶转运至塑料收集箱贮存，塑料收集桶使用后及时消毒和清洁，运送过程正常情况下不会发生滴落泄露。建设单位做好医疗废物暂存场所的地面防渗（防渗</w:t>
            </w:r>
            <w:r>
              <w:rPr>
                <w:sz w:val="24"/>
              </w:rPr>
              <w:t>系数≤10</w:t>
            </w:r>
            <w:r>
              <w:rPr>
                <w:sz w:val="24"/>
                <w:vertAlign w:val="superscript"/>
              </w:rPr>
              <w:t>-10</w:t>
            </w:r>
            <w:r>
              <w:rPr>
                <w:sz w:val="24"/>
              </w:rPr>
              <w:t>cm/s</w:t>
            </w:r>
            <w:r>
              <w:rPr>
                <w:rFonts w:hint="eastAsia"/>
                <w:sz w:val="24"/>
              </w:rPr>
              <w:t>）。</w:t>
            </w:r>
          </w:p>
          <w:p>
            <w:pPr>
              <w:spacing w:line="360" w:lineRule="auto"/>
              <w:ind w:firstLine="480"/>
              <w:rPr>
                <w:rStyle w:val="23"/>
                <w:kern w:val="0"/>
                <w:szCs w:val="20"/>
              </w:rPr>
            </w:pPr>
            <w:r>
              <w:rPr>
                <w:rFonts w:hint="eastAsia"/>
                <w:sz w:val="24"/>
              </w:rPr>
              <w:t>危险废物在院内医疗废物暂存库暂存后通过单独设置的院内污物出口运出，不与诊疗区、病房进出口交叉。本项目的危险废物均按要求填写危险废物转移联单和签订委托处置合同。托运过程中，车厢为密闭状态，不会对沿线环境敏感点产生影响，同时对运输路线的选择要尽量避开敏感点，减少对敏感点产生影响的风险。</w:t>
            </w:r>
          </w:p>
          <w:p>
            <w:pPr>
              <w:spacing w:line="360" w:lineRule="auto"/>
              <w:ind w:firstLine="480"/>
              <w:rPr>
                <w:sz w:val="24"/>
              </w:rPr>
            </w:pPr>
            <w:r>
              <w:rPr>
                <w:sz w:val="24"/>
              </w:rPr>
              <w:t>项目周边区域分布有有</w:t>
            </w:r>
            <w:r>
              <w:rPr>
                <w:rFonts w:hint="eastAsia"/>
                <w:sz w:val="24"/>
              </w:rPr>
              <w:t>处理医疗废物</w:t>
            </w:r>
            <w:r>
              <w:rPr>
                <w:sz w:val="24"/>
              </w:rPr>
              <w:t>资质的单位，如承德嘉恒医疗废弃物处置有限公司</w:t>
            </w:r>
            <w:r>
              <w:rPr>
                <w:rFonts w:hint="eastAsia"/>
                <w:sz w:val="24"/>
              </w:rPr>
              <w:t>、平泉市洁净医疗废物处置有限公司、邯郸市城宜医疗废物处理有限公司</w:t>
            </w:r>
            <w:r>
              <w:rPr>
                <w:sz w:val="24"/>
              </w:rPr>
              <w:t>。</w:t>
            </w:r>
          </w:p>
          <w:p>
            <w:pPr>
              <w:spacing w:line="360" w:lineRule="auto"/>
              <w:ind w:firstLine="480"/>
              <w:rPr>
                <w:sz w:val="24"/>
              </w:rPr>
            </w:pPr>
            <w:r>
              <w:rPr>
                <w:sz w:val="24"/>
              </w:rPr>
              <w:t>承德嘉恒医疗废弃物处置有限公司</w:t>
            </w:r>
            <w:r>
              <w:rPr>
                <w:rFonts w:hint="eastAsia"/>
                <w:sz w:val="24"/>
              </w:rPr>
              <w:t>位于承德市承德县三沟镇肖杖子村，处理范围包括承德市地区八县三区（承德县、兴隆县、平泉县、滦平县、隆化县、丰宁满族自治县、宽城满族自治县、围场满族自治县、双滦区、双桥区、鹰手营子矿区）所属范围的各医院及诊所，采用热解气化技术进行处置，医疗废物</w:t>
            </w:r>
            <w:r>
              <w:rPr>
                <w:sz w:val="24"/>
              </w:rPr>
              <w:t>年度核准经营规模为</w:t>
            </w:r>
            <w:r>
              <w:rPr>
                <w:rFonts w:hint="eastAsia"/>
                <w:sz w:val="24"/>
              </w:rPr>
              <w:t>3500t，经营废物的类别包括841-001-01、841-002-01、841-003-01、841-005-01，</w:t>
            </w:r>
            <w:r>
              <w:rPr>
                <w:sz w:val="24"/>
              </w:rPr>
              <w:t>可处理本项目</w:t>
            </w:r>
            <w:r>
              <w:rPr>
                <w:rFonts w:hint="eastAsia"/>
                <w:sz w:val="24"/>
              </w:rPr>
              <w:t>医疗废物（841-001-01、841-002-01、841-003-01、841-005-01）；平泉市洁净医疗废物处置有限公司位于承德市平泉市平泉镇红山嘴村，采用微波消毒处理工艺进行处置，医疗废物</w:t>
            </w:r>
            <w:r>
              <w:rPr>
                <w:sz w:val="24"/>
              </w:rPr>
              <w:t>年核准经营规模为</w:t>
            </w:r>
            <w:r>
              <w:rPr>
                <w:rFonts w:hint="eastAsia"/>
                <w:sz w:val="24"/>
              </w:rPr>
              <w:t>4104t，经营废物的类别包括841-001-01、841-002-01、841-003-01，</w:t>
            </w:r>
            <w:r>
              <w:rPr>
                <w:sz w:val="24"/>
              </w:rPr>
              <w:t>可处理本项目</w:t>
            </w:r>
            <w:r>
              <w:rPr>
                <w:rFonts w:hint="eastAsia"/>
                <w:sz w:val="24"/>
              </w:rPr>
              <w:t>医疗废物（841-001-01、841-002-01、841-003-01）。</w:t>
            </w:r>
            <w:r>
              <w:rPr>
                <w:sz w:val="24"/>
              </w:rPr>
              <w:t>故建议本项目</w:t>
            </w:r>
            <w:r>
              <w:rPr>
                <w:rFonts w:hint="eastAsia"/>
                <w:sz w:val="24"/>
              </w:rPr>
              <w:t>医疗废物（841-001-01、841-002-01、841-003-01、841-005-01）</w:t>
            </w:r>
            <w:r>
              <w:rPr>
                <w:sz w:val="24"/>
              </w:rPr>
              <w:t>可以委托承德嘉恒医疗废弃物处置有限公司</w:t>
            </w:r>
            <w:r>
              <w:rPr>
                <w:rFonts w:hint="eastAsia"/>
                <w:sz w:val="24"/>
              </w:rPr>
              <w:t>、平泉市洁净医疗废物处置有限公司</w:t>
            </w:r>
            <w:r>
              <w:rPr>
                <w:sz w:val="24"/>
              </w:rPr>
              <w:t>处置</w:t>
            </w:r>
            <w:r>
              <w:rPr>
                <w:rFonts w:hint="eastAsia"/>
                <w:sz w:val="24"/>
              </w:rPr>
              <w:t>。</w:t>
            </w:r>
          </w:p>
          <w:p>
            <w:pPr>
              <w:spacing w:line="360" w:lineRule="auto"/>
              <w:ind w:firstLine="480"/>
              <w:rPr>
                <w:sz w:val="24"/>
              </w:rPr>
            </w:pPr>
            <w:r>
              <w:rPr>
                <w:rFonts w:hint="eastAsia"/>
                <w:sz w:val="24"/>
              </w:rPr>
              <w:t>邯郸市城宜医疗废物处理有限公司位于河北省邯郸市丛台区三陵乡北高岗村西，采用焚烧工艺进行处置，医疗废物</w:t>
            </w:r>
            <w:r>
              <w:rPr>
                <w:sz w:val="24"/>
              </w:rPr>
              <w:t>年度核准经营规模为</w:t>
            </w:r>
            <w:r>
              <w:rPr>
                <w:rFonts w:hint="eastAsia"/>
                <w:sz w:val="24"/>
              </w:rPr>
              <w:t>3600t，经营废物的类别包括841-001-01、841-002-01、841-003-01、841-004-01、841-005-01，</w:t>
            </w:r>
            <w:r>
              <w:rPr>
                <w:sz w:val="24"/>
              </w:rPr>
              <w:t>可处理本项目</w:t>
            </w:r>
            <w:r>
              <w:rPr>
                <w:rFonts w:hint="eastAsia"/>
                <w:sz w:val="24"/>
              </w:rPr>
              <w:t>医疗废物（841-004-01），</w:t>
            </w:r>
            <w:r>
              <w:rPr>
                <w:sz w:val="24"/>
              </w:rPr>
              <w:t>故建议本项目</w:t>
            </w:r>
            <w:r>
              <w:rPr>
                <w:rFonts w:hint="eastAsia"/>
                <w:sz w:val="24"/>
              </w:rPr>
              <w:t>医疗废物（841-004-01）</w:t>
            </w:r>
            <w:r>
              <w:rPr>
                <w:sz w:val="24"/>
              </w:rPr>
              <w:t>可以委托</w:t>
            </w:r>
            <w:r>
              <w:rPr>
                <w:rFonts w:hint="eastAsia"/>
                <w:sz w:val="24"/>
              </w:rPr>
              <w:t>邯郸市城宜医疗废物处理有限公司</w:t>
            </w:r>
            <w:r>
              <w:rPr>
                <w:sz w:val="24"/>
              </w:rPr>
              <w:t>处置</w:t>
            </w:r>
            <w:r>
              <w:rPr>
                <w:rFonts w:hint="eastAsia"/>
                <w:sz w:val="24"/>
              </w:rPr>
              <w:t>。</w:t>
            </w:r>
          </w:p>
          <w:p>
            <w:pPr>
              <w:spacing w:line="360" w:lineRule="auto"/>
              <w:ind w:firstLine="480"/>
              <w:rPr>
                <w:sz w:val="24"/>
              </w:rPr>
            </w:pPr>
            <w:r>
              <w:rPr>
                <w:sz w:val="24"/>
              </w:rPr>
              <w:t>综上，本项目危险废物定期交由有资质的单位处理措施可行。</w:t>
            </w:r>
          </w:p>
          <w:p>
            <w:pPr>
              <w:spacing w:line="360" w:lineRule="auto"/>
              <w:ind w:firstLine="480"/>
              <w:rPr>
                <w:b/>
                <w:sz w:val="24"/>
              </w:rPr>
            </w:pPr>
            <w:r>
              <w:rPr>
                <w:rFonts w:hint="eastAsia"/>
                <w:b/>
                <w:sz w:val="24"/>
              </w:rPr>
              <w:t>（3）固体废物环境管理要求</w:t>
            </w:r>
          </w:p>
          <w:p>
            <w:pPr>
              <w:snapToGrid w:val="0"/>
              <w:spacing w:line="360" w:lineRule="auto"/>
              <w:ind w:firstLine="480" w:firstLineChars="200"/>
              <w:rPr>
                <w:sz w:val="24"/>
                <w:szCs w:val="10"/>
              </w:rPr>
            </w:pPr>
            <w:r>
              <w:rPr>
                <w:rFonts w:hint="eastAsia"/>
                <w:sz w:val="24"/>
                <w:szCs w:val="10"/>
              </w:rPr>
              <w:t>医疗废物的暂时贮存要求如下：</w:t>
            </w:r>
          </w:p>
          <w:p>
            <w:pPr>
              <w:snapToGrid w:val="0"/>
              <w:spacing w:line="360" w:lineRule="auto"/>
              <w:ind w:firstLine="480" w:firstLineChars="200"/>
              <w:rPr>
                <w:rFonts w:hAnsi="宋体"/>
                <w:sz w:val="24"/>
              </w:rPr>
            </w:pPr>
            <w:r>
              <w:rPr>
                <w:rFonts w:hint="eastAsia" w:hAnsi="宋体"/>
                <w:sz w:val="24"/>
              </w:rPr>
              <w:t>①</w:t>
            </w:r>
            <w:r>
              <w:rPr>
                <w:rFonts w:hAnsi="宋体"/>
                <w:sz w:val="24"/>
              </w:rPr>
              <w:t>必须与生活垃圾存放地分开，有防雨淋的装置，地基高度应确保设施内不受雨洪冲击或浸泡；</w:t>
            </w:r>
          </w:p>
          <w:p>
            <w:pPr>
              <w:snapToGrid w:val="0"/>
              <w:spacing w:line="360" w:lineRule="auto"/>
              <w:ind w:firstLine="480" w:firstLineChars="200"/>
              <w:rPr>
                <w:rFonts w:hAnsi="宋体"/>
                <w:sz w:val="24"/>
              </w:rPr>
            </w:pPr>
            <w:r>
              <w:rPr>
                <w:rFonts w:hint="eastAsia" w:hAnsi="宋体"/>
                <w:sz w:val="24"/>
              </w:rPr>
              <w:t>②</w:t>
            </w:r>
            <w:r>
              <w:rPr>
                <w:rFonts w:hAnsi="宋体"/>
                <w:sz w:val="24"/>
              </w:rPr>
              <w:t>必须与医疗区、食品加工区和人员活动密集区隔开，方便医疗废物的装卸、装卸人员及运送车辆的出入；</w:t>
            </w:r>
          </w:p>
          <w:p>
            <w:pPr>
              <w:snapToGrid w:val="0"/>
              <w:spacing w:line="360" w:lineRule="auto"/>
              <w:ind w:firstLine="480" w:firstLineChars="200"/>
              <w:rPr>
                <w:rFonts w:hAnsi="宋体"/>
                <w:sz w:val="24"/>
              </w:rPr>
            </w:pPr>
            <w:r>
              <w:rPr>
                <w:rFonts w:hint="eastAsia" w:hAnsi="宋体"/>
                <w:sz w:val="24"/>
              </w:rPr>
              <w:t>③</w:t>
            </w:r>
            <w:r>
              <w:rPr>
                <w:rFonts w:hAnsi="宋体"/>
                <w:sz w:val="24"/>
              </w:rPr>
              <w:t>应有严密的封闭措施，设专人管理，避免非工作人员进出，以及防鼠、防蚊蝇、防蟑螂、防盗以及预防儿童接触等安全措施；</w:t>
            </w:r>
          </w:p>
          <w:p>
            <w:pPr>
              <w:snapToGrid w:val="0"/>
              <w:spacing w:line="360" w:lineRule="auto"/>
              <w:ind w:firstLine="480" w:firstLineChars="200"/>
              <w:rPr>
                <w:rFonts w:hAnsi="宋体"/>
                <w:sz w:val="24"/>
              </w:rPr>
            </w:pPr>
            <w:r>
              <w:rPr>
                <w:rFonts w:hint="eastAsia" w:hAnsi="宋体"/>
                <w:sz w:val="24"/>
              </w:rPr>
              <w:t>④</w:t>
            </w:r>
            <w:r>
              <w:rPr>
                <w:rFonts w:hAnsi="宋体"/>
                <w:sz w:val="24"/>
              </w:rPr>
              <w:t>地面和</w:t>
            </w:r>
            <w:r>
              <w:rPr>
                <w:sz w:val="24"/>
              </w:rPr>
              <w:t>1</w:t>
            </w:r>
            <w:r>
              <w:rPr>
                <w:rFonts w:hAnsi="宋体"/>
                <w:sz w:val="24"/>
              </w:rPr>
              <w:t>.</w:t>
            </w:r>
            <w:r>
              <w:rPr>
                <w:sz w:val="24"/>
              </w:rPr>
              <w:t>0</w:t>
            </w:r>
            <w:r>
              <w:rPr>
                <w:rFonts w:hAnsi="宋体"/>
                <w:sz w:val="24"/>
              </w:rPr>
              <w:t>米高的墙裙须进行防渗处理</w:t>
            </w:r>
            <w:r>
              <w:rPr>
                <w:rFonts w:hint="eastAsia"/>
                <w:bCs/>
                <w:kern w:val="0"/>
              </w:rPr>
              <w:t>（</w:t>
            </w:r>
            <w:r>
              <w:rPr>
                <w:rFonts w:hint="eastAsia" w:hAnsi="宋体"/>
                <w:sz w:val="24"/>
              </w:rPr>
              <w:t>防渗</w:t>
            </w:r>
            <w:r>
              <w:rPr>
                <w:rFonts w:hAnsi="宋体"/>
                <w:sz w:val="24"/>
              </w:rPr>
              <w:t>系数</w:t>
            </w:r>
            <w:r>
              <w:rPr>
                <w:sz w:val="24"/>
              </w:rPr>
              <w:t>≤10</w:t>
            </w:r>
            <w:r>
              <w:rPr>
                <w:sz w:val="24"/>
                <w:vertAlign w:val="superscript"/>
              </w:rPr>
              <w:t>-10</w:t>
            </w:r>
            <w:r>
              <w:rPr>
                <w:sz w:val="24"/>
              </w:rPr>
              <w:t>cm/s</w:t>
            </w:r>
            <w:r>
              <w:rPr>
                <w:rFonts w:hint="eastAsia"/>
                <w:bCs/>
                <w:kern w:val="0"/>
              </w:rPr>
              <w:t>）</w:t>
            </w:r>
            <w:r>
              <w:rPr>
                <w:rFonts w:hAnsi="宋体"/>
                <w:sz w:val="24"/>
              </w:rPr>
              <w:t>，地面有良好的排水性能，易于清洁和消毒，产生的废水应采用管道直接排入医疗卫生机构内的</w:t>
            </w:r>
            <w:r>
              <w:rPr>
                <w:rFonts w:hint="eastAsia" w:hAnsi="宋体"/>
                <w:sz w:val="24"/>
              </w:rPr>
              <w:t>医疗污水</w:t>
            </w:r>
            <w:r>
              <w:rPr>
                <w:rFonts w:hAnsi="宋体"/>
                <w:sz w:val="24"/>
              </w:rPr>
              <w:t>消毒、处理系统，禁止将产生的废水直接排入外环境；</w:t>
            </w:r>
          </w:p>
          <w:p>
            <w:pPr>
              <w:snapToGrid w:val="0"/>
              <w:spacing w:line="360" w:lineRule="auto"/>
              <w:ind w:firstLine="480" w:firstLineChars="200"/>
              <w:rPr>
                <w:rFonts w:hAnsi="宋体"/>
                <w:sz w:val="24"/>
              </w:rPr>
            </w:pPr>
            <w:r>
              <w:rPr>
                <w:rFonts w:hint="eastAsia" w:hAnsi="宋体"/>
                <w:sz w:val="24"/>
              </w:rPr>
              <w:t>⑤</w:t>
            </w:r>
            <w:r>
              <w:rPr>
                <w:rFonts w:hAnsi="宋体"/>
                <w:sz w:val="24"/>
              </w:rPr>
              <w:t>库房外宜设有供水龙头，以供暂时贮存库房的清洗用；</w:t>
            </w:r>
          </w:p>
          <w:p>
            <w:pPr>
              <w:snapToGrid w:val="0"/>
              <w:spacing w:line="360" w:lineRule="auto"/>
              <w:ind w:firstLine="480" w:firstLineChars="200"/>
              <w:rPr>
                <w:rFonts w:hAnsi="宋体"/>
                <w:sz w:val="24"/>
              </w:rPr>
            </w:pPr>
            <w:r>
              <w:rPr>
                <w:rFonts w:hint="eastAsia" w:hAnsi="宋体"/>
                <w:sz w:val="24"/>
              </w:rPr>
              <w:t>⑥</w:t>
            </w:r>
            <w:r>
              <w:rPr>
                <w:rFonts w:hAnsi="宋体"/>
                <w:sz w:val="24"/>
              </w:rPr>
              <w:t>避免阳光直射库内，应有良好的照明设备和通风条件；</w:t>
            </w:r>
          </w:p>
          <w:p>
            <w:pPr>
              <w:snapToGrid w:val="0"/>
              <w:spacing w:line="360" w:lineRule="auto"/>
              <w:ind w:firstLine="480" w:firstLineChars="200"/>
              <w:rPr>
                <w:rFonts w:hAnsi="宋体"/>
                <w:sz w:val="24"/>
              </w:rPr>
            </w:pPr>
            <w:r>
              <w:rPr>
                <w:rFonts w:hint="eastAsia" w:hAnsi="宋体"/>
                <w:sz w:val="24"/>
              </w:rPr>
              <w:t>⑦</w:t>
            </w:r>
            <w:r>
              <w:rPr>
                <w:rFonts w:hAnsi="宋体"/>
                <w:sz w:val="24"/>
              </w:rPr>
              <w:t>库房内应张贴“禁止吸烟、饮食”的警示标识；</w:t>
            </w:r>
          </w:p>
          <w:p>
            <w:pPr>
              <w:snapToGrid w:val="0"/>
              <w:spacing w:line="360" w:lineRule="auto"/>
              <w:ind w:firstLine="480" w:firstLineChars="200"/>
              <w:rPr>
                <w:rFonts w:hAnsi="宋体"/>
                <w:sz w:val="24"/>
              </w:rPr>
            </w:pPr>
            <w:r>
              <w:rPr>
                <w:rFonts w:hint="eastAsia" w:hAnsi="宋体"/>
                <w:sz w:val="24"/>
              </w:rPr>
              <w:t>⑧</w:t>
            </w:r>
            <w:r>
              <w:rPr>
                <w:rFonts w:hAnsi="宋体"/>
                <w:sz w:val="24"/>
              </w:rPr>
              <w:t>应按</w:t>
            </w:r>
            <w:r>
              <w:rPr>
                <w:sz w:val="24"/>
              </w:rPr>
              <w:t>GB15562</w:t>
            </w:r>
            <w:r>
              <w:rPr>
                <w:rFonts w:hAnsi="宋体"/>
                <w:sz w:val="24"/>
              </w:rPr>
              <w:t>.</w:t>
            </w:r>
            <w:r>
              <w:rPr>
                <w:sz w:val="24"/>
              </w:rPr>
              <w:t>2</w:t>
            </w:r>
            <w:r>
              <w:rPr>
                <w:rFonts w:hAnsi="宋体"/>
                <w:sz w:val="24"/>
              </w:rPr>
              <w:t>和卫生、环保部门制定的专用医疗废物警示标识要求，在库房外的明显处同时设置危险废物和医疗废物的警示标识；</w:t>
            </w:r>
          </w:p>
          <w:p>
            <w:pPr>
              <w:snapToGrid w:val="0"/>
              <w:spacing w:line="360" w:lineRule="auto"/>
              <w:ind w:firstLine="480" w:firstLineChars="200"/>
              <w:rPr>
                <w:rFonts w:hAnsi="宋体"/>
                <w:sz w:val="24"/>
              </w:rPr>
            </w:pPr>
            <w:r>
              <w:rPr>
                <w:rFonts w:hint="eastAsia" w:hAnsi="宋体"/>
                <w:sz w:val="24"/>
              </w:rPr>
              <w:t>⑨</w:t>
            </w:r>
            <w:r>
              <w:rPr>
                <w:rFonts w:hAnsi="宋体"/>
                <w:sz w:val="24"/>
              </w:rPr>
              <w:t>医疗废物暂时贮存库房每天应在废物清运之后消毒冲洗，冲洗液应排入医疗卫生机构内的</w:t>
            </w:r>
            <w:r>
              <w:rPr>
                <w:rFonts w:hint="eastAsia" w:hAnsi="宋体"/>
                <w:sz w:val="24"/>
              </w:rPr>
              <w:t>医疗污水</w:t>
            </w:r>
            <w:r>
              <w:rPr>
                <w:rFonts w:hAnsi="宋体"/>
                <w:sz w:val="24"/>
              </w:rPr>
              <w:t>消毒、处理系统。</w:t>
            </w:r>
          </w:p>
          <w:p>
            <w:pPr>
              <w:snapToGrid w:val="0"/>
              <w:spacing w:line="360" w:lineRule="auto"/>
              <w:ind w:firstLine="480" w:firstLineChars="200"/>
              <w:rPr>
                <w:rFonts w:hAnsi="宋体"/>
                <w:sz w:val="24"/>
              </w:rPr>
            </w:pPr>
            <w:r>
              <w:rPr>
                <w:rFonts w:hint="eastAsia" w:hAnsi="宋体"/>
                <w:sz w:val="24"/>
              </w:rPr>
              <w:t>⑩</w:t>
            </w:r>
            <w:r>
              <w:rPr>
                <w:rFonts w:hAnsi="宋体"/>
                <w:sz w:val="24"/>
              </w:rPr>
              <w:t>医疗废物暂时贮存柜（箱）应每天消毒一次。</w:t>
            </w:r>
          </w:p>
          <w:p>
            <w:pPr>
              <w:snapToGrid w:val="0"/>
              <w:spacing w:line="360" w:lineRule="auto"/>
              <w:ind w:firstLine="480" w:firstLineChars="200"/>
              <w:rPr>
                <w:rFonts w:hAnsi="宋体"/>
                <w:sz w:val="24"/>
              </w:rPr>
            </w:pPr>
            <w:r>
              <w:rPr>
                <w:rFonts w:hAnsi="宋体"/>
                <w:sz w:val="24"/>
              </w:rPr>
              <w:t>⑪应防止医疗废物在暂时贮存库房和专用暂时贮存柜（箱）中腐败散发恶臭，尽量做到日产日清。</w:t>
            </w:r>
          </w:p>
          <w:p>
            <w:pPr>
              <w:snapToGrid w:val="0"/>
              <w:spacing w:line="360" w:lineRule="auto"/>
              <w:ind w:firstLine="480" w:firstLineChars="200"/>
              <w:rPr>
                <w:rFonts w:hAnsi="宋体"/>
                <w:sz w:val="24"/>
              </w:rPr>
            </w:pPr>
            <w:r>
              <w:rPr>
                <w:rFonts w:hint="eastAsia" w:ascii="微软雅黑" w:hAnsi="微软雅黑" w:eastAsia="微软雅黑" w:cs="微软雅黑"/>
                <w:sz w:val="24"/>
              </w:rPr>
              <w:t>⑫</w:t>
            </w:r>
            <w:r>
              <w:rPr>
                <w:rFonts w:hAnsi="宋体"/>
                <w:sz w:val="24"/>
              </w:rPr>
              <w:t>确实不能做到日产日清，且当地最高气温高于</w:t>
            </w:r>
            <w:r>
              <w:rPr>
                <w:sz w:val="24"/>
              </w:rPr>
              <w:t>25</w:t>
            </w:r>
            <w:r>
              <w:rPr>
                <w:rFonts w:hAnsi="宋体"/>
                <w:sz w:val="24"/>
              </w:rPr>
              <w:t>℃时，应将医疗废物低温暂时贮存，暂时贮存温度应低于</w:t>
            </w:r>
            <w:r>
              <w:rPr>
                <w:sz w:val="24"/>
              </w:rPr>
              <w:t>20</w:t>
            </w:r>
            <w:r>
              <w:rPr>
                <w:rFonts w:hAnsi="宋体"/>
                <w:sz w:val="24"/>
              </w:rPr>
              <w:t>℃，时间最长不超过</w:t>
            </w:r>
            <w:r>
              <w:rPr>
                <w:sz w:val="24"/>
              </w:rPr>
              <w:t>48</w:t>
            </w:r>
            <w:r>
              <w:rPr>
                <w:rFonts w:hAnsi="宋体"/>
                <w:sz w:val="24"/>
              </w:rPr>
              <w:t>小时。</w:t>
            </w:r>
          </w:p>
          <w:p>
            <w:pPr>
              <w:snapToGrid w:val="0"/>
              <w:spacing w:line="360" w:lineRule="auto"/>
              <w:ind w:firstLine="480" w:firstLineChars="200"/>
              <w:rPr>
                <w:rFonts w:hAnsi="宋体"/>
                <w:sz w:val="24"/>
              </w:rPr>
            </w:pPr>
            <w:r>
              <w:rPr>
                <w:rFonts w:hint="eastAsia" w:ascii="微软雅黑" w:hAnsi="微软雅黑" w:eastAsia="微软雅黑" w:cs="微软雅黑"/>
                <w:sz w:val="24"/>
              </w:rPr>
              <w:t>⑬</w:t>
            </w:r>
            <w:r>
              <w:rPr>
                <w:rFonts w:hAnsi="宋体"/>
                <w:sz w:val="24"/>
              </w:rPr>
              <w:t xml:space="preserve">医疗卫生机构应制定医疗废物暂时贮存管理的有关规章制度、工作程序及应急处理措施。 </w:t>
            </w:r>
          </w:p>
          <w:p>
            <w:pPr>
              <w:snapToGrid w:val="0"/>
              <w:spacing w:line="360" w:lineRule="auto"/>
              <w:ind w:firstLine="480" w:firstLineChars="200"/>
              <w:rPr>
                <w:rFonts w:hAnsi="宋体"/>
                <w:sz w:val="24"/>
              </w:rPr>
            </w:pPr>
            <w:r>
              <w:rPr>
                <w:rFonts w:hint="eastAsia" w:ascii="微软雅黑" w:hAnsi="微软雅黑" w:eastAsia="微软雅黑" w:cs="微软雅黑"/>
                <w:sz w:val="24"/>
              </w:rPr>
              <w:t>⑭</w:t>
            </w:r>
            <w:r>
              <w:rPr>
                <w:rFonts w:hAnsi="宋体"/>
                <w:sz w:val="24"/>
              </w:rPr>
              <w:t>医疗卫生机构的暂时贮存库房和医疗废物专用暂时贮存柜（箱）存放地，应当接受当地环保和卫生主管部门的监督检查。</w:t>
            </w:r>
          </w:p>
          <w:p>
            <w:pPr>
              <w:spacing w:line="360" w:lineRule="auto"/>
              <w:ind w:firstLine="482"/>
              <w:rPr>
                <w:b/>
                <w:sz w:val="24"/>
              </w:rPr>
            </w:pPr>
            <w:r>
              <w:rPr>
                <w:b/>
                <w:sz w:val="24"/>
              </w:rPr>
              <w:t>5．</w:t>
            </w:r>
            <w:r>
              <w:rPr>
                <w:rFonts w:hint="eastAsia"/>
                <w:b/>
                <w:sz w:val="24"/>
              </w:rPr>
              <w:t>地下水、土壤</w:t>
            </w:r>
          </w:p>
          <w:p>
            <w:pPr>
              <w:spacing w:line="360" w:lineRule="auto"/>
              <w:ind w:firstLine="480"/>
              <w:rPr>
                <w:sz w:val="24"/>
              </w:rPr>
            </w:pPr>
            <w:r>
              <w:rPr>
                <w:rFonts w:hint="eastAsia"/>
                <w:sz w:val="24"/>
              </w:rPr>
              <w:t>根据识别</w:t>
            </w:r>
            <w:r>
              <w:rPr>
                <w:rFonts w:hint="eastAsia"/>
                <w:sz w:val="24"/>
                <w:lang w:val="en-US" w:eastAsia="zh-CN"/>
              </w:rPr>
              <w:t>，</w:t>
            </w:r>
            <w:r>
              <w:rPr>
                <w:rFonts w:hint="eastAsia"/>
                <w:sz w:val="24"/>
              </w:rPr>
              <w:t>建</w:t>
            </w:r>
            <w:r>
              <w:rPr>
                <w:rFonts w:hint="eastAsia"/>
                <w:sz w:val="24"/>
                <w:lang w:val="en-US" w:eastAsia="zh-CN"/>
              </w:rPr>
              <w:t>设</w:t>
            </w:r>
            <w:r>
              <w:rPr>
                <w:rFonts w:hint="eastAsia"/>
                <w:sz w:val="24"/>
              </w:rPr>
              <w:t>项目在满足分区防渗的前提下，不存在土壤、地下水环境污染源和污染途径。</w:t>
            </w:r>
          </w:p>
          <w:p>
            <w:pPr>
              <w:snapToGrid w:val="0"/>
              <w:spacing w:line="360" w:lineRule="auto"/>
              <w:ind w:firstLine="420" w:firstLineChars="175"/>
              <w:rPr>
                <w:rFonts w:hint="eastAsia"/>
                <w:color w:val="FF0000"/>
                <w:sz w:val="24"/>
                <w:lang w:val="en-US" w:eastAsia="zh-CN"/>
              </w:rPr>
            </w:pPr>
            <w:r>
              <w:rPr>
                <w:rFonts w:hint="eastAsia"/>
                <w:sz w:val="24"/>
              </w:rPr>
              <w:t>本次评价给出分区防渗的要求：</w:t>
            </w:r>
            <w:r>
              <w:rPr>
                <w:rFonts w:hint="eastAsia"/>
                <w:color w:val="FF0000"/>
                <w:sz w:val="24"/>
                <w:lang w:val="en-US" w:eastAsia="zh-CN"/>
              </w:rPr>
              <w:t>经分析，项目污水通过自流直接流入方舱医院污水管道，不经过化粪池和调节池，防渗的重点区域为医废间和污水管道。</w:t>
            </w:r>
            <w:r>
              <w:commentReference w:id="12"/>
            </w:r>
            <w:r>
              <w:rPr>
                <w:rFonts w:hint="eastAsia"/>
                <w:color w:val="FF0000"/>
                <w:sz w:val="24"/>
                <w:lang w:val="en-US" w:eastAsia="zh-CN"/>
              </w:rPr>
              <w:t>除医废间外定点医院其他区域为简单防渗区，定点医院其他区域已进行了一般地面硬化处理，满足简单防渗区要求。</w:t>
            </w:r>
          </w:p>
          <w:p>
            <w:pPr>
              <w:snapToGrid w:val="0"/>
              <w:spacing w:line="360" w:lineRule="auto"/>
              <w:ind w:firstLine="420" w:firstLineChars="175"/>
              <w:rPr>
                <w:sz w:val="24"/>
              </w:rPr>
            </w:pPr>
            <w:r>
              <w:rPr>
                <w:rFonts w:hint="eastAsia"/>
                <w:color w:val="FF0000"/>
                <w:sz w:val="24"/>
                <w:lang w:val="en-US" w:eastAsia="zh-CN"/>
              </w:rPr>
              <w:t>根据《医疗废物集中处置规范》的相关要求，</w:t>
            </w:r>
            <w:r>
              <w:rPr>
                <w:sz w:val="24"/>
              </w:rPr>
              <w:t>对</w:t>
            </w:r>
            <w:r>
              <w:rPr>
                <w:rFonts w:hint="eastAsia"/>
                <w:sz w:val="24"/>
              </w:rPr>
              <w:t>医疗</w:t>
            </w:r>
            <w:r>
              <w:rPr>
                <w:sz w:val="24"/>
              </w:rPr>
              <w:t>废物贮存间进行</w:t>
            </w:r>
            <w:r>
              <w:rPr>
                <w:rFonts w:hint="eastAsia"/>
                <w:sz w:val="24"/>
              </w:rPr>
              <w:t>重点</w:t>
            </w:r>
            <w:r>
              <w:rPr>
                <w:sz w:val="24"/>
              </w:rPr>
              <w:t>防腐、防渗措施，地面和1.0米高的墙裙须进行防渗处理</w:t>
            </w:r>
            <w:r>
              <w:rPr>
                <w:rFonts w:hint="eastAsia"/>
                <w:sz w:val="24"/>
              </w:rPr>
              <w:t>（防渗</w:t>
            </w:r>
            <w:r>
              <w:rPr>
                <w:sz w:val="24"/>
              </w:rPr>
              <w:t>系数≤10</w:t>
            </w:r>
            <w:r>
              <w:rPr>
                <w:sz w:val="24"/>
                <w:vertAlign w:val="superscript"/>
              </w:rPr>
              <w:t>-10</w:t>
            </w:r>
            <w:r>
              <w:rPr>
                <w:sz w:val="24"/>
              </w:rPr>
              <w:t>cm/s</w:t>
            </w:r>
            <w:r>
              <w:rPr>
                <w:rFonts w:hint="eastAsia"/>
                <w:sz w:val="24"/>
              </w:rPr>
              <w:t>）</w:t>
            </w:r>
            <w:r>
              <w:rPr>
                <w:sz w:val="24"/>
              </w:rPr>
              <w:t>，地面有良好的排水性能，易于清洁和消毒，产生的废水应采用管道直接排入医疗卫生机构内的</w:t>
            </w:r>
            <w:r>
              <w:rPr>
                <w:rFonts w:hint="eastAsia"/>
                <w:sz w:val="24"/>
              </w:rPr>
              <w:t>医疗污水</w:t>
            </w:r>
            <w:r>
              <w:rPr>
                <w:sz w:val="24"/>
              </w:rPr>
              <w:t>消毒、处理系统，禁止将产生的废水直接排入外环境</w:t>
            </w:r>
            <w:r>
              <w:rPr>
                <w:rFonts w:hint="eastAsia"/>
                <w:sz w:val="24"/>
              </w:rPr>
              <w:t>。对于污水管道，排水管道采用PVC-U管材-粘接，接口应严密，有冻结危险的区域，排水管道需要做橡塑保温，厚度100mm。</w:t>
            </w:r>
          </w:p>
          <w:p>
            <w:pPr>
              <w:spacing w:line="360" w:lineRule="auto"/>
              <w:ind w:firstLine="482"/>
              <w:rPr>
                <w:b/>
                <w:color w:val="FF0000"/>
                <w:sz w:val="24"/>
              </w:rPr>
            </w:pPr>
            <w:r>
              <w:rPr>
                <w:rFonts w:hint="eastAsia"/>
                <w:b/>
                <w:sz w:val="24"/>
              </w:rPr>
              <w:t>6.环境风险</w:t>
            </w:r>
          </w:p>
          <w:p>
            <w:pPr>
              <w:numPr>
                <w:ilvl w:val="0"/>
                <w:numId w:val="14"/>
              </w:numPr>
              <w:snapToGrid w:val="0"/>
              <w:spacing w:line="360" w:lineRule="auto"/>
              <w:ind w:left="0" w:firstLine="480" w:firstLineChars="200"/>
              <w:rPr>
                <w:sz w:val="24"/>
              </w:rPr>
            </w:pPr>
            <w:r>
              <w:rPr>
                <w:rFonts w:hint="eastAsia"/>
                <w:sz w:val="24"/>
              </w:rPr>
              <w:t>主要危险物质及分布</w:t>
            </w:r>
          </w:p>
          <w:p>
            <w:pPr>
              <w:snapToGrid w:val="0"/>
              <w:spacing w:line="360" w:lineRule="auto"/>
              <w:ind w:firstLine="420" w:firstLineChars="175"/>
              <w:rPr>
                <w:sz w:val="24"/>
              </w:rPr>
            </w:pPr>
            <w:r>
              <w:rPr>
                <w:rFonts w:hint="eastAsia"/>
                <w:sz w:val="24"/>
              </w:rPr>
              <w:t>医疗废物、感染类生活垃圾、通风系统废滤材位于医疗废物贮存间内，医用酒精存放于药品库内，按要求储存。</w:t>
            </w:r>
          </w:p>
          <w:p>
            <w:pPr>
              <w:numPr>
                <w:ilvl w:val="0"/>
                <w:numId w:val="14"/>
              </w:numPr>
              <w:snapToGrid w:val="0"/>
              <w:spacing w:line="360" w:lineRule="auto"/>
              <w:ind w:left="0" w:firstLine="480" w:firstLineChars="200"/>
              <w:rPr>
                <w:sz w:val="24"/>
              </w:rPr>
            </w:pPr>
            <w:r>
              <w:rPr>
                <w:rFonts w:hint="eastAsia"/>
                <w:sz w:val="24"/>
              </w:rPr>
              <w:t>环境影响途径及危害后果</w:t>
            </w:r>
          </w:p>
          <w:p>
            <w:pPr>
              <w:numPr>
                <w:ilvl w:val="0"/>
                <w:numId w:val="15"/>
              </w:numPr>
              <w:snapToGrid w:val="0"/>
              <w:spacing w:line="360" w:lineRule="auto"/>
              <w:ind w:firstLine="480" w:firstLineChars="200"/>
              <w:rPr>
                <w:sz w:val="24"/>
              </w:rPr>
            </w:pPr>
            <w:r>
              <w:rPr>
                <w:rFonts w:hint="eastAsia"/>
                <w:sz w:val="24"/>
              </w:rPr>
              <w:t>医疗废物、感染类生活垃圾、通风系统废滤材可能存在传染性病菌、病毒、化学污染物等有害物质，由于医疗废物具有空间污染、急性传染和潜伏性污染等特征，很容易引起各种疾病的传播和蔓延，污染大气环境、地表水环境、地下水环境、土壤环境。</w:t>
            </w:r>
          </w:p>
          <w:p>
            <w:pPr>
              <w:numPr>
                <w:ilvl w:val="0"/>
                <w:numId w:val="15"/>
              </w:numPr>
              <w:snapToGrid w:val="0"/>
              <w:spacing w:line="360" w:lineRule="auto"/>
              <w:ind w:firstLine="480" w:firstLineChars="200"/>
              <w:rPr>
                <w:sz w:val="24"/>
              </w:rPr>
            </w:pPr>
            <w:r>
              <w:rPr>
                <w:rFonts w:hint="eastAsia"/>
                <w:sz w:val="24"/>
              </w:rPr>
              <w:t>医用酒精（乙醇）为易燃液体，其蒸气能与空气形成爆炸性混合物，可能会发生火灾、爆炸危害事故，进而引发的次生污染物的排放，造成的次生环境污染事故，产生的污染物主要为燃烧烟气和消防废水，将造成区域大气、地表水环境污染。</w:t>
            </w:r>
          </w:p>
          <w:p>
            <w:pPr>
              <w:numPr>
                <w:ilvl w:val="0"/>
                <w:numId w:val="15"/>
              </w:numPr>
              <w:snapToGrid w:val="0"/>
              <w:spacing w:line="360" w:lineRule="auto"/>
              <w:ind w:firstLine="480" w:firstLineChars="200"/>
              <w:rPr>
                <w:sz w:val="24"/>
              </w:rPr>
            </w:pPr>
            <w:r>
              <w:rPr>
                <w:rFonts w:hint="eastAsia"/>
                <w:sz w:val="24"/>
              </w:rPr>
              <w:t>污水管网破裂，污染地下水环境。</w:t>
            </w:r>
          </w:p>
          <w:p>
            <w:pPr>
              <w:numPr>
                <w:ilvl w:val="0"/>
                <w:numId w:val="14"/>
              </w:numPr>
              <w:snapToGrid w:val="0"/>
              <w:spacing w:line="360" w:lineRule="auto"/>
              <w:ind w:left="0" w:firstLine="480" w:firstLineChars="200"/>
              <w:rPr>
                <w:sz w:val="24"/>
              </w:rPr>
            </w:pPr>
            <w:r>
              <w:rPr>
                <w:rFonts w:hint="eastAsia"/>
                <w:sz w:val="24"/>
              </w:rPr>
              <w:t>风险防范措施要求</w:t>
            </w:r>
          </w:p>
          <w:p>
            <w:pPr>
              <w:numPr>
                <w:ilvl w:val="0"/>
                <w:numId w:val="16"/>
              </w:numPr>
              <w:snapToGrid w:val="0"/>
              <w:spacing w:line="360" w:lineRule="auto"/>
              <w:ind w:firstLine="480" w:firstLineChars="200"/>
              <w:rPr>
                <w:sz w:val="24"/>
              </w:rPr>
            </w:pPr>
            <w:r>
              <w:rPr>
                <w:rFonts w:hint="eastAsia"/>
                <w:sz w:val="24"/>
              </w:rPr>
              <w:t>医疗废物风险防范措施</w:t>
            </w:r>
          </w:p>
          <w:p>
            <w:pPr>
              <w:snapToGrid w:val="0"/>
              <w:spacing w:line="360" w:lineRule="auto"/>
              <w:ind w:firstLine="420" w:firstLineChars="175"/>
              <w:rPr>
                <w:sz w:val="24"/>
              </w:rPr>
            </w:pPr>
            <w:r>
              <w:rPr>
                <w:rFonts w:hint="eastAsia"/>
                <w:sz w:val="24"/>
              </w:rPr>
              <w:t>本项目医疗废物必须经科学地分类收集、贮存运送后由有资质单位处理。鉴于医疗垃圾的极大危害性，本项目在收集、贮存、运送医疗垃圾的过程中存在着一定的风险。</w:t>
            </w:r>
          </w:p>
          <w:p>
            <w:pPr>
              <w:snapToGrid w:val="0"/>
              <w:spacing w:line="360" w:lineRule="auto"/>
              <w:ind w:firstLine="420" w:firstLineChars="175"/>
              <w:rPr>
                <w:sz w:val="24"/>
              </w:rPr>
            </w:pPr>
            <w:r>
              <w:rPr>
                <w:rFonts w:hint="eastAsia"/>
                <w:sz w:val="24"/>
              </w:rPr>
              <w:t>为保证项目产生的医疗垃圾得到有效处置，使其风险减少到最小程度，而不会对周围环境造成不良影响，应具体采取如下的措施进行防范。</w:t>
            </w:r>
          </w:p>
          <w:p>
            <w:pPr>
              <w:numPr>
                <w:ilvl w:val="0"/>
                <w:numId w:val="17"/>
              </w:numPr>
              <w:snapToGrid w:val="0"/>
              <w:spacing w:line="360" w:lineRule="auto"/>
              <w:ind w:left="0" w:firstLine="480" w:firstLineChars="200"/>
              <w:rPr>
                <w:sz w:val="24"/>
              </w:rPr>
            </w:pPr>
            <w:r>
              <w:rPr>
                <w:rFonts w:hint="eastAsia"/>
                <w:sz w:val="24"/>
              </w:rPr>
              <w:t>应对项目产生的医疗垃圾进行科学的分类收集</w:t>
            </w:r>
          </w:p>
          <w:p>
            <w:pPr>
              <w:snapToGrid w:val="0"/>
              <w:spacing w:line="360" w:lineRule="auto"/>
              <w:ind w:firstLine="420" w:firstLineChars="175"/>
              <w:rPr>
                <w:sz w:val="24"/>
              </w:rPr>
            </w:pPr>
            <w:r>
              <w:rPr>
                <w:rFonts w:hint="eastAsia"/>
                <w:sz w:val="24"/>
              </w:rPr>
              <w:t>科学的分类是消除污染、无害化处置的保证，本项目医疗废物要严格贯彻《医疗卫生机构医疗废物管理办法》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w:t>
            </w:r>
          </w:p>
          <w:p>
            <w:pPr>
              <w:snapToGrid w:val="0"/>
              <w:spacing w:line="360" w:lineRule="auto"/>
              <w:ind w:firstLine="420" w:firstLineChars="175"/>
              <w:rPr>
                <w:sz w:val="24"/>
              </w:rPr>
            </w:pPr>
            <w:r>
              <w:rPr>
                <w:rFonts w:hint="eastAsia"/>
                <w:sz w:val="24"/>
              </w:rPr>
              <w:t>本项目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pPr>
              <w:snapToGrid w:val="0"/>
              <w:spacing w:line="360" w:lineRule="auto"/>
              <w:ind w:firstLine="420" w:firstLineChars="175"/>
              <w:rPr>
                <w:sz w:val="24"/>
              </w:rPr>
            </w:pPr>
            <w:r>
              <w:rPr>
                <w:rFonts w:hint="eastAsia"/>
                <w:sz w:val="24"/>
              </w:rPr>
              <w:t>所有锐利物都必须单独存放，并统一按医学废物处理。收集锐利物日包装容器必须使用硬质、防漏、防刺破材料。针或刀应保存在有明显标记、防泄漏、防刺破的容器内。处理含有锐利物品的感染性废料时应使用防刺破手套。</w:t>
            </w:r>
          </w:p>
          <w:p>
            <w:pPr>
              <w:numPr>
                <w:ilvl w:val="0"/>
                <w:numId w:val="17"/>
              </w:numPr>
              <w:snapToGrid w:val="0"/>
              <w:spacing w:line="360" w:lineRule="auto"/>
              <w:ind w:left="0" w:firstLine="480" w:firstLineChars="200"/>
              <w:rPr>
                <w:sz w:val="24"/>
              </w:rPr>
            </w:pPr>
            <w:r>
              <w:rPr>
                <w:rFonts w:hint="eastAsia"/>
                <w:sz w:val="24"/>
              </w:rPr>
              <w:t>医疗垃圾的贮存和运送</w:t>
            </w:r>
          </w:p>
          <w:p>
            <w:pPr>
              <w:snapToGrid w:val="0"/>
              <w:spacing w:line="360" w:lineRule="auto"/>
              <w:ind w:firstLine="420" w:firstLineChars="175"/>
              <w:rPr>
                <w:sz w:val="24"/>
              </w:rPr>
            </w:pPr>
            <w:r>
              <w:rPr>
                <w:rFonts w:hint="eastAsia"/>
                <w:sz w:val="24"/>
              </w:rPr>
              <w:t>本项目应当建立医疗废物暂时贮存设施、设备，不得露天存放医疗废物；医疗废物暂时贮存的时间不得超过2天，应得到及时、有效地处理。对于感染性废料和锐利废物，其贮存地应有“生物危险”标志和进入管理限制，且应位于产生废物地点附近。同时感染性废物和锐利废物的贮存应满足以下要求：</w:t>
            </w:r>
          </w:p>
          <w:p>
            <w:pPr>
              <w:snapToGrid w:val="0"/>
              <w:spacing w:line="360" w:lineRule="auto"/>
              <w:ind w:firstLine="420" w:firstLineChars="175"/>
              <w:rPr>
                <w:sz w:val="24"/>
              </w:rPr>
            </w:pPr>
            <w:r>
              <w:rPr>
                <w:rFonts w:hint="eastAsia"/>
                <w:sz w:val="24"/>
              </w:rPr>
              <w:t>保证包装内容物不暴露于空气和受潮；</w:t>
            </w:r>
          </w:p>
          <w:p>
            <w:pPr>
              <w:snapToGrid w:val="0"/>
              <w:spacing w:line="360" w:lineRule="auto"/>
              <w:ind w:firstLine="420" w:firstLineChars="175"/>
              <w:rPr>
                <w:sz w:val="24"/>
              </w:rPr>
            </w:pPr>
            <w:r>
              <w:rPr>
                <w:rFonts w:hint="eastAsia"/>
                <w:sz w:val="24"/>
              </w:rPr>
              <w:t>保存温度及时间应使保存物无腐败发生，必要时，可用低温保存，以防微生物生长和产生异味；</w:t>
            </w:r>
          </w:p>
          <w:p>
            <w:pPr>
              <w:snapToGrid w:val="0"/>
              <w:spacing w:line="360" w:lineRule="auto"/>
              <w:ind w:firstLine="420" w:firstLineChars="175"/>
              <w:rPr>
                <w:sz w:val="24"/>
              </w:rPr>
            </w:pPr>
            <w:r>
              <w:rPr>
                <w:rFonts w:hint="eastAsia"/>
                <w:sz w:val="24"/>
              </w:rPr>
              <w:t>贮存地及包装应确保内容物不成为鼠类或其他生物的食物来源；</w:t>
            </w:r>
          </w:p>
          <w:p>
            <w:pPr>
              <w:snapToGrid w:val="0"/>
              <w:spacing w:line="360" w:lineRule="auto"/>
              <w:ind w:firstLine="420" w:firstLineChars="175"/>
              <w:rPr>
                <w:sz w:val="24"/>
              </w:rPr>
            </w:pPr>
            <w:r>
              <w:rPr>
                <w:rFonts w:hint="eastAsia"/>
                <w:sz w:val="24"/>
              </w:rPr>
              <w:t>贮存地不得对公众开放。医疗废物转交出去后，应当对暂时贮存地点、设施及时进行清洁和消毒处理。</w:t>
            </w:r>
          </w:p>
          <w:p>
            <w:pPr>
              <w:snapToGrid w:val="0"/>
              <w:spacing w:line="360" w:lineRule="auto"/>
              <w:ind w:firstLine="420" w:firstLineChars="175"/>
              <w:rPr>
                <w:sz w:val="24"/>
              </w:rPr>
            </w:pPr>
            <w:r>
              <w:rPr>
                <w:rFonts w:hint="eastAsia"/>
                <w:sz w:val="24"/>
              </w:rPr>
              <w:t>对于医疗固体废物，禁止将其在非收集、非暂时贮存地点倾倒、堆放；禁止将医疗废物混入其它废物和生活垃圾；禁止在内部运送过程中丢弃医疗废物。</w:t>
            </w:r>
          </w:p>
          <w:p>
            <w:pPr>
              <w:numPr>
                <w:ilvl w:val="0"/>
                <w:numId w:val="16"/>
              </w:numPr>
              <w:snapToGrid w:val="0"/>
              <w:spacing w:line="360" w:lineRule="auto"/>
              <w:ind w:firstLine="480" w:firstLineChars="200"/>
              <w:rPr>
                <w:sz w:val="24"/>
              </w:rPr>
            </w:pPr>
            <w:r>
              <w:rPr>
                <w:rFonts w:hint="eastAsia"/>
                <w:sz w:val="24"/>
              </w:rPr>
              <w:t>医用酒精（乙醇）风险防范措施</w:t>
            </w:r>
          </w:p>
          <w:p>
            <w:pPr>
              <w:snapToGrid w:val="0"/>
              <w:spacing w:line="360" w:lineRule="auto"/>
              <w:ind w:firstLine="420" w:firstLineChars="175"/>
              <w:rPr>
                <w:sz w:val="24"/>
              </w:rPr>
            </w:pPr>
            <w:r>
              <w:rPr>
                <w:rFonts w:hint="eastAsia"/>
                <w:sz w:val="24"/>
              </w:rPr>
              <w:t>医用酒精贮存在干燥、清洁的环境中，避光、防潮，设置湿温度计，定期检查并做好记录；药品库配备规定数量、质量要求的灭火器材，保证通风良好，并有专人负责监督；储存场所注明所存放的危险化学品的名称，储存容器贴有标识，并保留相关化学品的MSDS；使用部门要建医用酒精的登记台帐，记录药品进购日期、名称、规格、数量和存放地点。</w:t>
            </w:r>
          </w:p>
          <w:p>
            <w:pPr>
              <w:numPr>
                <w:ilvl w:val="0"/>
                <w:numId w:val="16"/>
              </w:numPr>
              <w:snapToGrid w:val="0"/>
              <w:spacing w:line="360" w:lineRule="auto"/>
              <w:ind w:firstLine="480" w:firstLineChars="200"/>
              <w:rPr>
                <w:sz w:val="24"/>
              </w:rPr>
            </w:pPr>
            <w:r>
              <w:rPr>
                <w:rFonts w:hint="eastAsia"/>
                <w:sz w:val="24"/>
              </w:rPr>
              <w:t>医疗废水事故应急措施的风险防范措施</w:t>
            </w:r>
          </w:p>
          <w:p>
            <w:pPr>
              <w:snapToGrid w:val="0"/>
              <w:spacing w:line="360" w:lineRule="auto"/>
              <w:ind w:firstLine="420" w:firstLineChars="175"/>
              <w:rPr>
                <w:sz w:val="24"/>
              </w:rPr>
            </w:pPr>
            <w:r>
              <w:rPr>
                <w:rFonts w:hint="eastAsia"/>
                <w:sz w:val="24"/>
              </w:rPr>
              <w:t>加强医院污水管线、阀门等设备元器件的维护保养。污水管线破损时要及时抢修，防止因处理设备故障抢修不及时而造成污水污染土壤，地下水。</w:t>
            </w:r>
          </w:p>
          <w:p>
            <w:pPr>
              <w:numPr>
                <w:ilvl w:val="0"/>
                <w:numId w:val="16"/>
              </w:numPr>
              <w:snapToGrid w:val="0"/>
              <w:spacing w:line="360" w:lineRule="auto"/>
              <w:ind w:firstLine="480" w:firstLineChars="200"/>
              <w:rPr>
                <w:sz w:val="24"/>
              </w:rPr>
            </w:pPr>
            <w:r>
              <w:rPr>
                <w:rFonts w:hint="eastAsia"/>
                <w:sz w:val="24"/>
              </w:rPr>
              <w:t>风险防范制度</w:t>
            </w:r>
          </w:p>
          <w:p>
            <w:pPr>
              <w:snapToGrid w:val="0"/>
              <w:spacing w:line="360" w:lineRule="auto"/>
              <w:ind w:firstLine="420" w:firstLineChars="175"/>
              <w:rPr>
                <w:rFonts w:ascii="宋体" w:hAnsi="宋体" w:cs="宋体"/>
                <w:bCs/>
                <w:spacing w:val="-10"/>
                <w:szCs w:val="21"/>
              </w:rPr>
            </w:pPr>
            <w:r>
              <w:rPr>
                <w:rFonts w:hint="eastAsia"/>
                <w:sz w:val="24"/>
              </w:rPr>
              <w:t>建设单位应针对上述环境风险事故，制定相应的环境风险防范措施和环境风险应急预案。</w:t>
            </w: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6"/>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605"/>
        <w:gridCol w:w="19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ascii="宋体" w:hAnsi="宋体" w:cs="宋体"/>
                <w:b/>
                <w:bCs/>
                <w:szCs w:val="21"/>
              </w:rPr>
            </w:pPr>
            <w:r>
              <w:rPr>
                <w:rFonts w:hint="eastAsia" w:ascii="宋体" w:hAnsi="宋体" w:cs="宋体"/>
                <w:b/>
                <w:bCs/>
                <w:szCs w:val="21"/>
              </w:rPr>
              <w:t>内容</w:t>
            </w:r>
          </w:p>
          <w:p>
            <w:pPr>
              <w:adjustRightInd w:val="0"/>
              <w:snapToGrid w:val="0"/>
              <w:rPr>
                <w:rFonts w:ascii="宋体" w:hAnsi="宋体" w:cs="宋体"/>
                <w:b/>
                <w:bCs/>
                <w:szCs w:val="21"/>
              </w:rPr>
            </w:pPr>
            <w:r>
              <w:rPr>
                <w:rFonts w:hint="eastAsia" w:ascii="宋体" w:hAnsi="宋体" w:cs="宋体"/>
                <w:b/>
                <w:bCs/>
                <w:szCs w:val="21"/>
              </w:rPr>
              <w:t>要素</w:t>
            </w:r>
          </w:p>
        </w:tc>
        <w:tc>
          <w:tcPr>
            <w:tcW w:w="1755" w:type="dxa"/>
            <w:vAlign w:val="center"/>
          </w:tcPr>
          <w:p>
            <w:pPr>
              <w:adjustRightInd w:val="0"/>
              <w:snapToGrid w:val="0"/>
              <w:jc w:val="center"/>
              <w:rPr>
                <w:rFonts w:ascii="宋体" w:hAnsi="宋体" w:cs="宋体"/>
                <w:b/>
                <w:bCs/>
                <w:szCs w:val="21"/>
              </w:rPr>
            </w:pPr>
            <w:r>
              <w:rPr>
                <w:rFonts w:hint="eastAsia" w:ascii="宋体" w:hAnsi="宋体" w:cs="宋体"/>
                <w:b/>
                <w:bCs/>
                <w:szCs w:val="21"/>
              </w:rPr>
              <w:t>排放口(编号、</w:t>
            </w:r>
          </w:p>
          <w:p>
            <w:pPr>
              <w:adjustRightInd w:val="0"/>
              <w:snapToGrid w:val="0"/>
              <w:jc w:val="center"/>
              <w:rPr>
                <w:rFonts w:ascii="宋体" w:hAnsi="宋体" w:cs="宋体"/>
                <w:b/>
                <w:bCs/>
                <w:szCs w:val="21"/>
              </w:rPr>
            </w:pPr>
            <w:r>
              <w:rPr>
                <w:rFonts w:hint="eastAsia" w:ascii="宋体" w:hAnsi="宋体" w:cs="宋体"/>
                <w:b/>
                <w:bCs/>
                <w:szCs w:val="21"/>
              </w:rPr>
              <w:t>名称)/污染源</w:t>
            </w:r>
          </w:p>
        </w:tc>
        <w:tc>
          <w:tcPr>
            <w:tcW w:w="1755" w:type="dxa"/>
            <w:vAlign w:val="center"/>
          </w:tcPr>
          <w:p>
            <w:pPr>
              <w:adjustRightInd w:val="0"/>
              <w:snapToGrid w:val="0"/>
              <w:jc w:val="center"/>
              <w:rPr>
                <w:rFonts w:ascii="宋体" w:hAnsi="宋体" w:cs="宋体"/>
                <w:b/>
                <w:bCs/>
                <w:szCs w:val="21"/>
              </w:rPr>
            </w:pPr>
            <w:r>
              <w:rPr>
                <w:rFonts w:hint="eastAsia" w:ascii="宋体" w:hAnsi="宋体" w:cs="宋体"/>
                <w:b/>
                <w:bCs/>
                <w:szCs w:val="21"/>
              </w:rPr>
              <w:t>污染物项目</w:t>
            </w:r>
          </w:p>
        </w:tc>
        <w:tc>
          <w:tcPr>
            <w:tcW w:w="1605" w:type="dxa"/>
            <w:vAlign w:val="center"/>
          </w:tcPr>
          <w:p>
            <w:pPr>
              <w:adjustRightInd w:val="0"/>
              <w:snapToGrid w:val="0"/>
              <w:jc w:val="center"/>
              <w:rPr>
                <w:rFonts w:ascii="宋体" w:hAnsi="宋体" w:cs="宋体"/>
                <w:b/>
                <w:bCs/>
                <w:szCs w:val="21"/>
              </w:rPr>
            </w:pPr>
            <w:r>
              <w:rPr>
                <w:rFonts w:hint="eastAsia" w:ascii="宋体" w:hAnsi="宋体" w:cs="宋体"/>
                <w:b/>
                <w:bCs/>
                <w:szCs w:val="21"/>
              </w:rPr>
              <w:t>环境保护措施</w:t>
            </w:r>
          </w:p>
        </w:tc>
        <w:tc>
          <w:tcPr>
            <w:tcW w:w="1907" w:type="dxa"/>
            <w:vAlign w:val="center"/>
          </w:tcPr>
          <w:p>
            <w:pPr>
              <w:adjustRightInd w:val="0"/>
              <w:snapToGrid w:val="0"/>
              <w:jc w:val="center"/>
              <w:rPr>
                <w:rFonts w:ascii="宋体" w:hAnsi="宋体" w:cs="宋体"/>
                <w:b/>
                <w:bCs/>
                <w:szCs w:val="21"/>
              </w:rPr>
            </w:pPr>
            <w:r>
              <w:rPr>
                <w:rFonts w:hint="eastAsia" w:ascii="宋体" w:hAnsi="宋体" w:cs="宋体"/>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60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907" w:type="dxa"/>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地表水环境</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定点医院</w:t>
            </w:r>
          </w:p>
        </w:tc>
        <w:tc>
          <w:tcPr>
            <w:tcW w:w="1755" w:type="dxa"/>
            <w:vAlign w:val="center"/>
          </w:tcPr>
          <w:p>
            <w:pPr>
              <w:adjustRightInd w:val="0"/>
              <w:snapToGrid w:val="0"/>
              <w:jc w:val="center"/>
              <w:rPr>
                <w:rFonts w:ascii="宋体" w:hAnsi="宋体" w:cs="宋体"/>
                <w:szCs w:val="21"/>
              </w:rPr>
            </w:pPr>
            <w:r>
              <w:rPr>
                <w:rFonts w:hint="eastAsia"/>
                <w:szCs w:val="21"/>
              </w:rPr>
              <w:t>医疗污水、生活污水</w:t>
            </w:r>
          </w:p>
        </w:tc>
        <w:tc>
          <w:tcPr>
            <w:tcW w:w="1605" w:type="dxa"/>
            <w:vAlign w:val="center"/>
          </w:tcPr>
          <w:p>
            <w:pPr>
              <w:adjustRightInd w:val="0"/>
              <w:snapToGrid w:val="0"/>
              <w:jc w:val="center"/>
              <w:rPr>
                <w:rFonts w:ascii="宋体" w:hAnsi="宋体" w:cs="宋体"/>
                <w:szCs w:val="21"/>
              </w:rPr>
            </w:pPr>
            <w:r>
              <w:rPr>
                <w:rFonts w:hint="eastAsia" w:ascii="宋体" w:hAnsi="宋体" w:cs="宋体"/>
                <w:szCs w:val="21"/>
              </w:rPr>
              <w:t>排入方舱医院污水处理站</w:t>
            </w:r>
          </w:p>
        </w:tc>
        <w:tc>
          <w:tcPr>
            <w:tcW w:w="1907" w:type="dxa"/>
            <w:vAlign w:val="center"/>
          </w:tcPr>
          <w:p>
            <w:pPr>
              <w:adjustRightInd w:val="0"/>
              <w:snapToGrid w:val="0"/>
              <w:jc w:val="center"/>
              <w:rPr>
                <w:rFonts w:ascii="宋体" w:hAnsi="宋体" w:cs="宋体"/>
                <w:szCs w:val="21"/>
              </w:rPr>
            </w:pPr>
            <w:r>
              <w:rPr>
                <w:rFonts w:hint="eastAsia" w:ascii="宋体" w:hAnsi="宋体" w:cs="宋体"/>
                <w:szCs w:val="21"/>
              </w:rPr>
              <w:t>方舱医院污水处理站进水浓度限制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1755" w:type="dxa"/>
            <w:vAlign w:val="center"/>
          </w:tcPr>
          <w:p>
            <w:pPr>
              <w:adjustRightInd w:val="0"/>
              <w:snapToGrid w:val="0"/>
              <w:jc w:val="center"/>
              <w:rPr>
                <w:rFonts w:ascii="宋体" w:hAnsi="宋体"/>
                <w:bCs/>
                <w:szCs w:val="21"/>
              </w:rPr>
            </w:pPr>
            <w:r>
              <w:rPr>
                <w:rFonts w:hint="eastAsia" w:ascii="宋体" w:hAnsi="宋体"/>
                <w:bCs/>
                <w:szCs w:val="21"/>
              </w:rPr>
              <w:t>风机房</w:t>
            </w:r>
          </w:p>
        </w:tc>
        <w:tc>
          <w:tcPr>
            <w:tcW w:w="1755" w:type="dxa"/>
            <w:vAlign w:val="center"/>
          </w:tcPr>
          <w:p>
            <w:pPr>
              <w:adjustRightInd w:val="0"/>
              <w:snapToGrid w:val="0"/>
              <w:jc w:val="center"/>
              <w:rPr>
                <w:rFonts w:ascii="宋体" w:hAnsi="宋体" w:cs="宋体"/>
                <w:szCs w:val="21"/>
              </w:rPr>
            </w:pPr>
            <w:r>
              <w:rPr>
                <w:rFonts w:hint="eastAsia" w:cs="宋体"/>
                <w:szCs w:val="21"/>
              </w:rPr>
              <w:t>A</w:t>
            </w:r>
            <w:r>
              <w:rPr>
                <w:rFonts w:hint="eastAsia" w:ascii="宋体" w:hAnsi="宋体" w:cs="宋体"/>
                <w:szCs w:val="21"/>
              </w:rPr>
              <w:t>声级</w:t>
            </w:r>
          </w:p>
        </w:tc>
        <w:tc>
          <w:tcPr>
            <w:tcW w:w="1605" w:type="dxa"/>
            <w:vAlign w:val="center"/>
          </w:tcPr>
          <w:p>
            <w:pPr>
              <w:pStyle w:val="49"/>
              <w:adjustRightInd w:val="0"/>
              <w:snapToGrid w:val="0"/>
              <w:rPr>
                <w:rFonts w:ascii="宋体" w:hAnsi="宋体" w:cs="宋体"/>
                <w:szCs w:val="21"/>
              </w:rPr>
            </w:pPr>
            <w:r>
              <w:rPr>
                <w:rFonts w:hint="eastAsia"/>
                <w:szCs w:val="21"/>
              </w:rPr>
              <w:t>设备间封闭、使用低噪声设备、设备础减振、合理布局等措施</w:t>
            </w:r>
            <w:r>
              <w:rPr>
                <w:szCs w:val="21"/>
              </w:rPr>
              <w:t>。</w:t>
            </w:r>
          </w:p>
        </w:tc>
        <w:tc>
          <w:tcPr>
            <w:tcW w:w="1907" w:type="dxa"/>
            <w:vAlign w:val="center"/>
          </w:tcPr>
          <w:p>
            <w:pPr>
              <w:adjustRightInd w:val="0"/>
              <w:snapToGrid w:val="0"/>
              <w:jc w:val="center"/>
              <w:rPr>
                <w:rFonts w:ascii="宋体" w:hAnsi="宋体" w:cs="宋体"/>
                <w:szCs w:val="21"/>
              </w:rPr>
            </w:pPr>
            <w:r>
              <w:rPr>
                <w:rFonts w:hint="eastAsia"/>
                <w:szCs w:val="21"/>
              </w:rPr>
              <w:t>《工业企业厂界环境噪声排放标准》（GB 12348-2008）中的1类标准要求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电磁辐射</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60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907" w:type="dxa"/>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7022" w:type="dxa"/>
            <w:gridSpan w:val="4"/>
            <w:vAlign w:val="center"/>
          </w:tcPr>
          <w:p>
            <w:pPr>
              <w:adjustRightInd w:val="0"/>
              <w:snapToGrid w:val="0"/>
              <w:jc w:val="left"/>
            </w:pPr>
            <w:r>
              <w:rPr>
                <w:rFonts w:hint="eastAsia"/>
              </w:rPr>
              <w:t>定点医院的固体废物主要是医疗废物、感染类生活垃圾和通风系统滤材。医疗废物分类收集至相应容器，分类、分区暂存于医疗废物贮存间内，经消毒处理后，交由有资质单位处置。</w:t>
            </w:r>
          </w:p>
          <w:p>
            <w:pPr>
              <w:adjustRightInd w:val="0"/>
              <w:snapToGrid w:val="0"/>
              <w:jc w:val="left"/>
            </w:pPr>
            <w:r>
              <w:rPr>
                <w:rFonts w:hint="eastAsia"/>
              </w:rPr>
              <w:t>感染类生活垃圾根据《国家卫生健康委办公厅关于做好新型冠状病毒感染的肺炎疫情期间医疗机构医疗废物管理工作的通知》（国卫办医函[2020]81号），医疗机构在诊疗新型冠状病毒感染的肺炎患者及疑似患者发热门诊和病区（房）产生的废弃物，包括医疗废物和生活垃圾，均应当按照医疗废物进行分类收集。根据《国家危险废物名录（2021年版）》感染类生活垃圾属于“HW01医疗废物”中的“841-001-01感染性废物”，收集至相应容器，分类、分区暂存于医疗废物贮存间内，经消毒处理后，定期交由有资质单位处置。</w:t>
            </w:r>
          </w:p>
          <w:p>
            <w:pPr>
              <w:adjustRightInd w:val="0"/>
              <w:snapToGrid w:val="0"/>
              <w:jc w:val="left"/>
            </w:pPr>
            <w:r>
              <w:t>根据《国家危险废物名录（2021年版）》，通风系统废滤材属于“HW01医疗废物”中的“841-001-01感染性废物”，通风系统废滤材经收集后暂存于医疗废物贮存间内，定期委托有资质单位处置。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土壤及地下水</w:t>
            </w:r>
          </w:p>
          <w:p>
            <w:pPr>
              <w:adjustRightInd w:val="0"/>
              <w:snapToGrid w:val="0"/>
              <w:jc w:val="center"/>
              <w:rPr>
                <w:rFonts w:ascii="宋体" w:hAnsi="宋体" w:cs="宋体"/>
                <w:szCs w:val="21"/>
              </w:rPr>
            </w:pPr>
            <w:r>
              <w:rPr>
                <w:rFonts w:hint="eastAsia" w:ascii="宋体" w:hAnsi="宋体" w:cs="宋体"/>
                <w:szCs w:val="21"/>
              </w:rPr>
              <w:t>污染防治措施</w:t>
            </w:r>
          </w:p>
        </w:tc>
        <w:tc>
          <w:tcPr>
            <w:tcW w:w="7022" w:type="dxa"/>
            <w:gridSpan w:val="4"/>
            <w:vAlign w:val="center"/>
          </w:tcPr>
          <w:p>
            <w:pPr>
              <w:adjustRightInd w:val="0"/>
              <w:snapToGrid w:val="0"/>
              <w:jc w:val="center"/>
              <w:rPr>
                <w:rFonts w:ascii="宋体" w:hAnsi="宋体" w:cs="宋体"/>
                <w:szCs w:val="21"/>
              </w:rPr>
            </w:pPr>
            <w:r>
              <w:rPr>
                <w:rFonts w:hint="eastAsia" w:ascii="宋体" w:hAnsi="宋体" w:cs="宋体"/>
                <w:szCs w:val="21"/>
              </w:rPr>
              <w:t>对医疗废物贮存间进行重点防腐、防渗措施，地面和</w:t>
            </w:r>
            <w:r>
              <w:rPr>
                <w:rFonts w:hint="eastAsia" w:cs="宋体"/>
                <w:szCs w:val="21"/>
              </w:rPr>
              <w:t>1</w:t>
            </w:r>
            <w:r>
              <w:rPr>
                <w:rFonts w:hint="eastAsia" w:ascii="宋体" w:hAnsi="宋体" w:cs="宋体"/>
                <w:szCs w:val="21"/>
              </w:rPr>
              <w:t>.</w:t>
            </w:r>
            <w:r>
              <w:rPr>
                <w:rFonts w:hint="eastAsia" w:cs="宋体"/>
                <w:szCs w:val="21"/>
              </w:rPr>
              <w:t>0</w:t>
            </w:r>
            <w:r>
              <w:rPr>
                <w:rFonts w:hint="eastAsia" w:ascii="宋体" w:hAnsi="宋体" w:cs="宋体"/>
                <w:szCs w:val="21"/>
              </w:rPr>
              <w:t>米高的墙裙须进行防渗处理（防渗系数≤</w:t>
            </w:r>
            <w:r>
              <w:rPr>
                <w:rFonts w:hint="eastAsia" w:cs="宋体"/>
                <w:szCs w:val="21"/>
              </w:rPr>
              <w:t>10</w:t>
            </w:r>
            <w:r>
              <w:rPr>
                <w:rFonts w:hint="eastAsia" w:ascii="宋体" w:hAnsi="宋体" w:cs="宋体"/>
                <w:szCs w:val="21"/>
                <w:vertAlign w:val="superscript"/>
              </w:rPr>
              <w:t>-</w:t>
            </w:r>
            <w:r>
              <w:rPr>
                <w:rFonts w:hint="eastAsia" w:cs="宋体"/>
                <w:szCs w:val="21"/>
                <w:vertAlign w:val="superscript"/>
              </w:rPr>
              <w:t>10</w:t>
            </w:r>
            <w:r>
              <w:rPr>
                <w:rFonts w:hint="eastAsia" w:cs="宋体"/>
                <w:szCs w:val="21"/>
              </w:rPr>
              <w:t>cm</w:t>
            </w:r>
            <w:r>
              <w:rPr>
                <w:rFonts w:hint="eastAsia" w:ascii="宋体" w:hAnsi="宋体" w:cs="宋体"/>
                <w:szCs w:val="21"/>
              </w:rPr>
              <w:t>/</w:t>
            </w:r>
            <w:r>
              <w:rPr>
                <w:rFonts w:hint="eastAsia" w:cs="宋体"/>
                <w:szCs w:val="21"/>
              </w:rPr>
              <w:t>s</w:t>
            </w:r>
            <w:r>
              <w:rPr>
                <w:rFonts w:hint="eastAsia" w:ascii="宋体" w:hAnsi="宋体" w:cs="宋体"/>
                <w:szCs w:val="21"/>
              </w:rPr>
              <w:t>），地面有良好的排水性能，易于清洁和消毒，产生的废水应采用管道直接排入医疗卫生机构内的医疗污水消毒、处理系统，禁止将产生的废水直接排入外环境。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生态保护措施</w:t>
            </w:r>
          </w:p>
        </w:tc>
        <w:tc>
          <w:tcPr>
            <w:tcW w:w="7022" w:type="dxa"/>
            <w:gridSpan w:val="4"/>
            <w:vAlign w:val="center"/>
          </w:tcPr>
          <w:p>
            <w:pPr>
              <w:adjustRightInd w:val="0"/>
              <w:snapToGrid w:val="0"/>
              <w:jc w:val="center"/>
              <w:rPr>
                <w:rFonts w:ascii="宋体" w:hAnsi="宋体" w:cs="宋体"/>
                <w:szCs w:val="21"/>
              </w:rPr>
            </w:pPr>
            <w:r>
              <w:rPr>
                <w:rFonts w:hint="eastAsia" w:ascii="宋体" w:hAnsi="宋体" w:cs="宋体"/>
                <w:szCs w:val="21"/>
              </w:rPr>
              <w:t>项目</w:t>
            </w:r>
            <w:r>
              <w:rPr>
                <w:rFonts w:hint="eastAsia" w:ascii="宋体" w:hAnsi="宋体" w:cs="宋体"/>
                <w:szCs w:val="21"/>
                <w:lang w:val="en-US" w:eastAsia="zh-CN"/>
              </w:rPr>
              <w:t>购买</w:t>
            </w:r>
            <w:r>
              <w:rPr>
                <w:rFonts w:hint="eastAsia" w:ascii="宋体" w:hAnsi="宋体" w:cs="宋体"/>
                <w:szCs w:val="21"/>
              </w:rPr>
              <w:t>原有闲置承德昊天硬质合金制品有限公司场地进行建设，不会对区域自然景观和生态环境产生不利影响。本项目总占地面积为</w:t>
            </w:r>
            <w:r>
              <w:rPr>
                <w:rFonts w:hint="eastAsia" w:cs="宋体"/>
                <w:szCs w:val="21"/>
              </w:rPr>
              <w:t>1483</w:t>
            </w:r>
            <w:r>
              <w:rPr>
                <w:rFonts w:hint="eastAsia" w:ascii="宋体" w:hAnsi="宋体" w:cs="宋体"/>
                <w:szCs w:val="21"/>
              </w:rPr>
              <w:t>.</w:t>
            </w:r>
            <w:r>
              <w:rPr>
                <w:rFonts w:hint="eastAsia" w:cs="宋体"/>
                <w:szCs w:val="21"/>
              </w:rPr>
              <w:t>44m</w:t>
            </w:r>
            <w:r>
              <w:rPr>
                <w:rFonts w:hint="eastAsia" w:cs="宋体"/>
                <w:szCs w:val="21"/>
                <w:vertAlign w:val="superscript"/>
              </w:rPr>
              <w:t>2</w:t>
            </w:r>
            <w:r>
              <w:rPr>
                <w:rFonts w:hint="eastAsia" w:ascii="宋体" w:hAnsi="宋体" w:cs="宋体"/>
                <w:szCs w:val="21"/>
              </w:rPr>
              <w:t>，工程占地均位于承德昊天硬质合金制品有限公司厂区内，因此项目建设不会改变土地利用类型，不会对周边生态环境造成影响。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7022" w:type="dxa"/>
            <w:gridSpan w:val="4"/>
            <w:vAlign w:val="center"/>
          </w:tcPr>
          <w:p>
            <w:pPr>
              <w:adjustRightInd w:val="0"/>
              <w:snapToGrid w:val="0"/>
              <w:jc w:val="left"/>
              <w:rPr>
                <w:rFonts w:ascii="宋体" w:hAnsi="宋体" w:cs="宋体"/>
                <w:szCs w:val="21"/>
              </w:rPr>
            </w:pPr>
            <w:r>
              <w:rPr>
                <w:rFonts w:hint="eastAsia" w:ascii="宋体" w:hAnsi="宋体" w:cs="宋体"/>
                <w:szCs w:val="21"/>
              </w:rPr>
              <w:t>医疗废物风险防范措施：本项目医疗废物必须经科学地分类收集、贮存运送后由有资质单位处理。鉴于医疗垃圾的极大危害性，本项目在收集、贮存、运送医疗垃圾的过程中存在着一定的风险。</w:t>
            </w:r>
          </w:p>
          <w:p>
            <w:pPr>
              <w:adjustRightInd w:val="0"/>
              <w:snapToGrid w:val="0"/>
              <w:jc w:val="left"/>
              <w:rPr>
                <w:rFonts w:ascii="宋体" w:hAnsi="宋体" w:cs="宋体"/>
                <w:szCs w:val="21"/>
              </w:rPr>
            </w:pPr>
            <w:r>
              <w:rPr>
                <w:rFonts w:hint="eastAsia" w:ascii="宋体" w:hAnsi="宋体" w:cs="宋体"/>
                <w:szCs w:val="21"/>
              </w:rPr>
              <w:t>为保证项目产生的医疗垃圾得到有效处置，使其风险减少到最小程度，而不会对周围环境造成不良影响，应具体采取如下的措施进行防范。</w:t>
            </w:r>
          </w:p>
          <w:p>
            <w:pPr>
              <w:adjustRightInd w:val="0"/>
              <w:snapToGrid w:val="0"/>
              <w:jc w:val="left"/>
              <w:rPr>
                <w:rFonts w:ascii="宋体" w:hAnsi="宋体" w:cs="宋体"/>
                <w:szCs w:val="21"/>
              </w:rPr>
            </w:pPr>
            <w:r>
              <w:rPr>
                <w:rFonts w:hint="eastAsia" w:ascii="宋体" w:hAnsi="宋体" w:cs="宋体"/>
                <w:szCs w:val="21"/>
              </w:rPr>
              <w:t>应对项目产生的医疗垃圾进行科学的分类收集，科学的分类是消除污染、无害化处置的保证，本项目医疗废物要严格贯彻《医疗卫生机构医疗废物管理办法》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时，应当使用有效的封口方式，使包装物或者容器的封口紧实、严密。</w:t>
            </w:r>
          </w:p>
          <w:p>
            <w:pPr>
              <w:adjustRightInd w:val="0"/>
              <w:snapToGrid w:val="0"/>
              <w:jc w:val="left"/>
              <w:rPr>
                <w:rFonts w:ascii="宋体" w:hAnsi="宋体" w:cs="宋体"/>
                <w:szCs w:val="21"/>
              </w:rPr>
            </w:pPr>
            <w:r>
              <w:rPr>
                <w:rFonts w:hint="eastAsia" w:ascii="宋体" w:hAnsi="宋体" w:cs="宋体"/>
                <w:szCs w:val="21"/>
              </w:rPr>
              <w:t>本项目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pPr>
              <w:adjustRightInd w:val="0"/>
              <w:snapToGrid w:val="0"/>
              <w:jc w:val="left"/>
              <w:rPr>
                <w:rFonts w:ascii="宋体" w:hAnsi="宋体" w:cs="宋体"/>
                <w:szCs w:val="21"/>
              </w:rPr>
            </w:pPr>
            <w:r>
              <w:rPr>
                <w:rFonts w:hint="eastAsia" w:ascii="宋体" w:hAnsi="宋体" w:cs="宋体"/>
                <w:szCs w:val="21"/>
              </w:rPr>
              <w:t>所有锐利物都必须单独存放，并统一按医学废物处理。收集锐利物日包装容器必须使用硬质、防漏、防刺破材料。针或刀应保存在有明显标记、防泄漏、防刺破的容器内。处理含有锐利物品的感染性废料时应使用防刺破手套。</w:t>
            </w:r>
          </w:p>
          <w:p>
            <w:pPr>
              <w:adjustRightInd w:val="0"/>
              <w:snapToGrid w:val="0"/>
              <w:jc w:val="left"/>
              <w:rPr>
                <w:rFonts w:ascii="宋体" w:hAnsi="宋体" w:cs="宋体"/>
                <w:szCs w:val="21"/>
              </w:rPr>
            </w:pPr>
            <w:r>
              <w:rPr>
                <w:rFonts w:hint="eastAsia" w:ascii="宋体" w:hAnsi="宋体" w:cs="宋体"/>
                <w:szCs w:val="21"/>
              </w:rPr>
              <w:t>本项目应当建立医疗废物暂时贮存设施、设备，不得露天存放医疗废物；医疗废物暂时贮存的时间不得超过</w:t>
            </w:r>
            <w:r>
              <w:rPr>
                <w:rFonts w:hint="eastAsia" w:cs="宋体"/>
                <w:szCs w:val="21"/>
              </w:rPr>
              <w:t>2</w:t>
            </w:r>
            <w:r>
              <w:rPr>
                <w:rFonts w:hint="eastAsia" w:ascii="宋体" w:hAnsi="宋体" w:cs="宋体"/>
                <w:szCs w:val="21"/>
              </w:rPr>
              <w:t>天，应得到及时、有效地处理。对于感染性废料和锐利废物，其贮存地应有“生物危险”标志和进入管理限制，且应位于产生废物地点附近。同时感染性废物和锐利废物的贮存应满足以下要求：保证包装内容物不暴露于空气和受潮；保存温度及时间应使保存物无腐败发生，必要时，可用低温保存，以防微生物生长和产生异味；贮存地及包装应确保内容物不成为鼠类或其他生物的食物来源；贮存地不得对公众开放。医疗废物转交出去后，应当对暂时贮存地点、设施及时进行清洁和消毒处理。对于医疗固体废物，禁止将其在非收集、非暂时贮存地点倾倒、堆放；禁止将医疗废物混入其它废物和生活垃圾；禁止在内部运送过程中丢弃医疗废物。</w:t>
            </w:r>
          </w:p>
          <w:p>
            <w:pPr>
              <w:adjustRightInd w:val="0"/>
              <w:snapToGrid w:val="0"/>
              <w:jc w:val="left"/>
              <w:rPr>
                <w:rFonts w:ascii="宋体" w:hAnsi="宋体" w:cs="宋体"/>
                <w:szCs w:val="21"/>
              </w:rPr>
            </w:pPr>
            <w:r>
              <w:rPr>
                <w:rFonts w:hint="eastAsia" w:ascii="宋体" w:hAnsi="宋体" w:cs="宋体"/>
                <w:szCs w:val="21"/>
              </w:rPr>
              <w:t>医用酒精（乙醇）风险防范措施：医用酒精贮存在干燥、清洁的环境中，避光、防潮，设置湿温度计，定期检查并做好记录；药品库配备规定数量、质量要求的灭火器材，保证通风良好，并有专人负责监督；储存场所注明所存放的危险化学品的名称，储存容器贴有标识，并保留相关化学品的</w:t>
            </w:r>
            <w:r>
              <w:rPr>
                <w:rFonts w:hint="eastAsia" w:cs="宋体"/>
                <w:szCs w:val="21"/>
              </w:rPr>
              <w:t>MSDS</w:t>
            </w:r>
            <w:r>
              <w:rPr>
                <w:rFonts w:hint="eastAsia" w:ascii="宋体" w:hAnsi="宋体" w:cs="宋体"/>
                <w:szCs w:val="21"/>
              </w:rPr>
              <w:t>；使用部门要建医用酒精的登记台帐，记录药品进购日期、名称、规格、数量和存放地点。</w:t>
            </w:r>
          </w:p>
          <w:p>
            <w:pPr>
              <w:adjustRightInd w:val="0"/>
              <w:snapToGrid w:val="0"/>
              <w:jc w:val="left"/>
              <w:rPr>
                <w:rFonts w:ascii="宋体" w:hAnsi="宋体" w:cs="宋体"/>
                <w:szCs w:val="21"/>
              </w:rPr>
            </w:pPr>
            <w:r>
              <w:rPr>
                <w:rFonts w:hint="eastAsia" w:ascii="宋体" w:hAnsi="宋体" w:cs="宋体"/>
                <w:szCs w:val="21"/>
              </w:rPr>
              <w:t>医疗废水事故应急措施的风险防范措施：加强医院污水管线、阀门等设备元器件的维护保养。污水管线破损时要及时抢修，防止因处理设备故障抢修不及时而造成污水污染土壤，地下水。</w:t>
            </w:r>
          </w:p>
          <w:p>
            <w:pPr>
              <w:adjustRightInd w:val="0"/>
              <w:snapToGrid w:val="0"/>
              <w:jc w:val="left"/>
              <w:rPr>
                <w:rFonts w:ascii="宋体" w:hAnsi="宋体" w:cs="宋体"/>
                <w:szCs w:val="21"/>
              </w:rPr>
            </w:pPr>
            <w:r>
              <w:rPr>
                <w:rFonts w:hint="eastAsia" w:ascii="宋体" w:hAnsi="宋体" w:cs="宋体"/>
                <w:szCs w:val="21"/>
              </w:rPr>
              <w:t>风险防范制度：建设单位应针对上述环境风险事故，制定相应的环境风险防范措施和环境风险应急预案。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ascii="宋体" w:hAnsi="宋体" w:cs="宋体"/>
                <w:spacing w:val="-8"/>
                <w:szCs w:val="21"/>
              </w:rPr>
            </w:pPr>
            <w:r>
              <w:rPr>
                <w:rFonts w:hint="eastAsia" w:ascii="宋体" w:hAnsi="宋体" w:cs="宋体"/>
                <w:spacing w:val="-8"/>
                <w:szCs w:val="21"/>
              </w:rPr>
              <w:t>管理要求</w:t>
            </w:r>
          </w:p>
        </w:tc>
        <w:tc>
          <w:tcPr>
            <w:tcW w:w="7022" w:type="dxa"/>
            <w:gridSpan w:val="4"/>
            <w:vAlign w:val="center"/>
          </w:tcPr>
          <w:p>
            <w:pPr>
              <w:adjustRightInd w:val="0"/>
              <w:snapToGrid w:val="0"/>
              <w:jc w:val="center"/>
              <w:rPr>
                <w:rFonts w:ascii="宋体" w:hAnsi="宋体" w:cs="宋体"/>
                <w:szCs w:val="21"/>
              </w:rPr>
            </w:pPr>
            <w:r>
              <w:rPr>
                <w:rFonts w:hint="eastAsia" w:ascii="宋体" w:hAnsi="宋体" w:cs="宋体"/>
                <w:szCs w:val="21"/>
              </w:rPr>
              <w:t>/</w:t>
            </w:r>
          </w:p>
        </w:tc>
      </w:tr>
    </w:tbl>
    <w:p>
      <w:pPr>
        <w:pStyle w:val="15"/>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napToGrid w:val="0"/>
              <w:spacing w:before="120" w:beforeLines="50" w:line="360" w:lineRule="auto"/>
              <w:rPr>
                <w:b/>
                <w:bCs/>
                <w:sz w:val="24"/>
              </w:rPr>
            </w:pPr>
            <w:r>
              <w:rPr>
                <w:b/>
                <w:bCs/>
                <w:sz w:val="24"/>
              </w:rPr>
              <w:t>结论：</w:t>
            </w:r>
          </w:p>
          <w:p>
            <w:pPr>
              <w:snapToGrid w:val="0"/>
              <w:spacing w:line="360" w:lineRule="auto"/>
              <w:ind w:firstLine="480" w:firstLineChars="200"/>
              <w:rPr>
                <w:rFonts w:eastAsiaTheme="minorEastAsia"/>
                <w:sz w:val="24"/>
              </w:rPr>
            </w:pPr>
            <w:commentRangeStart w:id="13"/>
            <w:r>
              <w:rPr>
                <w:rFonts w:hint="eastAsia"/>
                <w:color w:val="FF0000"/>
                <w:sz w:val="24"/>
              </w:rPr>
              <w:t>从环境保护的角度，建设项目环境影响</w:t>
            </w:r>
            <w:r>
              <w:rPr>
                <w:rFonts w:hint="eastAsia"/>
                <w:color w:val="FF0000"/>
                <w:sz w:val="24"/>
                <w:lang w:val="en-US" w:eastAsia="zh-CN"/>
              </w:rPr>
              <w:t>可接受，建设项目可行</w:t>
            </w:r>
            <w:r>
              <w:rPr>
                <w:rFonts w:hint="eastAsia"/>
                <w:color w:val="FF0000"/>
                <w:sz w:val="24"/>
              </w:rPr>
              <w:t>。</w:t>
            </w:r>
            <w:commentRangeEnd w:id="13"/>
            <w:r>
              <w:commentReference w:id="13"/>
            </w:r>
          </w:p>
          <w:p>
            <w:pPr>
              <w:spacing w:line="360" w:lineRule="auto"/>
              <w:rPr>
                <w:rFonts w:ascii="宋体" w:cs="宋体"/>
                <w:sz w:val="24"/>
              </w:rPr>
            </w:pPr>
          </w:p>
        </w:tc>
      </w:tr>
    </w:tbl>
    <w:p>
      <w:pPr>
        <w:rPr>
          <w:rFonts w:ascii="宋体"/>
        </w:rPr>
        <w:sectPr>
          <w:pgSz w:w="11906" w:h="16838"/>
          <w:pgMar w:top="1701" w:right="1531" w:bottom="1701" w:left="1531" w:header="851" w:footer="851" w:gutter="0"/>
          <w:cols w:space="720" w:num="1"/>
          <w:docGrid w:linePitch="312" w:charSpace="0"/>
        </w:sectPr>
      </w:pPr>
    </w:p>
    <w:p>
      <w:pPr>
        <w:pStyle w:val="15"/>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5"/>
        <w:adjustRightInd w:val="0"/>
        <w:snapToGrid w:val="0"/>
        <w:spacing w:before="0" w:beforeAutospacing="0" w:after="0" w:afterAutospacing="0" w:line="552"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24"/>
              <w:spacing w:beforeLines="0" w:afterLines="0" w:line="240" w:lineRule="auto"/>
              <w:jc w:val="righ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24"/>
              <w:spacing w:beforeLines="0" w:afterLines="0" w:line="240" w:lineRule="auto"/>
              <w:jc w:val="lef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tcMar>
              <w:left w:w="28" w:type="dxa"/>
              <w:right w:w="28" w:type="dxa"/>
            </w:tcMar>
            <w:vAlign w:val="center"/>
          </w:tcPr>
          <w:p>
            <w:pPr>
              <w:pStyle w:val="24"/>
              <w:spacing w:beforeLines="0" w:afterLines="0" w:line="240" w:lineRule="auto"/>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tcMar>
              <w:left w:w="28" w:type="dxa"/>
              <w:right w:w="28" w:type="dxa"/>
            </w:tcMar>
            <w:vAlign w:val="center"/>
          </w:tcPr>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tcMar>
              <w:left w:w="28" w:type="dxa"/>
              <w:right w:w="28" w:type="dxa"/>
            </w:tcMar>
            <w:vAlign w:val="center"/>
          </w:tcPr>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24"/>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tcMar>
              <w:left w:w="28" w:type="dxa"/>
              <w:right w:w="28" w:type="dxa"/>
            </w:tcMar>
            <w:vAlign w:val="center"/>
          </w:tcPr>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tcMar>
              <w:left w:w="28" w:type="dxa"/>
              <w:right w:w="28" w:type="dxa"/>
            </w:tcMar>
            <w:vAlign w:val="center"/>
          </w:tcPr>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tcMar>
              <w:left w:w="28" w:type="dxa"/>
              <w:right w:w="28" w:type="dxa"/>
            </w:tcMar>
            <w:vAlign w:val="center"/>
          </w:tcPr>
          <w:p>
            <w:pPr>
              <w:pStyle w:val="24"/>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24"/>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tcMar>
              <w:left w:w="28" w:type="dxa"/>
              <w:right w:w="28" w:type="dxa"/>
            </w:tcMar>
            <w:vAlign w:val="center"/>
          </w:tcPr>
          <w:p>
            <w:pPr>
              <w:pStyle w:val="24"/>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24"/>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tcMar>
              <w:left w:w="28" w:type="dxa"/>
              <w:right w:w="28" w:type="dxa"/>
            </w:tcMar>
            <w:vAlign w:val="center"/>
          </w:tcPr>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24"/>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废气</w:t>
            </w:r>
          </w:p>
        </w:tc>
        <w:tc>
          <w:tcPr>
            <w:tcW w:w="1417"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pStyle w:val="24"/>
              <w:spacing w:beforeLines="0" w:afterLines="0" w:line="240" w:lineRule="auto"/>
              <w:rPr>
                <w:rFonts w:hAnsi="宋体" w:cs="宋体"/>
                <w:snapToGrid w:val="0"/>
                <w:color w:val="000000"/>
                <w:kern w:val="21"/>
                <w:szCs w:val="21"/>
              </w:rPr>
            </w:pP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pStyle w:val="24"/>
              <w:spacing w:beforeLines="0" w:afterLines="0" w:line="240" w:lineRule="auto"/>
              <w:rPr>
                <w:rFonts w:hAnsi="宋体" w:cs="宋体"/>
                <w:snapToGrid w:val="0"/>
                <w:color w:val="000000"/>
                <w:kern w:val="21"/>
                <w:szCs w:val="21"/>
              </w:rPr>
            </w:pP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废水</w:t>
            </w:r>
          </w:p>
        </w:tc>
        <w:tc>
          <w:tcPr>
            <w:tcW w:w="1417" w:type="dxa"/>
            <w:vAlign w:val="center"/>
          </w:tcPr>
          <w:p>
            <w:pPr>
              <w:adjustRightInd w:val="0"/>
              <w:snapToGrid w:val="0"/>
              <w:jc w:val="center"/>
              <w:rPr>
                <w:rFonts w:hAnsi="宋体" w:cs="宋体"/>
                <w:snapToGrid w:val="0"/>
                <w:color w:val="000000"/>
                <w:kern w:val="21"/>
                <w:szCs w:val="21"/>
              </w:rPr>
            </w:pPr>
            <w:r>
              <w:rPr>
                <w:szCs w:val="21"/>
              </w:rPr>
              <w:t>COD</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widowControl/>
              <w:jc w:val="center"/>
              <w:textAlignment w:val="center"/>
              <w:rPr>
                <w:snapToGrid w:val="0"/>
                <w:color w:val="000000"/>
                <w:kern w:val="21"/>
                <w:szCs w:val="21"/>
              </w:rPr>
            </w:pPr>
            <w:r>
              <w:rPr>
                <w:rFonts w:hint="eastAsia"/>
                <w:kern w:val="0"/>
                <w:szCs w:val="21"/>
                <w:lang w:bidi="ar"/>
              </w:rPr>
              <w:t>5.577t/a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widowControl/>
              <w:jc w:val="center"/>
              <w:textAlignment w:val="center"/>
              <w:rPr>
                <w:rFonts w:hAnsi="宋体" w:cs="宋体"/>
                <w:snapToGrid w:val="0"/>
                <w:color w:val="000000"/>
                <w:kern w:val="21"/>
                <w:szCs w:val="21"/>
              </w:rPr>
            </w:pPr>
            <w:r>
              <w:rPr>
                <w:rFonts w:hint="eastAsia"/>
                <w:kern w:val="0"/>
                <w:szCs w:val="21"/>
                <w:lang w:bidi="ar"/>
              </w:rPr>
              <w:t>5.577t/a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rFonts w:hAnsi="宋体" w:cs="宋体"/>
                <w:snapToGrid w:val="0"/>
                <w:color w:val="000000"/>
                <w:kern w:val="21"/>
                <w:szCs w:val="21"/>
              </w:rPr>
            </w:pPr>
            <w:r>
              <w:rPr>
                <w:szCs w:val="21"/>
              </w:rPr>
              <w:t>BOD</w:t>
            </w:r>
            <w:r>
              <w:rPr>
                <w:szCs w:val="21"/>
                <w:vertAlign w:val="subscript"/>
              </w:rPr>
              <w:t>5</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widowControl/>
              <w:jc w:val="center"/>
              <w:textAlignment w:val="center"/>
              <w:rPr>
                <w:snapToGrid w:val="0"/>
                <w:color w:val="000000"/>
                <w:kern w:val="21"/>
                <w:szCs w:val="21"/>
              </w:rPr>
            </w:pPr>
            <w:r>
              <w:rPr>
                <w:rFonts w:hint="eastAsia"/>
                <w:kern w:val="0"/>
                <w:szCs w:val="21"/>
                <w:lang w:bidi="ar"/>
              </w:rPr>
              <w:t>3.485t/a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widowControl/>
              <w:jc w:val="center"/>
              <w:textAlignment w:val="center"/>
              <w:rPr>
                <w:rFonts w:hAnsi="宋体" w:cs="宋体"/>
                <w:snapToGrid w:val="0"/>
                <w:color w:val="000000"/>
                <w:kern w:val="21"/>
                <w:szCs w:val="21"/>
              </w:rPr>
            </w:pPr>
            <w:r>
              <w:rPr>
                <w:rFonts w:hint="eastAsia"/>
                <w:kern w:val="0"/>
                <w:szCs w:val="21"/>
                <w:lang w:bidi="ar"/>
              </w:rPr>
              <w:t>3.485t/a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rFonts w:hAnsi="宋体" w:cs="宋体"/>
                <w:snapToGrid w:val="0"/>
                <w:color w:val="000000"/>
                <w:kern w:val="21"/>
                <w:szCs w:val="21"/>
              </w:rPr>
            </w:pPr>
            <w:r>
              <w:rPr>
                <w:bCs/>
                <w:szCs w:val="21"/>
              </w:rPr>
              <w:t>SS</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widowControl/>
              <w:jc w:val="center"/>
              <w:textAlignment w:val="center"/>
              <w:rPr>
                <w:snapToGrid w:val="0"/>
                <w:color w:val="000000"/>
                <w:kern w:val="21"/>
                <w:szCs w:val="21"/>
              </w:rPr>
            </w:pPr>
            <w:r>
              <w:rPr>
                <w:rFonts w:hint="eastAsia"/>
                <w:kern w:val="0"/>
                <w:szCs w:val="21"/>
                <w:lang w:bidi="ar"/>
              </w:rPr>
              <w:t>3.904t/a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widowControl/>
              <w:jc w:val="center"/>
              <w:textAlignment w:val="center"/>
              <w:rPr>
                <w:snapToGrid w:val="0"/>
                <w:color w:val="000000"/>
                <w:kern w:val="21"/>
                <w:szCs w:val="21"/>
              </w:rPr>
            </w:pPr>
            <w:r>
              <w:rPr>
                <w:rFonts w:hint="eastAsia"/>
                <w:kern w:val="0"/>
                <w:szCs w:val="21"/>
                <w:lang w:bidi="ar"/>
              </w:rPr>
              <w:t>3.904t/a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rFonts w:hAnsi="宋体" w:cs="宋体"/>
                <w:snapToGrid w:val="0"/>
                <w:color w:val="000000"/>
                <w:kern w:val="21"/>
                <w:szCs w:val="21"/>
              </w:rPr>
            </w:pPr>
            <w:r>
              <w:rPr>
                <w:szCs w:val="21"/>
              </w:rPr>
              <w:t>NH</w:t>
            </w:r>
            <w:r>
              <w:rPr>
                <w:szCs w:val="21"/>
                <w:vertAlign w:val="subscript"/>
              </w:rPr>
              <w:t>3</w:t>
            </w:r>
            <w:r>
              <w:rPr>
                <w:szCs w:val="21"/>
              </w:rPr>
              <w:t>-N</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widowControl/>
              <w:jc w:val="center"/>
              <w:textAlignment w:val="center"/>
              <w:rPr>
                <w:snapToGrid w:val="0"/>
                <w:color w:val="000000"/>
                <w:kern w:val="21"/>
                <w:szCs w:val="21"/>
              </w:rPr>
            </w:pPr>
            <w:r>
              <w:rPr>
                <w:rFonts w:hint="eastAsia"/>
                <w:kern w:val="0"/>
                <w:szCs w:val="21"/>
                <w:lang w:bidi="ar"/>
              </w:rPr>
              <w:t>0.418t/a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widowControl/>
              <w:jc w:val="center"/>
              <w:textAlignment w:val="center"/>
              <w:rPr>
                <w:snapToGrid w:val="0"/>
                <w:color w:val="000000"/>
                <w:kern w:val="21"/>
                <w:szCs w:val="21"/>
              </w:rPr>
            </w:pPr>
            <w:r>
              <w:rPr>
                <w:rFonts w:hint="eastAsia"/>
                <w:kern w:val="0"/>
                <w:szCs w:val="21"/>
                <w:lang w:bidi="ar"/>
              </w:rPr>
              <w:t>0.418t/a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spacing w:line="240" w:lineRule="atLeast"/>
              <w:jc w:val="center"/>
              <w:rPr>
                <w:rFonts w:hAnsi="宋体" w:cs="宋体"/>
                <w:snapToGrid w:val="0"/>
                <w:color w:val="000000"/>
                <w:kern w:val="21"/>
                <w:szCs w:val="21"/>
              </w:rPr>
            </w:pPr>
            <w:r>
              <w:rPr>
                <w:szCs w:val="21"/>
              </w:rPr>
              <w:t>阴离子表面活性剂</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spacing w:line="240" w:lineRule="atLeast"/>
              <w:jc w:val="center"/>
              <w:rPr>
                <w:snapToGrid w:val="0"/>
                <w:color w:val="000000"/>
                <w:kern w:val="21"/>
                <w:szCs w:val="21"/>
              </w:rPr>
            </w:pPr>
            <w:r>
              <w:rPr>
                <w:szCs w:val="21"/>
              </w:rPr>
              <w:t>0.028t/a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spacing w:line="240" w:lineRule="atLeast"/>
              <w:jc w:val="center"/>
              <w:rPr>
                <w:snapToGrid w:val="0"/>
                <w:color w:val="000000"/>
                <w:kern w:val="21"/>
                <w:szCs w:val="21"/>
              </w:rPr>
            </w:pPr>
            <w:r>
              <w:rPr>
                <w:szCs w:val="21"/>
              </w:rPr>
              <w:t>0.028t/a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spacing w:line="240" w:lineRule="atLeast"/>
              <w:jc w:val="center"/>
              <w:rPr>
                <w:rFonts w:hAnsi="宋体" w:cs="宋体"/>
                <w:snapToGrid w:val="0"/>
                <w:color w:val="000000"/>
                <w:kern w:val="21"/>
                <w:szCs w:val="21"/>
              </w:rPr>
            </w:pPr>
            <w:r>
              <w:rPr>
                <w:szCs w:val="21"/>
              </w:rPr>
              <w:t>粪大肠菌群数</w:t>
            </w:r>
            <w:r>
              <w:rPr>
                <w:rFonts w:hint="eastAsia"/>
                <w:szCs w:val="21"/>
              </w:rPr>
              <w:t>MPN/L</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adjustRightInd w:val="0"/>
              <w:snapToGrid w:val="0"/>
              <w:jc w:val="center"/>
              <w:rPr>
                <w:snapToGrid w:val="0"/>
                <w:color w:val="000000"/>
                <w:kern w:val="21"/>
                <w:szCs w:val="21"/>
              </w:rPr>
            </w:pPr>
            <w:r>
              <w:rPr>
                <w:rFonts w:hint="eastAsia"/>
                <w:bCs/>
                <w:szCs w:val="21"/>
              </w:rPr>
              <w:t>6.4</w:t>
            </w:r>
            <w:r>
              <w:rPr>
                <w:bCs/>
                <w:szCs w:val="21"/>
              </w:rPr>
              <w:t>×1</w:t>
            </w:r>
            <w:r>
              <w:rPr>
                <w:rFonts w:hint="eastAsia"/>
                <w:bCs/>
                <w:szCs w:val="21"/>
              </w:rPr>
              <w:t>0</w:t>
            </w:r>
            <w:r>
              <w:rPr>
                <w:rFonts w:hint="eastAsia"/>
                <w:bCs/>
                <w:szCs w:val="21"/>
                <w:vertAlign w:val="superscript"/>
              </w:rPr>
              <w:t>5</w:t>
            </w:r>
            <w:r>
              <w:rPr>
                <w:rFonts w:hint="eastAsia"/>
                <w:bCs/>
                <w:szCs w:val="21"/>
              </w:rPr>
              <w:t>mg/L</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adjustRightInd w:val="0"/>
              <w:snapToGrid w:val="0"/>
              <w:jc w:val="center"/>
              <w:rPr>
                <w:snapToGrid w:val="0"/>
                <w:color w:val="000000"/>
                <w:kern w:val="21"/>
                <w:szCs w:val="21"/>
              </w:rPr>
            </w:pPr>
            <w:r>
              <w:rPr>
                <w:rFonts w:hint="eastAsia"/>
                <w:bCs/>
                <w:szCs w:val="21"/>
              </w:rPr>
              <w:t>6.4</w:t>
            </w:r>
            <w:r>
              <w:rPr>
                <w:bCs/>
                <w:szCs w:val="21"/>
              </w:rPr>
              <w:t>×1</w:t>
            </w:r>
            <w:r>
              <w:rPr>
                <w:rFonts w:hint="eastAsia"/>
                <w:bCs/>
                <w:szCs w:val="21"/>
              </w:rPr>
              <w:t>0</w:t>
            </w:r>
            <w:r>
              <w:rPr>
                <w:rFonts w:hint="eastAsia"/>
                <w:bCs/>
                <w:szCs w:val="21"/>
                <w:vertAlign w:val="superscript"/>
              </w:rPr>
              <w:t>5</w:t>
            </w:r>
            <w:r>
              <w:rPr>
                <w:rFonts w:hint="eastAsia"/>
                <w:bCs/>
                <w:szCs w:val="21"/>
              </w:rPr>
              <w:t>mg/L</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固体废物</w:t>
            </w:r>
          </w:p>
        </w:tc>
        <w:tc>
          <w:tcPr>
            <w:tcW w:w="1417"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pStyle w:val="24"/>
              <w:spacing w:beforeLines="0" w:afterLines="0" w:line="240" w:lineRule="auto"/>
              <w:rPr>
                <w:rFonts w:ascii="Times New Roman"/>
                <w:snapToGrid w:val="0"/>
                <w:color w:val="000000"/>
                <w:kern w:val="21"/>
                <w:szCs w:val="21"/>
              </w:rPr>
            </w:pP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pStyle w:val="24"/>
              <w:spacing w:beforeLines="0" w:afterLines="0" w:line="240" w:lineRule="auto"/>
              <w:rPr>
                <w:rFonts w:hAnsi="宋体" w:cs="宋体"/>
                <w:snapToGrid w:val="0"/>
                <w:color w:val="000000"/>
                <w:kern w:val="21"/>
                <w:szCs w:val="21"/>
              </w:rPr>
            </w:pP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危险废物</w:t>
            </w:r>
          </w:p>
        </w:tc>
        <w:tc>
          <w:tcPr>
            <w:tcW w:w="1417"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医疗废物</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pStyle w:val="24"/>
              <w:spacing w:beforeLines="0" w:afterLines="0" w:line="240" w:lineRule="auto"/>
              <w:rPr>
                <w:rFonts w:hAnsi="宋体" w:cs="宋体"/>
                <w:snapToGrid w:val="0"/>
                <w:color w:val="000000"/>
                <w:kern w:val="21"/>
                <w:szCs w:val="21"/>
              </w:rPr>
            </w:pPr>
            <w:r>
              <w:rPr>
                <w:rFonts w:ascii="Times New Roman"/>
                <w:snapToGrid w:val="0"/>
                <w:color w:val="000000"/>
                <w:kern w:val="21"/>
                <w:szCs w:val="21"/>
              </w:rPr>
              <w:t>8.43t/a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pStyle w:val="24"/>
              <w:spacing w:beforeLines="0" w:afterLines="0" w:line="240" w:lineRule="auto"/>
              <w:rPr>
                <w:rFonts w:hAnsi="宋体" w:cs="宋体"/>
                <w:snapToGrid w:val="0"/>
                <w:color w:val="000000"/>
                <w:kern w:val="21"/>
                <w:szCs w:val="21"/>
              </w:rPr>
            </w:pPr>
            <w:r>
              <w:rPr>
                <w:rFonts w:ascii="Times New Roman"/>
                <w:snapToGrid w:val="0"/>
                <w:color w:val="000000"/>
                <w:kern w:val="21"/>
                <w:szCs w:val="21"/>
              </w:rPr>
              <w:t>8.43t/a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感染类生活垃圾</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pStyle w:val="24"/>
              <w:spacing w:beforeLines="0" w:afterLines="0" w:line="240" w:lineRule="auto"/>
              <w:rPr>
                <w:rFonts w:hAnsi="宋体" w:cs="宋体"/>
                <w:snapToGrid w:val="0"/>
                <w:color w:val="000000"/>
                <w:kern w:val="21"/>
                <w:szCs w:val="21"/>
              </w:rPr>
            </w:pPr>
            <w:r>
              <w:rPr>
                <w:rFonts w:ascii="Times New Roman"/>
                <w:snapToGrid w:val="0"/>
                <w:color w:val="000000"/>
                <w:kern w:val="21"/>
                <w:szCs w:val="21"/>
              </w:rPr>
              <w:t>21.35t/a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pStyle w:val="24"/>
              <w:spacing w:beforeLines="0" w:afterLines="0" w:line="240" w:lineRule="auto"/>
              <w:rPr>
                <w:rFonts w:hAnsi="宋体" w:cs="宋体"/>
                <w:snapToGrid w:val="0"/>
                <w:color w:val="000000"/>
                <w:kern w:val="21"/>
                <w:szCs w:val="21"/>
              </w:rPr>
            </w:pPr>
            <w:r>
              <w:rPr>
                <w:rFonts w:ascii="Times New Roman"/>
                <w:snapToGrid w:val="0"/>
                <w:color w:val="000000"/>
                <w:kern w:val="21"/>
                <w:szCs w:val="21"/>
              </w:rPr>
              <w:t>21.35t/a</w:t>
            </w:r>
          </w:p>
        </w:tc>
        <w:tc>
          <w:tcPr>
            <w:tcW w:w="826" w:type="dxa"/>
            <w:vAlign w:val="center"/>
          </w:tcPr>
          <w:p>
            <w:pPr>
              <w:pStyle w:val="24"/>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spacing w:beforeLines="0" w:afterLines="0" w:line="240" w:lineRule="auto"/>
              <w:rPr>
                <w:rFonts w:hAnsi="宋体" w:cs="宋体"/>
                <w:snapToGrid w:val="0"/>
                <w:color w:val="000000"/>
                <w:kern w:val="21"/>
                <w:szCs w:val="21"/>
              </w:rPr>
            </w:pPr>
          </w:p>
        </w:tc>
        <w:tc>
          <w:tcPr>
            <w:tcW w:w="1417" w:type="dxa"/>
            <w:vAlign w:val="center"/>
          </w:tcPr>
          <w:p>
            <w:pPr>
              <w:pStyle w:val="24"/>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通风系统滤材</w:t>
            </w: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276" w:type="dxa"/>
            <w:vAlign w:val="center"/>
          </w:tcPr>
          <w:p>
            <w:pPr>
              <w:pStyle w:val="24"/>
              <w:spacing w:beforeLines="0" w:afterLines="0" w:line="240" w:lineRule="auto"/>
              <w:rPr>
                <w:rFonts w:hAnsi="宋体" w:cs="宋体"/>
                <w:snapToGrid w:val="0"/>
                <w:color w:val="000000"/>
                <w:kern w:val="21"/>
                <w:szCs w:val="21"/>
              </w:rPr>
            </w:pPr>
          </w:p>
        </w:tc>
        <w:tc>
          <w:tcPr>
            <w:tcW w:w="1701" w:type="dxa"/>
            <w:vAlign w:val="center"/>
          </w:tcPr>
          <w:p>
            <w:pPr>
              <w:pStyle w:val="24"/>
              <w:spacing w:beforeLines="0" w:afterLines="0" w:line="240" w:lineRule="auto"/>
              <w:rPr>
                <w:rFonts w:hAnsi="宋体" w:cs="宋体"/>
                <w:snapToGrid w:val="0"/>
                <w:color w:val="000000"/>
                <w:kern w:val="21"/>
                <w:szCs w:val="21"/>
              </w:rPr>
            </w:pPr>
          </w:p>
        </w:tc>
        <w:tc>
          <w:tcPr>
            <w:tcW w:w="1559" w:type="dxa"/>
            <w:vAlign w:val="center"/>
          </w:tcPr>
          <w:p>
            <w:pPr>
              <w:pStyle w:val="24"/>
              <w:spacing w:beforeLines="0" w:afterLines="0" w:line="240" w:lineRule="auto"/>
              <w:rPr>
                <w:rFonts w:hAnsi="宋体" w:cs="宋体"/>
                <w:snapToGrid w:val="0"/>
                <w:color w:val="000000"/>
                <w:kern w:val="21"/>
                <w:szCs w:val="21"/>
              </w:rPr>
            </w:pPr>
            <w:r>
              <w:rPr>
                <w:rFonts w:ascii="Times New Roman"/>
                <w:snapToGrid w:val="0"/>
                <w:color w:val="000000"/>
                <w:kern w:val="21"/>
                <w:szCs w:val="21"/>
              </w:rPr>
              <w:t>0.15t/a</w:t>
            </w:r>
          </w:p>
        </w:tc>
        <w:tc>
          <w:tcPr>
            <w:tcW w:w="1761" w:type="dxa"/>
            <w:vAlign w:val="center"/>
          </w:tcPr>
          <w:p>
            <w:pPr>
              <w:pStyle w:val="24"/>
              <w:spacing w:beforeLines="0" w:afterLines="0" w:line="240" w:lineRule="auto"/>
              <w:rPr>
                <w:rFonts w:hAnsi="宋体" w:cs="宋体"/>
                <w:snapToGrid w:val="0"/>
                <w:color w:val="000000"/>
                <w:kern w:val="21"/>
                <w:szCs w:val="21"/>
              </w:rPr>
            </w:pPr>
          </w:p>
        </w:tc>
        <w:tc>
          <w:tcPr>
            <w:tcW w:w="1959" w:type="dxa"/>
            <w:vAlign w:val="center"/>
          </w:tcPr>
          <w:p>
            <w:pPr>
              <w:pStyle w:val="24"/>
              <w:spacing w:beforeLines="0" w:afterLines="0" w:line="240" w:lineRule="auto"/>
              <w:rPr>
                <w:rFonts w:hAnsi="宋体" w:cs="宋体"/>
                <w:snapToGrid w:val="0"/>
                <w:color w:val="000000"/>
                <w:kern w:val="21"/>
                <w:szCs w:val="21"/>
              </w:rPr>
            </w:pPr>
            <w:r>
              <w:rPr>
                <w:rFonts w:ascii="Times New Roman"/>
                <w:snapToGrid w:val="0"/>
                <w:color w:val="000000"/>
                <w:kern w:val="21"/>
                <w:szCs w:val="21"/>
              </w:rPr>
              <w:t>0.15t/a</w:t>
            </w:r>
          </w:p>
        </w:tc>
        <w:tc>
          <w:tcPr>
            <w:tcW w:w="826" w:type="dxa"/>
            <w:vAlign w:val="center"/>
          </w:tcPr>
          <w:p>
            <w:pPr>
              <w:pStyle w:val="24"/>
              <w:spacing w:beforeLines="0" w:afterLines="0" w:line="240" w:lineRule="auto"/>
              <w:rPr>
                <w:rFonts w:hAnsi="宋体" w:cs="宋体"/>
                <w:snapToGrid w:val="0"/>
                <w:color w:val="000000"/>
                <w:kern w:val="21"/>
                <w:szCs w:val="21"/>
              </w:rPr>
            </w:pPr>
          </w:p>
        </w:tc>
      </w:tr>
    </w:tbl>
    <w:p>
      <w:pPr>
        <w:pStyle w:val="24"/>
        <w:spacing w:before="192" w:beforeLines="80" w:after="24"/>
        <w:jc w:val="left"/>
        <w:rPr>
          <w:rFonts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sectPr>
          <w:footerReference r:id="rId8" w:type="default"/>
          <w:pgSz w:w="16838" w:h="11906" w:orient="landscape"/>
          <w:pgMar w:top="1701" w:right="1531" w:bottom="1701" w:left="1531" w:header="851" w:footer="851" w:gutter="0"/>
          <w:cols w:space="720" w:num="1"/>
          <w:docGrid w:linePitch="312" w:charSpace="0"/>
        </w:sectPr>
      </w:pPr>
    </w:p>
    <w:p>
      <w:pPr>
        <w:jc w:val="center"/>
        <w:rPr>
          <w:rFonts w:ascii="宋体" w:hAnsi="宋体" w:eastAsia="黑体"/>
        </w:rPr>
      </w:pPr>
      <w:r>
        <mc:AlternateContent>
          <mc:Choice Requires="wps">
            <w:drawing>
              <wp:anchor distT="0" distB="0" distL="114300" distR="114300" simplePos="0" relativeHeight="251667456" behindDoc="0" locked="0" layoutInCell="1" allowOverlap="1">
                <wp:simplePos x="0" y="0"/>
                <wp:positionH relativeFrom="column">
                  <wp:posOffset>3070225</wp:posOffset>
                </wp:positionH>
                <wp:positionV relativeFrom="paragraph">
                  <wp:posOffset>1426210</wp:posOffset>
                </wp:positionV>
                <wp:extent cx="181610" cy="142875"/>
                <wp:effectExtent l="12700" t="12700" r="15240" b="15875"/>
                <wp:wrapNone/>
                <wp:docPr id="24" name="五角星 24"/>
                <wp:cNvGraphicFramePr/>
                <a:graphic xmlns:a="http://schemas.openxmlformats.org/drawingml/2006/main">
                  <a:graphicData uri="http://schemas.microsoft.com/office/word/2010/wordprocessingShape">
                    <wps:wsp>
                      <wps:cNvSpPr/>
                      <wps:spPr>
                        <a:xfrm>
                          <a:off x="4236085" y="2493645"/>
                          <a:ext cx="181610" cy="142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1.75pt;margin-top:112.3pt;height:11.25pt;width:14.3pt;z-index:251667456;v-text-anchor:middle;mso-width-relative:page;mso-height-relative:page;" fillcolor="#4F81BD [3204]" filled="t" stroked="t" coordsize="181610,142875" o:gfxdata="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1hZxI2QAAAAsB&#10;AAAPAAAAAAAAAAEAIAAAACIAAABkcnMvZG93bnJldi54bWxQSwECFAAUAAAACACHTuJAd+jKSYwC&#10;AAAPBQAADgAAAAAAAAABACAAAAAoAQAAZHJzL2Uyb0RvYy54bWxQSwUGAAAAAAYABgBZAQAAJgYA&#10;AAAA&#10;" path="m0,54573l69369,54573,90805,0,112240,54573,181609,54573,125488,88301,146925,142874,90805,109146,34684,142874,56121,88301xe">
                <v:path o:connectlocs="90805,0;0,54573;34684,142874;146925,142874;181609,54573" o:connectangles="247,164,82,82,0"/>
                <v:fill on="t" focussize="0,0"/>
                <v:stroke weight="2pt" color="#385D8A [3204]" joinstyle="round"/>
                <v:imagedata o:title=""/>
                <o:lock v:ext="edit" aspectratio="f"/>
              </v:shape>
            </w:pict>
          </mc:Fallback>
        </mc:AlternateContent>
      </w:r>
      <w:r>
        <w:rPr>
          <w:rFonts w:hint="eastAsia" w:ascii="宋体" w:hAnsi="宋体" w:eastAsia="黑体"/>
        </w:rPr>
        <w:drawing>
          <wp:inline distT="0" distB="0" distL="114300" distR="114300">
            <wp:extent cx="7392035" cy="5291455"/>
            <wp:effectExtent l="0" t="0" r="18415" b="4445"/>
            <wp:docPr id="9" name="图片 9"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宽城满族自治县"/>
                    <pic:cNvPicPr>
                      <a:picLocks noChangeAspect="1"/>
                    </pic:cNvPicPr>
                  </pic:nvPicPr>
                  <pic:blipFill>
                    <a:blip r:embed="rId16"/>
                    <a:stretch>
                      <a:fillRect/>
                    </a:stretch>
                  </pic:blipFill>
                  <pic:spPr>
                    <a:xfrm>
                      <a:off x="0" y="0"/>
                      <a:ext cx="7392035" cy="529145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1774825</wp:posOffset>
                </wp:positionH>
                <wp:positionV relativeFrom="paragraph">
                  <wp:posOffset>1084580</wp:posOffset>
                </wp:positionV>
                <wp:extent cx="914400" cy="354965"/>
                <wp:effectExtent l="12700" t="12700" r="482600" b="108585"/>
                <wp:wrapNone/>
                <wp:docPr id="18" name="矩形标注 18"/>
                <wp:cNvGraphicFramePr/>
                <a:graphic xmlns:a="http://schemas.openxmlformats.org/drawingml/2006/main">
                  <a:graphicData uri="http://schemas.microsoft.com/office/word/2010/wordprocessingShape">
                    <wps:wsp>
                      <wps:cNvSpPr/>
                      <wps:spPr>
                        <a:xfrm>
                          <a:off x="4159885" y="2543175"/>
                          <a:ext cx="914400" cy="354965"/>
                        </a:xfrm>
                        <a:prstGeom prst="wedgeRectCallout">
                          <a:avLst>
                            <a:gd name="adj1" fmla="val 100000"/>
                            <a:gd name="adj2" fmla="val 7180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9.75pt;margin-top:85.4pt;height:27.95pt;width:72pt;z-index:251666432;v-text-anchor:middle;mso-width-relative:page;mso-height-relative:page;" fillcolor="#4F81BD [3204]" filled="t" stroked="t" coordsize="21600,21600" o:gfxdata="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D7Yk82gAAAAsBAAAPAAAA&#10;AAAAAAEAIAAAACIAAABkcnMvZG93bnJldi54bWxQSwECFAAUAAAACACHTuJAy4CSIL4CAAB6BQAA&#10;DgAAAAAAAAABACAAAAApAQAAZHJzL2Uyb0RvYy54bWxQSwUGAAAAAAYABgBZAQAAWQYAAAAA&#10;" adj="32400,26310">
                <v:fill on="t" focussize="0,0"/>
                <v:stroke weight="2pt" color="#385D8A [3204]" joinstyle="round"/>
                <v:imagedata o:title=""/>
                <o:lock v:ext="edit" aspectratio="f"/>
                <v:textbox>
                  <w:txbxContent>
                    <w:p>
                      <w:pPr>
                        <w:jc w:val="center"/>
                      </w:pPr>
                      <w:r>
                        <w:rPr>
                          <w:rFonts w:hint="eastAsia"/>
                        </w:rPr>
                        <w:t>项目位置</w:t>
                      </w:r>
                    </w:p>
                  </w:txbxContent>
                </v:textbox>
              </v:shape>
            </w:pict>
          </mc:Fallback>
        </mc:AlternateContent>
      </w:r>
    </w:p>
    <w:p>
      <w:pPr>
        <w:jc w:val="center"/>
        <w:rPr>
          <w:rFonts w:ascii="宋体" w:hAnsi="宋体" w:cs="宋体"/>
          <w:b/>
          <w:bCs/>
          <w:sz w:val="28"/>
          <w:szCs w:val="28"/>
        </w:rPr>
        <w:sectPr>
          <w:footerReference r:id="rId9" w:type="default"/>
          <w:pgSz w:w="16838" w:h="11906" w:orient="landscape"/>
          <w:pgMar w:top="1531" w:right="1701" w:bottom="1531" w:left="1701" w:header="851" w:footer="851" w:gutter="0"/>
          <w:cols w:space="720" w:num="1"/>
          <w:docGrid w:linePitch="312" w:charSpace="0"/>
        </w:sectPr>
      </w:pPr>
      <w:r>
        <w:rPr>
          <w:rFonts w:hint="eastAsia" w:ascii="宋体" w:hAnsi="宋体" w:cs="宋体"/>
          <w:b/>
          <w:bCs/>
          <w:sz w:val="28"/>
          <w:szCs w:val="28"/>
        </w:rPr>
        <w:t>附图</w:t>
      </w:r>
      <w:r>
        <w:rPr>
          <w:rFonts w:hint="eastAsia" w:cs="宋体"/>
          <w:b/>
          <w:bCs/>
          <w:sz w:val="28"/>
          <w:szCs w:val="28"/>
        </w:rPr>
        <w:t>1</w:t>
      </w:r>
      <w:r>
        <w:rPr>
          <w:rFonts w:hint="eastAsia" w:ascii="宋体" w:hAnsi="宋体" w:cs="宋体"/>
          <w:b/>
          <w:bCs/>
          <w:sz w:val="28"/>
          <w:szCs w:val="28"/>
        </w:rPr>
        <w:t>项目地理位置图</w:t>
      </w:r>
    </w:p>
    <w:p>
      <w:pPr>
        <w:jc w:val="center"/>
        <w:sectPr>
          <w:type w:val="continuous"/>
          <w:pgSz w:w="11906" w:h="16838"/>
          <w:pgMar w:top="1701" w:right="1531" w:bottom="1701" w:left="1531" w:header="851" w:footer="851" w:gutter="0"/>
          <w:cols w:space="720" w:num="1"/>
          <w:docGrid w:linePitch="312" w:charSpace="0"/>
        </w:sectPr>
      </w:pPr>
      <w:r>
        <w:rPr>
          <w:rFonts w:hint="eastAsia"/>
        </w:rPr>
        <w:drawing>
          <wp:inline distT="0" distB="0" distL="114300" distR="114300">
            <wp:extent cx="5721350" cy="8091805"/>
            <wp:effectExtent l="0" t="0" r="12700" b="4445"/>
            <wp:docPr id="5" name="图片 5" descr="亚定点医院6.11-建筑_t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亚定点医院6.11-建筑_t3_00"/>
                    <pic:cNvPicPr>
                      <a:picLocks noChangeAspect="1"/>
                    </pic:cNvPicPr>
                  </pic:nvPicPr>
                  <pic:blipFill>
                    <a:blip r:embed="rId17"/>
                    <a:stretch>
                      <a:fillRect/>
                    </a:stretch>
                  </pic:blipFill>
                  <pic:spPr>
                    <a:xfrm>
                      <a:off x="0" y="0"/>
                      <a:ext cx="5721350" cy="8091805"/>
                    </a:xfrm>
                    <a:prstGeom prst="rect">
                      <a:avLst/>
                    </a:prstGeom>
                  </pic:spPr>
                </pic:pic>
              </a:graphicData>
            </a:graphic>
          </wp:inline>
        </w:drawing>
      </w:r>
      <w:r>
        <w:rPr>
          <w:rFonts w:hint="eastAsia" w:ascii="宋体" w:hAnsi="宋体" w:cs="宋体"/>
          <w:b/>
          <w:bCs/>
          <w:sz w:val="28"/>
          <w:szCs w:val="28"/>
        </w:rPr>
        <w:t>附图</w:t>
      </w:r>
      <w:r>
        <w:rPr>
          <w:rFonts w:hint="eastAsia" w:cs="宋体"/>
          <w:b/>
          <w:bCs/>
          <w:sz w:val="28"/>
          <w:szCs w:val="28"/>
        </w:rPr>
        <w:t>2</w:t>
      </w:r>
      <w:r>
        <w:rPr>
          <w:rFonts w:hint="eastAsia" w:ascii="宋体" w:hAnsi="宋体" w:cs="宋体"/>
          <w:b/>
          <w:bCs/>
          <w:sz w:val="28"/>
          <w:szCs w:val="28"/>
        </w:rPr>
        <w:t>项目平面布置示意图</w:t>
      </w:r>
    </w:p>
    <w:p>
      <w:pPr>
        <w:jc w:val="center"/>
      </w:pPr>
      <w:r>
        <w:rPr>
          <w:rFonts w:hint="eastAsia"/>
        </w:rPr>
        <w:drawing>
          <wp:inline distT="0" distB="0" distL="114300" distR="114300">
            <wp:extent cx="8007985" cy="4944745"/>
            <wp:effectExtent l="0" t="0" r="12065" b="8255"/>
            <wp:docPr id="6" name="图片 6" descr="4AA67731-6F01-4e73-B6BF-F58436C4E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AA67731-6F01-4e73-B6BF-F58436C4ECF8"/>
                    <pic:cNvPicPr>
                      <a:picLocks noChangeAspect="1"/>
                    </pic:cNvPicPr>
                  </pic:nvPicPr>
                  <pic:blipFill>
                    <a:blip r:embed="rId18"/>
                    <a:stretch>
                      <a:fillRect/>
                    </a:stretch>
                  </pic:blipFill>
                  <pic:spPr>
                    <a:xfrm>
                      <a:off x="0" y="0"/>
                      <a:ext cx="8007985" cy="4944745"/>
                    </a:xfrm>
                    <a:prstGeom prst="rect">
                      <a:avLst/>
                    </a:prstGeom>
                  </pic:spPr>
                </pic:pic>
              </a:graphicData>
            </a:graphic>
          </wp:inline>
        </w:drawing>
      </w:r>
    </w:p>
    <w:p>
      <w:pPr>
        <w:jc w:val="center"/>
        <w:rPr>
          <w:rFonts w:ascii="宋体" w:hAnsi="宋体" w:cs="宋体"/>
          <w:b/>
          <w:bCs/>
          <w:sz w:val="28"/>
          <w:szCs w:val="28"/>
        </w:rPr>
        <w:sectPr>
          <w:type w:val="continuous"/>
          <w:pgSz w:w="16838" w:h="11906" w:orient="landscape"/>
          <w:pgMar w:top="1531" w:right="1701" w:bottom="1531" w:left="1701" w:header="851" w:footer="851" w:gutter="0"/>
          <w:cols w:space="720" w:num="1"/>
          <w:docGrid w:linePitch="312" w:charSpace="0"/>
        </w:sectPr>
      </w:pPr>
      <w:r>
        <w:rPr>
          <w:rFonts w:hint="eastAsia" w:ascii="宋体" w:hAnsi="宋体" w:cs="宋体"/>
          <w:b/>
          <w:bCs/>
          <w:sz w:val="28"/>
          <w:szCs w:val="28"/>
        </w:rPr>
        <w:t>附图</w:t>
      </w:r>
      <w:r>
        <w:rPr>
          <w:rFonts w:hint="eastAsia" w:cs="宋体"/>
          <w:b/>
          <w:bCs/>
          <w:sz w:val="28"/>
          <w:szCs w:val="28"/>
        </w:rPr>
        <w:t>3</w:t>
      </w:r>
      <w:r>
        <w:rPr>
          <w:rFonts w:hint="eastAsia" w:ascii="宋体" w:hAnsi="宋体" w:cs="宋体"/>
          <w:b/>
          <w:bCs/>
          <w:sz w:val="28"/>
          <w:szCs w:val="28"/>
        </w:rPr>
        <w:t>项目选址与生态保护红线位置关系图</w:t>
      </w:r>
    </w:p>
    <w:p/>
    <w:p>
      <w:pPr>
        <w:jc w:val="center"/>
      </w:pPr>
      <w:r>
        <mc:AlternateContent>
          <mc:Choice Requires="wps">
            <w:drawing>
              <wp:anchor distT="0" distB="0" distL="114300" distR="114300" simplePos="0" relativeHeight="251665408" behindDoc="0" locked="0" layoutInCell="1" allowOverlap="1">
                <wp:simplePos x="0" y="0"/>
                <wp:positionH relativeFrom="column">
                  <wp:posOffset>2230755</wp:posOffset>
                </wp:positionH>
                <wp:positionV relativeFrom="paragraph">
                  <wp:posOffset>2040890</wp:posOffset>
                </wp:positionV>
                <wp:extent cx="2089150" cy="232410"/>
                <wp:effectExtent l="4445" t="5080" r="20955" b="257810"/>
                <wp:wrapNone/>
                <wp:docPr id="8" name="圆角矩形标注 120"/>
                <wp:cNvGraphicFramePr/>
                <a:graphic xmlns:a="http://schemas.openxmlformats.org/drawingml/2006/main">
                  <a:graphicData uri="http://schemas.microsoft.com/office/word/2010/wordprocessingShape">
                    <wps:wsp>
                      <wps:cNvSpPr/>
                      <wps:spPr>
                        <a:xfrm>
                          <a:off x="0" y="0"/>
                          <a:ext cx="2089150" cy="232410"/>
                        </a:xfrm>
                        <a:prstGeom prst="wedgeRoundRectCallout">
                          <a:avLst>
                            <a:gd name="adj1" fmla="val 37264"/>
                            <a:gd name="adj2" fmla="val 153278"/>
                            <a:gd name="adj3" fmla="val 16667"/>
                          </a:avLst>
                        </a:prstGeom>
                        <a:noFill/>
                        <a:ln w="9525" cap="flat" cmpd="sng">
                          <a:solidFill>
                            <a:srgbClr val="FFFF00"/>
                          </a:solidFill>
                          <a:prstDash val="solid"/>
                          <a:miter/>
                          <a:headEnd type="none" w="med" len="med"/>
                          <a:tailEnd type="none" w="med" len="med"/>
                        </a:ln>
                      </wps:spPr>
                      <wps:txbx>
                        <w:txbxContent>
                          <w:p>
                            <w:pPr>
                              <w:spacing w:line="0" w:lineRule="atLeast"/>
                              <w:jc w:val="center"/>
                              <w:rPr>
                                <w:b/>
                                <w:color w:val="FFFF00"/>
                                <w:sz w:val="24"/>
                              </w:rPr>
                            </w:pPr>
                            <w:r>
                              <w:rPr>
                                <w:rFonts w:hint="eastAsia"/>
                                <w:b/>
                                <w:color w:val="FFFF00"/>
                                <w:sz w:val="24"/>
                              </w:rPr>
                              <w:t>声评价</w:t>
                            </w:r>
                            <w:r>
                              <w:rPr>
                                <w:b/>
                                <w:color w:val="FFFF00"/>
                                <w:sz w:val="24"/>
                              </w:rPr>
                              <w:t>范围50m</w:t>
                            </w:r>
                          </w:p>
                        </w:txbxContent>
                      </wps:txbx>
                      <wps:bodyPr lIns="18000" tIns="10800" rIns="18000" bIns="10800" upright="1"/>
                    </wps:wsp>
                  </a:graphicData>
                </a:graphic>
              </wp:anchor>
            </w:drawing>
          </mc:Choice>
          <mc:Fallback>
            <w:pict>
              <v:shape id="圆角矩形标注 120" o:spid="_x0000_s1026" o:spt="62" type="#_x0000_t62" style="position:absolute;left:0pt;margin-left:175.65pt;margin-top:160.7pt;height:18.3pt;width:164.5pt;z-index:251665408;mso-width-relative:page;mso-height-relative:page;" filled="f" stroked="t" coordsize="21600,21600" o:gfxdata="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X6Li2AAAAAsBAAAPAAAAAAAAAAEAIAAAACIAAABkcnMvZG93bnJldi54bWxQSwECFAAU&#10;AAAACACHTuJAiZX9mmMCAADJBAAADgAAAAAAAAABACAAAAAnAQAAZHJzL2Uyb0RvYy54bWxQSwUG&#10;AAAAAAYABgBZAQAA/AUAAAAA&#10;" adj="18849,43908,14400">
                <v:fill on="f" focussize="0,0"/>
                <v:stroke color="#FFFF00" joinstyle="miter"/>
                <v:imagedata o:title=""/>
                <o:lock v:ext="edit" aspectratio="f"/>
                <v:textbox inset="0.5mm,0.3mm,0.5mm,0.3mm">
                  <w:txbxContent>
                    <w:p>
                      <w:pPr>
                        <w:spacing w:line="0" w:lineRule="atLeast"/>
                        <w:jc w:val="center"/>
                        <w:rPr>
                          <w:b/>
                          <w:color w:val="FFFF00"/>
                          <w:sz w:val="24"/>
                        </w:rPr>
                      </w:pPr>
                      <w:r>
                        <w:rPr>
                          <w:rFonts w:hint="eastAsia"/>
                          <w:b/>
                          <w:color w:val="FFFF00"/>
                          <w:sz w:val="24"/>
                        </w:rPr>
                        <w:t>声评价</w:t>
                      </w:r>
                      <w:r>
                        <w:rPr>
                          <w:b/>
                          <w:color w:val="FFFF00"/>
                          <w:sz w:val="24"/>
                        </w:rPr>
                        <w:t>范围50m</w:t>
                      </w: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1040130</wp:posOffset>
                </wp:positionH>
                <wp:positionV relativeFrom="paragraph">
                  <wp:posOffset>678815</wp:posOffset>
                </wp:positionV>
                <wp:extent cx="2089150" cy="232410"/>
                <wp:effectExtent l="4445" t="5080" r="20955" b="257810"/>
                <wp:wrapNone/>
                <wp:docPr id="108" name="圆角矩形标注 120"/>
                <wp:cNvGraphicFramePr/>
                <a:graphic xmlns:a="http://schemas.openxmlformats.org/drawingml/2006/main">
                  <a:graphicData uri="http://schemas.microsoft.com/office/word/2010/wordprocessingShape">
                    <wps:wsp>
                      <wps:cNvSpPr/>
                      <wps:spPr>
                        <a:xfrm>
                          <a:off x="0" y="0"/>
                          <a:ext cx="2089150" cy="232410"/>
                        </a:xfrm>
                        <a:prstGeom prst="wedgeRoundRectCallout">
                          <a:avLst>
                            <a:gd name="adj1" fmla="val 37264"/>
                            <a:gd name="adj2" fmla="val 153278"/>
                            <a:gd name="adj3" fmla="val 16667"/>
                          </a:avLst>
                        </a:prstGeom>
                        <a:noFill/>
                        <a:ln w="9525" cap="flat" cmpd="sng">
                          <a:solidFill>
                            <a:srgbClr val="FFFF00"/>
                          </a:solidFill>
                          <a:prstDash val="solid"/>
                          <a:miter/>
                          <a:headEnd type="none" w="med" len="med"/>
                          <a:tailEnd type="none" w="med" len="med"/>
                        </a:ln>
                      </wps:spPr>
                      <wps:txbx>
                        <w:txbxContent>
                          <w:p>
                            <w:pPr>
                              <w:spacing w:line="0" w:lineRule="atLeast"/>
                              <w:jc w:val="center"/>
                              <w:rPr>
                                <w:b/>
                                <w:color w:val="FFFF00"/>
                                <w:sz w:val="24"/>
                              </w:rPr>
                            </w:pPr>
                            <w:r>
                              <w:rPr>
                                <w:b/>
                                <w:color w:val="FFFF00"/>
                                <w:sz w:val="24"/>
                              </w:rPr>
                              <w:t>大气、地下水评价范围500m</w:t>
                            </w:r>
                          </w:p>
                        </w:txbxContent>
                      </wps:txbx>
                      <wps:bodyPr lIns="18000" tIns="10800" rIns="18000" bIns="10800" upright="1"/>
                    </wps:wsp>
                  </a:graphicData>
                </a:graphic>
              </wp:anchor>
            </w:drawing>
          </mc:Choice>
          <mc:Fallback>
            <w:pict>
              <v:shape id="圆角矩形标注 120" o:spid="_x0000_s1026" o:spt="62" type="#_x0000_t62" style="position:absolute;left:0pt;margin-left:81.9pt;margin-top:53.45pt;height:18.3pt;width:164.5pt;z-index:251664384;mso-width-relative:page;mso-height-relative:page;" filled="f" stroked="t" coordsize="21600,21600" o:gfxdata="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T6MS1wAAAAsBAAAPAAAAAAAAAAEAIAAAACIAAABkcnMvZG93bnJldi54bWxQSwECFAAU&#10;AAAACACHTuJAxu8x92QCAADLBAAADgAAAAAAAAABACAAAAAmAQAAZHJzL2Uyb0RvYy54bWxQSwUG&#10;AAAAAAYABgBZAQAA/AUAAAAA&#10;" adj="18849,43908,14400">
                <v:fill on="f" focussize="0,0"/>
                <v:stroke color="#FFFF00" joinstyle="miter"/>
                <v:imagedata o:title=""/>
                <o:lock v:ext="edit" aspectratio="f"/>
                <v:textbox inset="0.5mm,0.3mm,0.5mm,0.3mm">
                  <w:txbxContent>
                    <w:p>
                      <w:pPr>
                        <w:spacing w:line="0" w:lineRule="atLeast"/>
                        <w:jc w:val="center"/>
                        <w:rPr>
                          <w:b/>
                          <w:color w:val="FFFF00"/>
                          <w:sz w:val="24"/>
                        </w:rPr>
                      </w:pPr>
                      <w:r>
                        <w:rPr>
                          <w:b/>
                          <w:color w:val="FFFF00"/>
                          <w:sz w:val="24"/>
                        </w:rPr>
                        <w:t>大气、地下水评价范围500m</w:t>
                      </w:r>
                    </w:p>
                  </w:txbxContent>
                </v:textbox>
              </v:shape>
            </w:pict>
          </mc:Fallback>
        </mc:AlternateContent>
      </w:r>
      <w:r>
        <w:rPr>
          <w:rFonts w:hint="eastAsia"/>
        </w:rPr>
        <w:drawing>
          <wp:inline distT="0" distB="0" distL="114300" distR="114300">
            <wp:extent cx="7381875" cy="5170805"/>
            <wp:effectExtent l="0" t="0" r="9525" b="10795"/>
            <wp:docPr id="7" name="图片 7" descr="71CDC686-1FF0-4e67-9373-433EDC037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CDC686-1FF0-4e67-9373-433EDC03747F"/>
                    <pic:cNvPicPr>
                      <a:picLocks noChangeAspect="1"/>
                    </pic:cNvPicPr>
                  </pic:nvPicPr>
                  <pic:blipFill>
                    <a:blip r:embed="rId19"/>
                    <a:stretch>
                      <a:fillRect/>
                    </a:stretch>
                  </pic:blipFill>
                  <pic:spPr>
                    <a:xfrm>
                      <a:off x="0" y="0"/>
                      <a:ext cx="7381875" cy="5170805"/>
                    </a:xfrm>
                    <a:prstGeom prst="rect">
                      <a:avLst/>
                    </a:prstGeom>
                  </pic:spPr>
                </pic:pic>
              </a:graphicData>
            </a:graphic>
          </wp:inline>
        </w:drawing>
      </w:r>
    </w:p>
    <w:p>
      <w:pPr>
        <w:jc w:val="center"/>
        <w:rPr>
          <w:rFonts w:ascii="宋体" w:hAnsi="宋体" w:cs="宋体"/>
          <w:b/>
          <w:bCs/>
          <w:sz w:val="28"/>
          <w:szCs w:val="28"/>
        </w:rPr>
      </w:pPr>
      <w:r>
        <w:rPr>
          <w:rFonts w:hint="eastAsia" w:ascii="宋体" w:hAnsi="宋体" w:cs="宋体"/>
          <w:b/>
          <w:bCs/>
          <w:sz w:val="28"/>
          <w:szCs w:val="28"/>
        </w:rPr>
        <w:t>附图</w:t>
      </w:r>
      <w:r>
        <w:rPr>
          <w:rFonts w:hint="eastAsia" w:cs="宋体"/>
          <w:b/>
          <w:bCs/>
          <w:sz w:val="28"/>
          <w:szCs w:val="28"/>
        </w:rPr>
        <w:t>4</w:t>
      </w:r>
      <w:r>
        <w:rPr>
          <w:rFonts w:hint="eastAsia" w:ascii="宋体" w:hAnsi="宋体" w:cs="宋体"/>
          <w:b/>
          <w:bCs/>
          <w:sz w:val="28"/>
          <w:szCs w:val="28"/>
        </w:rPr>
        <w:t>建设项目环境保护目标分布图</w:t>
      </w:r>
    </w:p>
    <w:sectPr>
      <w:type w:val="continuous"/>
      <w:pgSz w:w="16838" w:h="11906" w:orient="landscape"/>
      <w:pgMar w:top="1531" w:right="1701" w:bottom="1531" w:left="1701" w:header="851" w:footer="851"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黑白格" w:date="2022-08-05T18:21:25Z" w:initials="">
    <w:p w14:paraId="3CF04275">
      <w:pPr>
        <w:pStyle w:val="6"/>
        <w:rPr>
          <w:rFonts w:hint="default" w:eastAsia="宋体"/>
          <w:lang w:val="en-US" w:eastAsia="zh-CN"/>
        </w:rPr>
      </w:pPr>
      <w:r>
        <w:rPr>
          <w:rFonts w:hint="eastAsia"/>
          <w:lang w:val="en-US" w:eastAsia="zh-CN"/>
        </w:rPr>
        <w:t>对第一条建议的修改，编制指南上写到“存在“未批先建”违法行为的，填写已建设内容、处罚及执行情况。”</w:t>
      </w:r>
    </w:p>
  </w:comment>
  <w:comment w:id="1" w:author="黑白格" w:date="2022-08-08T11:32:15Z" w:initials="">
    <w:p w14:paraId="09F56169">
      <w:pPr>
        <w:pStyle w:val="6"/>
        <w:rPr>
          <w:rFonts w:hint="default" w:eastAsia="宋体"/>
          <w:lang w:val="en-US" w:eastAsia="zh-CN"/>
        </w:rPr>
      </w:pPr>
      <w:r>
        <w:rPr>
          <w:rFonts w:hint="eastAsia"/>
          <w:lang w:val="en-US" w:eastAsia="zh-CN"/>
        </w:rPr>
        <w:t>第二条建议，新的经济开发区规划无相关内容，且省市无相关的疾控部署、规划。故在第二章工程介绍部分做了项目合理性的补充。</w:t>
      </w:r>
    </w:p>
  </w:comment>
  <w:comment w:id="2" w:author="黑白格" w:date="2022-08-05T16:08:12Z" w:initials="">
    <w:p w14:paraId="2F26195F">
      <w:pPr>
        <w:pStyle w:val="6"/>
        <w:rPr>
          <w:rFonts w:hint="default" w:eastAsia="宋体"/>
          <w:lang w:val="en-US" w:eastAsia="zh-CN"/>
        </w:rPr>
      </w:pPr>
      <w:r>
        <w:rPr>
          <w:rFonts w:hint="eastAsia"/>
          <w:lang w:val="en-US" w:eastAsia="zh-CN"/>
        </w:rPr>
        <w:t>对建议第三条进行的修改</w:t>
      </w:r>
    </w:p>
  </w:comment>
  <w:comment w:id="3" w:author="黑白格" w:date="2022-08-05T16:21:23Z" w:initials="">
    <w:p w14:paraId="5AAA442F">
      <w:pPr>
        <w:pStyle w:val="6"/>
        <w:rPr>
          <w:rFonts w:hint="default" w:eastAsia="宋体"/>
          <w:lang w:val="en-US" w:eastAsia="zh-CN"/>
        </w:rPr>
      </w:pPr>
      <w:r>
        <w:rPr>
          <w:rFonts w:hint="eastAsia"/>
          <w:lang w:val="en-US" w:eastAsia="zh-CN"/>
        </w:rPr>
        <w:t>对建议第三条的修改</w:t>
      </w:r>
    </w:p>
  </w:comment>
  <w:comment w:id="4" w:author="黑白格" w:date="2022-08-05T15:38:10Z" w:initials="">
    <w:p w14:paraId="75C44C6A">
      <w:pPr>
        <w:pStyle w:val="6"/>
        <w:rPr>
          <w:rFonts w:hint="default" w:eastAsia="宋体"/>
          <w:lang w:val="en-US" w:eastAsia="zh-CN"/>
        </w:rPr>
      </w:pPr>
      <w:r>
        <w:rPr>
          <w:rFonts w:hint="eastAsia"/>
          <w:lang w:val="en-US" w:eastAsia="zh-CN"/>
        </w:rPr>
        <w:t>对建议第一条的修改</w:t>
      </w:r>
    </w:p>
  </w:comment>
  <w:comment w:id="5" w:author="黑白格" w:date="2022-08-09T11:16:37Z" w:initials="">
    <w:p w14:paraId="6D6D6357">
      <w:pPr>
        <w:pStyle w:val="6"/>
        <w:rPr>
          <w:rFonts w:hint="default" w:eastAsia="宋体"/>
          <w:lang w:val="en-US" w:eastAsia="zh-CN"/>
        </w:rPr>
      </w:pPr>
      <w:r>
        <w:rPr>
          <w:rFonts w:hint="eastAsia"/>
          <w:lang w:val="en-US" w:eastAsia="zh-CN"/>
        </w:rPr>
        <w:t>对第二条建议的修改，项目无疾控方面的相关部署和规划文件，补充政府对项目的批复，说明项目的合理性。相关批复会作为附件附上。</w:t>
      </w:r>
    </w:p>
  </w:comment>
  <w:comment w:id="6" w:author="黑白格" w:date="2022-08-05T18:18:02Z" w:initials="">
    <w:p w14:paraId="3C9B67AC">
      <w:pPr>
        <w:pStyle w:val="6"/>
        <w:rPr>
          <w:rFonts w:hint="default" w:eastAsia="宋体"/>
          <w:lang w:val="en-US" w:eastAsia="zh-CN"/>
        </w:rPr>
      </w:pPr>
      <w:r>
        <w:rPr>
          <w:rFonts w:hint="eastAsia"/>
          <w:lang w:val="en-US" w:eastAsia="zh-CN"/>
        </w:rPr>
        <w:t>对第四条建议的修改</w:t>
      </w:r>
    </w:p>
  </w:comment>
  <w:comment w:id="7" w:author="黑白格" w:date="2022-08-05T16:36:15Z" w:initials="">
    <w:p w14:paraId="2DBE0B3C">
      <w:pPr>
        <w:pStyle w:val="6"/>
        <w:rPr>
          <w:rFonts w:hint="default" w:eastAsia="宋体"/>
          <w:lang w:val="en-US" w:eastAsia="zh-CN"/>
        </w:rPr>
      </w:pPr>
      <w:r>
        <w:rPr>
          <w:rFonts w:hint="eastAsia"/>
          <w:lang w:val="en-US" w:eastAsia="zh-CN"/>
        </w:rPr>
        <w:t>对建议五的修改，无其他配套设施和建筑</w:t>
      </w:r>
    </w:p>
  </w:comment>
  <w:comment w:id="8" w:author="黑白格" w:date="2022-08-06T09:56:51Z" w:initials="">
    <w:p w14:paraId="354576F6">
      <w:pPr>
        <w:pStyle w:val="6"/>
        <w:rPr>
          <w:rFonts w:hint="default" w:eastAsia="宋体"/>
          <w:lang w:val="en-US" w:eastAsia="zh-CN"/>
        </w:rPr>
      </w:pPr>
      <w:r>
        <w:rPr>
          <w:rFonts w:hint="eastAsia"/>
          <w:lang w:val="en-US" w:eastAsia="zh-CN"/>
        </w:rPr>
        <w:t>对第六条建议的修改</w:t>
      </w:r>
    </w:p>
  </w:comment>
  <w:comment w:id="9" w:author="黑白格" w:date="2022-08-06T10:10:47Z" w:initials="">
    <w:p w14:paraId="152667E1">
      <w:pPr>
        <w:pStyle w:val="6"/>
        <w:rPr>
          <w:rFonts w:hint="default" w:eastAsia="宋体"/>
          <w:lang w:val="en-US" w:eastAsia="zh-CN"/>
        </w:rPr>
      </w:pPr>
      <w:r>
        <w:rPr>
          <w:rFonts w:hint="eastAsia"/>
          <w:lang w:val="en-US" w:eastAsia="zh-CN"/>
        </w:rPr>
        <w:t>对第八条建议的修改</w:t>
      </w:r>
    </w:p>
  </w:comment>
  <w:comment w:id="10" w:author="黑白格" w:date="2022-08-05T18:36:16Z" w:initials="">
    <w:p w14:paraId="39B854FD">
      <w:pPr>
        <w:pStyle w:val="6"/>
        <w:rPr>
          <w:rFonts w:hint="default" w:eastAsia="宋体"/>
          <w:lang w:val="en-US" w:eastAsia="zh-CN"/>
        </w:rPr>
      </w:pPr>
      <w:r>
        <w:rPr>
          <w:rFonts w:hint="eastAsia"/>
          <w:lang w:val="en-US" w:eastAsia="zh-CN"/>
        </w:rPr>
        <w:t>对第7条建议的修改</w:t>
      </w:r>
    </w:p>
  </w:comment>
  <w:comment w:id="11" w:author="黑白格" w:date="2022-08-05T18:50:48Z" w:initials="">
    <w:p w14:paraId="026C6D32">
      <w:pPr>
        <w:pStyle w:val="6"/>
        <w:rPr>
          <w:rFonts w:hint="default" w:eastAsia="宋体"/>
          <w:lang w:val="en-US" w:eastAsia="zh-CN"/>
        </w:rPr>
      </w:pPr>
      <w:r>
        <w:rPr>
          <w:rFonts w:hint="eastAsia"/>
          <w:lang w:val="en-US" w:eastAsia="zh-CN"/>
        </w:rPr>
        <w:t>对第八条建议的修改，医废间的建设位置、规模，医废间为新建，不涉及整改，完善。</w:t>
      </w:r>
    </w:p>
  </w:comment>
  <w:comment w:id="12" w:author="黑白格" w:date="2022-08-06T10:19:22Z" w:initials="">
    <w:p w14:paraId="7D1C75B7">
      <w:pPr>
        <w:pStyle w:val="6"/>
        <w:rPr>
          <w:rFonts w:hint="default" w:eastAsia="宋体"/>
          <w:lang w:val="en-US" w:eastAsia="zh-CN"/>
        </w:rPr>
      </w:pPr>
      <w:r>
        <w:rPr>
          <w:rFonts w:hint="eastAsia"/>
          <w:lang w:val="en-US" w:eastAsia="zh-CN"/>
        </w:rPr>
        <w:t>对第九条建议的修改</w:t>
      </w:r>
    </w:p>
  </w:comment>
  <w:comment w:id="13" w:author="黑白格" w:date="2022-08-06T09:36:10Z" w:initials="">
    <w:p w14:paraId="110C148D">
      <w:pPr>
        <w:pStyle w:val="6"/>
        <w:rPr>
          <w:rFonts w:hint="default" w:eastAsia="宋体"/>
          <w:lang w:val="en-US" w:eastAsia="zh-CN"/>
        </w:rPr>
      </w:pPr>
      <w:r>
        <w:rPr>
          <w:rFonts w:hint="eastAsia"/>
          <w:lang w:val="en-US" w:eastAsia="zh-CN"/>
        </w:rPr>
        <w:t>对建议第十条的修改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CF04275" w15:done="0"/>
  <w15:commentEx w15:paraId="09F56169" w15:done="0"/>
  <w15:commentEx w15:paraId="2F26195F" w15:done="0"/>
  <w15:commentEx w15:paraId="5AAA442F" w15:done="0"/>
  <w15:commentEx w15:paraId="75C44C6A" w15:done="0"/>
  <w15:commentEx w15:paraId="6D6D6357" w15:done="0"/>
  <w15:commentEx w15:paraId="3C9B67AC" w15:done="0"/>
  <w15:commentEx w15:paraId="2DBE0B3C" w15:done="0"/>
  <w15:commentEx w15:paraId="354576F6" w15:done="0"/>
  <w15:commentEx w15:paraId="152667E1" w15:done="0"/>
  <w15:commentEx w15:paraId="39B854FD" w15:done="0"/>
  <w15:commentEx w15:paraId="026C6D32" w15:done="0"/>
  <w15:commentEx w15:paraId="7D1C75B7" w15:done="0"/>
  <w15:commentEx w15:paraId="110C148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_..">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4</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10</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sz w:val="26"/>
        <w:szCs w:val="26"/>
      </w:rPr>
      <w:t>11</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57D47"/>
    <w:multiLevelType w:val="multilevel"/>
    <w:tmpl w:val="A1E57D47"/>
    <w:lvl w:ilvl="0" w:tentative="0">
      <w:start w:val="1"/>
      <w:numFmt w:val="chineseCounting"/>
      <w:suff w:val="nothing"/>
      <w:lvlText w:val="%1、"/>
      <w:lvlJc w:val="left"/>
      <w:pPr>
        <w:tabs>
          <w:tab w:val="left" w:pos="0"/>
        </w:tabs>
        <w:ind w:left="0" w:firstLine="0"/>
      </w:pPr>
      <w:rPr>
        <w:rFonts w:hint="eastAsia" w:ascii="宋体" w:hAnsi="宋体" w:eastAsia="宋体" w:cs="宋体"/>
        <w:b/>
        <w:bCs/>
      </w:rPr>
    </w:lvl>
    <w:lvl w:ilvl="1" w:tentative="0">
      <w:start w:val="1"/>
      <w:numFmt w:val="decimal"/>
      <w:suff w:val="nothing"/>
      <w:lvlText w:val="%2．"/>
      <w:lvlJc w:val="left"/>
      <w:pPr>
        <w:ind w:left="650" w:hanging="230"/>
      </w:pPr>
      <w:rPr>
        <w:rFonts w:hint="eastAsia" w:ascii="宋体" w:hAnsi="宋体" w:eastAsia="宋体" w:cs="宋体"/>
      </w:rPr>
    </w:lvl>
    <w:lvl w:ilvl="2" w:tentative="0">
      <w:start w:val="1"/>
      <w:numFmt w:val="decimal"/>
      <w:suff w:val="nothing"/>
      <w:lvlText w:val="（%3）"/>
      <w:lvlJc w:val="left"/>
      <w:pPr>
        <w:ind w:left="230" w:hanging="230"/>
      </w:pPr>
      <w:rPr>
        <w:rFonts w:hint="eastAsia" w:ascii="宋体" w:hAnsi="宋体" w:eastAsia="宋体" w:cs="宋体"/>
      </w:rPr>
    </w:lvl>
    <w:lvl w:ilvl="3" w:tentative="0">
      <w:start w:val="1"/>
      <w:numFmt w:val="decimalEnclosedCircleChinese"/>
      <w:suff w:val="nothing"/>
      <w:lvlText w:val="%4 "/>
      <w:lvlJc w:val="left"/>
      <w:pPr>
        <w:ind w:left="230" w:firstLine="402"/>
      </w:pPr>
      <w:rPr>
        <w:rFonts w:hint="eastAsia"/>
      </w:rPr>
    </w:lvl>
    <w:lvl w:ilvl="4" w:tentative="0">
      <w:start w:val="1"/>
      <w:numFmt w:val="decimal"/>
      <w:suff w:val="nothing"/>
      <w:lvlText w:val="%5）"/>
      <w:lvlJc w:val="left"/>
      <w:pPr>
        <w:ind w:left="230" w:firstLine="402"/>
      </w:pPr>
      <w:rPr>
        <w:rFonts w:hint="eastAsia"/>
      </w:rPr>
    </w:lvl>
    <w:lvl w:ilvl="5" w:tentative="0">
      <w:start w:val="1"/>
      <w:numFmt w:val="lowerLetter"/>
      <w:suff w:val="nothing"/>
      <w:lvlText w:val="%6．"/>
      <w:lvlJc w:val="left"/>
      <w:pPr>
        <w:ind w:left="230" w:firstLine="402"/>
      </w:pPr>
      <w:rPr>
        <w:rFonts w:hint="eastAsia"/>
      </w:rPr>
    </w:lvl>
    <w:lvl w:ilvl="6" w:tentative="0">
      <w:start w:val="1"/>
      <w:numFmt w:val="lowerLetter"/>
      <w:suff w:val="nothing"/>
      <w:lvlText w:val="%7）"/>
      <w:lvlJc w:val="left"/>
      <w:pPr>
        <w:ind w:left="230" w:firstLine="402"/>
      </w:pPr>
      <w:rPr>
        <w:rFonts w:hint="eastAsia"/>
      </w:rPr>
    </w:lvl>
    <w:lvl w:ilvl="7" w:tentative="0">
      <w:start w:val="1"/>
      <w:numFmt w:val="lowerRoman"/>
      <w:suff w:val="nothing"/>
      <w:lvlText w:val="%8. "/>
      <w:lvlJc w:val="left"/>
      <w:pPr>
        <w:ind w:left="230" w:firstLine="402"/>
      </w:pPr>
      <w:rPr>
        <w:rFonts w:hint="eastAsia"/>
      </w:rPr>
    </w:lvl>
    <w:lvl w:ilvl="8" w:tentative="0">
      <w:start w:val="1"/>
      <w:numFmt w:val="lowerRoman"/>
      <w:suff w:val="nothing"/>
      <w:lvlText w:val="%9）"/>
      <w:lvlJc w:val="left"/>
      <w:pPr>
        <w:ind w:left="230" w:firstLine="402"/>
      </w:pPr>
      <w:rPr>
        <w:rFonts w:hint="eastAsia"/>
      </w:rPr>
    </w:lvl>
  </w:abstractNum>
  <w:abstractNum w:abstractNumId="1">
    <w:nsid w:val="A9E2EB08"/>
    <w:multiLevelType w:val="singleLevel"/>
    <w:tmpl w:val="A9E2EB08"/>
    <w:lvl w:ilvl="0" w:tentative="0">
      <w:start w:val="1"/>
      <w:numFmt w:val="decimal"/>
      <w:lvlText w:val="(%1)"/>
      <w:lvlJc w:val="left"/>
      <w:pPr>
        <w:ind w:left="425" w:hanging="425"/>
      </w:pPr>
      <w:rPr>
        <w:rFonts w:hint="default"/>
      </w:rPr>
    </w:lvl>
  </w:abstractNum>
  <w:abstractNum w:abstractNumId="2">
    <w:nsid w:val="C630783A"/>
    <w:multiLevelType w:val="multilevel"/>
    <w:tmpl w:val="C630783A"/>
    <w:lvl w:ilvl="0" w:tentative="0">
      <w:start w:val="1"/>
      <w:numFmt w:val="chineseCounting"/>
      <w:suff w:val="nothing"/>
      <w:lvlText w:val="%1 、"/>
      <w:lvlJc w:val="left"/>
      <w:pPr>
        <w:tabs>
          <w:tab w:val="left" w:pos="420"/>
        </w:tabs>
        <w:ind w:left="0" w:firstLine="0"/>
      </w:pPr>
      <w:rPr>
        <w:rFonts w:hint="eastAsia" w:ascii="宋体" w:hAnsi="宋体" w:eastAsia="宋体" w:cs="宋体"/>
      </w:rPr>
    </w:lvl>
    <w:lvl w:ilvl="1" w:tentative="0">
      <w:start w:val="1"/>
      <w:numFmt w:val="decimal"/>
      <w:isLgl/>
      <w:lvlText w:val="%2."/>
      <w:lvlJc w:val="left"/>
      <w:pPr>
        <w:tabs>
          <w:tab w:val="left" w:pos="420"/>
        </w:tabs>
        <w:ind w:left="0" w:firstLine="0"/>
      </w:pPr>
      <w:rPr>
        <w:rFonts w:hint="eastAsia" w:ascii="宋体" w:hAnsi="宋体" w:eastAsia="宋体" w:cs="宋体"/>
        <w:b/>
      </w:rPr>
    </w:lvl>
    <w:lvl w:ilvl="2" w:tentative="0">
      <w:start w:val="1"/>
      <w:numFmt w:val="decimal"/>
      <w:isLgl/>
      <w:lvlText w:val="%2.%3."/>
      <w:lvlJc w:val="left"/>
      <w:pPr>
        <w:ind w:left="0" w:firstLine="0"/>
      </w:pPr>
      <w:rPr>
        <w:rFonts w:hint="eastAsia" w:ascii="宋体" w:hAnsi="宋体" w:eastAsia="宋体" w:cs="宋体"/>
        <w:b/>
      </w:rPr>
    </w:lvl>
    <w:lvl w:ilvl="3" w:tentative="0">
      <w:start w:val="1"/>
      <w:numFmt w:val="decimal"/>
      <w:pStyle w:val="4"/>
      <w:isLgl/>
      <w:lvlText w:val="%2.%3.%4."/>
      <w:lvlJc w:val="left"/>
      <w:pPr>
        <w:ind w:left="0" w:firstLine="0"/>
      </w:pPr>
      <w:rPr>
        <w:rFonts w:hint="eastAsia" w:ascii="宋体" w:hAnsi="宋体" w:eastAsia="宋体" w:cs="宋体"/>
        <w:b/>
      </w:rPr>
    </w:lvl>
    <w:lvl w:ilvl="4" w:tentative="0">
      <w:start w:val="1"/>
      <w:numFmt w:val="decimal"/>
      <w:isLgl/>
      <w:lvlText w:val="%2.%3.%4.%5."/>
      <w:lvlJc w:val="left"/>
      <w:pPr>
        <w:ind w:left="0" w:firstLine="0"/>
      </w:pPr>
      <w:rPr>
        <w:rFonts w:hint="eastAsia" w:ascii="宋体" w:hAnsi="宋体" w:eastAsia="宋体" w:cs="宋体"/>
        <w:b/>
      </w:rPr>
    </w:lvl>
    <w:lvl w:ilvl="5" w:tentative="0">
      <w:start w:val="1"/>
      <w:numFmt w:val="decimal"/>
      <w:isLgl/>
      <w:lvlText w:val="%2.%3.%4.%5.%6."/>
      <w:lvlJc w:val="left"/>
      <w:pPr>
        <w:ind w:left="0" w:firstLine="0"/>
      </w:pPr>
      <w:rPr>
        <w:rFonts w:hint="eastAsia" w:ascii="宋体" w:hAnsi="宋体" w:eastAsia="宋体" w:cs="宋体"/>
      </w:rPr>
    </w:lvl>
    <w:lvl w:ilvl="6" w:tentative="0">
      <w:start w:val="1"/>
      <w:numFmt w:val="decimal"/>
      <w:isLgl/>
      <w:lvlText w:val="%2.%3.%4.%5.%6.%7."/>
      <w:lvlJc w:val="left"/>
      <w:pPr>
        <w:ind w:left="0" w:firstLine="0"/>
      </w:pPr>
      <w:rPr>
        <w:rFonts w:hint="eastAsia" w:ascii="宋体" w:hAnsi="宋体" w:eastAsia="宋体" w:cs="宋体"/>
      </w:rPr>
    </w:lvl>
    <w:lvl w:ilvl="7" w:tentative="0">
      <w:start w:val="1"/>
      <w:numFmt w:val="decimal"/>
      <w:isLgl/>
      <w:lvlText w:val="%2.%3.%4.%5.%6.%7.%8."/>
      <w:lvlJc w:val="left"/>
      <w:pPr>
        <w:ind w:left="0" w:firstLine="0"/>
      </w:pPr>
      <w:rPr>
        <w:rFonts w:hint="eastAsia" w:ascii="宋体" w:hAnsi="宋体" w:eastAsia="宋体" w:cs="宋体"/>
      </w:rPr>
    </w:lvl>
    <w:lvl w:ilvl="8" w:tentative="0">
      <w:start w:val="1"/>
      <w:numFmt w:val="decimal"/>
      <w:isLgl/>
      <w:lvlText w:val="%2.%3.%4.%5.%6.%7.%8.%9."/>
      <w:lvlJc w:val="left"/>
      <w:pPr>
        <w:ind w:left="0" w:firstLine="0"/>
      </w:pPr>
      <w:rPr>
        <w:rFonts w:hint="eastAsia" w:ascii="宋体" w:hAnsi="宋体" w:eastAsia="宋体" w:cs="宋体"/>
      </w:rPr>
    </w:lvl>
  </w:abstractNum>
  <w:abstractNum w:abstractNumId="3">
    <w:nsid w:val="D2983F74"/>
    <w:multiLevelType w:val="singleLevel"/>
    <w:tmpl w:val="D2983F74"/>
    <w:lvl w:ilvl="0" w:tentative="0">
      <w:start w:val="1"/>
      <w:numFmt w:val="lowerLetter"/>
      <w:lvlText w:val="%1."/>
      <w:lvlJc w:val="left"/>
      <w:pPr>
        <w:ind w:left="425" w:hanging="425"/>
      </w:pPr>
      <w:rPr>
        <w:rFonts w:hint="default"/>
      </w:rPr>
    </w:lvl>
  </w:abstractNum>
  <w:abstractNum w:abstractNumId="4">
    <w:nsid w:val="DE6897D5"/>
    <w:multiLevelType w:val="multilevel"/>
    <w:tmpl w:val="DE6897D5"/>
    <w:lvl w:ilvl="0" w:tentative="0">
      <w:start w:val="1"/>
      <w:numFmt w:val="decimal"/>
      <w:lvlText w:val="图3-%1  "/>
      <w:lvlJc w:val="left"/>
      <w:pPr>
        <w:ind w:left="1140" w:hanging="420"/>
      </w:pPr>
      <w:rPr>
        <w:rFonts w:hint="default" w:ascii="Times New Roman" w:hAnsi="Times New Roman" w:eastAsia="宋体" w:cs="Times New Roman"/>
        <w:b/>
        <w:sz w:val="21"/>
        <w:szCs w:val="21"/>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
    <w:nsid w:val="E6B4A24E"/>
    <w:multiLevelType w:val="singleLevel"/>
    <w:tmpl w:val="E6B4A24E"/>
    <w:lvl w:ilvl="0" w:tentative="0">
      <w:start w:val="1"/>
      <w:numFmt w:val="decimal"/>
      <w:lvlText w:val="(%1)"/>
      <w:lvlJc w:val="left"/>
      <w:pPr>
        <w:ind w:left="845" w:hanging="425"/>
      </w:pPr>
      <w:rPr>
        <w:rFonts w:hint="default"/>
      </w:rPr>
    </w:lvl>
  </w:abstractNum>
  <w:abstractNum w:abstractNumId="6">
    <w:nsid w:val="E7793F76"/>
    <w:multiLevelType w:val="singleLevel"/>
    <w:tmpl w:val="E7793F76"/>
    <w:lvl w:ilvl="0" w:tentative="0">
      <w:start w:val="1"/>
      <w:numFmt w:val="decimal"/>
      <w:lvlText w:val="(%1)"/>
      <w:lvlJc w:val="left"/>
      <w:pPr>
        <w:ind w:left="425" w:hanging="425"/>
      </w:pPr>
      <w:rPr>
        <w:rFonts w:hint="default"/>
      </w:rPr>
    </w:lvl>
  </w:abstractNum>
  <w:abstractNum w:abstractNumId="7">
    <w:nsid w:val="EDEDAE8D"/>
    <w:multiLevelType w:val="singleLevel"/>
    <w:tmpl w:val="EDEDAE8D"/>
    <w:lvl w:ilvl="0" w:tentative="0">
      <w:start w:val="1"/>
      <w:numFmt w:val="decimalEnclosedCircleChinese"/>
      <w:suff w:val="nothing"/>
      <w:lvlText w:val="%1　"/>
      <w:lvlJc w:val="left"/>
      <w:pPr>
        <w:ind w:left="0" w:firstLine="400"/>
      </w:pPr>
      <w:rPr>
        <w:rFonts w:hint="eastAsia"/>
      </w:rPr>
    </w:lvl>
  </w:abstractNum>
  <w:abstractNum w:abstractNumId="8">
    <w:nsid w:val="FB909933"/>
    <w:multiLevelType w:val="singleLevel"/>
    <w:tmpl w:val="FB909933"/>
    <w:lvl w:ilvl="0" w:tentative="0">
      <w:start w:val="1"/>
      <w:numFmt w:val="decimalEnclosedCircleChinese"/>
      <w:suff w:val="nothing"/>
      <w:lvlText w:val="%1　"/>
      <w:lvlJc w:val="left"/>
      <w:pPr>
        <w:ind w:left="0" w:firstLine="400"/>
      </w:pPr>
      <w:rPr>
        <w:rFonts w:hint="eastAsia"/>
      </w:rPr>
    </w:lvl>
  </w:abstractNum>
  <w:abstractNum w:abstractNumId="9">
    <w:nsid w:val="0FEEC96C"/>
    <w:multiLevelType w:val="singleLevel"/>
    <w:tmpl w:val="0FEEC96C"/>
    <w:lvl w:ilvl="0" w:tentative="0">
      <w:start w:val="1"/>
      <w:numFmt w:val="decimal"/>
      <w:lvlText w:val="(%1)"/>
      <w:lvlJc w:val="left"/>
      <w:pPr>
        <w:ind w:left="425" w:hanging="425"/>
      </w:pPr>
      <w:rPr>
        <w:rFonts w:hint="default"/>
      </w:rPr>
    </w:lvl>
  </w:abstractNum>
  <w:abstractNum w:abstractNumId="10">
    <w:nsid w:val="20F6C812"/>
    <w:multiLevelType w:val="singleLevel"/>
    <w:tmpl w:val="20F6C812"/>
    <w:lvl w:ilvl="0" w:tentative="0">
      <w:start w:val="1"/>
      <w:numFmt w:val="lowerLetter"/>
      <w:lvlText w:val="%1."/>
      <w:lvlJc w:val="left"/>
      <w:pPr>
        <w:ind w:left="425" w:hanging="425"/>
      </w:pPr>
      <w:rPr>
        <w:rFonts w:hint="default"/>
      </w:rPr>
    </w:lvl>
  </w:abstractNum>
  <w:abstractNum w:abstractNumId="11">
    <w:nsid w:val="3159C66E"/>
    <w:multiLevelType w:val="singleLevel"/>
    <w:tmpl w:val="3159C66E"/>
    <w:lvl w:ilvl="0" w:tentative="0">
      <w:start w:val="1"/>
      <w:numFmt w:val="decimalEnclosedCircleChinese"/>
      <w:suff w:val="nothing"/>
      <w:lvlText w:val="%1　"/>
      <w:lvlJc w:val="left"/>
      <w:pPr>
        <w:ind w:left="0" w:firstLine="400"/>
      </w:pPr>
      <w:rPr>
        <w:rFonts w:hint="eastAsia"/>
      </w:rPr>
    </w:lvl>
  </w:abstractNum>
  <w:abstractNum w:abstractNumId="12">
    <w:nsid w:val="493F8F90"/>
    <w:multiLevelType w:val="singleLevel"/>
    <w:tmpl w:val="493F8F90"/>
    <w:lvl w:ilvl="0" w:tentative="0">
      <w:start w:val="1"/>
      <w:numFmt w:val="decimal"/>
      <w:lvlText w:val="表4-%1"/>
      <w:lvlJc w:val="left"/>
      <w:pPr>
        <w:tabs>
          <w:tab w:val="left" w:pos="420"/>
        </w:tabs>
        <w:ind w:left="425" w:hanging="425"/>
      </w:pPr>
      <w:rPr>
        <w:rFonts w:hint="default"/>
        <w:b/>
        <w:szCs w:val="21"/>
      </w:rPr>
    </w:lvl>
  </w:abstractNum>
  <w:abstractNum w:abstractNumId="13">
    <w:nsid w:val="58DE0BE5"/>
    <w:multiLevelType w:val="multilevel"/>
    <w:tmpl w:val="58DE0BE5"/>
    <w:lvl w:ilvl="0" w:tentative="0">
      <w:start w:val="1"/>
      <w:numFmt w:val="decimal"/>
      <w:suff w:val="space"/>
      <w:lvlText w:val="%1"/>
      <w:lvlJc w:val="left"/>
      <w:pPr>
        <w:ind w:left="0" w:firstLine="0"/>
      </w:pPr>
      <w:rPr>
        <w:rFonts w:hint="default" w:ascii="宋体" w:hAnsi="宋体" w:eastAsia="宋体" w:cs="宋体"/>
      </w:rPr>
    </w:lvl>
    <w:lvl w:ilvl="1" w:tentative="0">
      <w:start w:val="1"/>
      <w:numFmt w:val="decimal"/>
      <w:suff w:val="space"/>
      <w:lvlText w:val="%1.%2"/>
      <w:lvlJc w:val="left"/>
      <w:pPr>
        <w:tabs>
          <w:tab w:val="left" w:pos="0"/>
        </w:tabs>
        <w:ind w:left="0" w:firstLine="0"/>
      </w:pPr>
      <w:rPr>
        <w:rFonts w:hint="default" w:ascii="宋体" w:hAnsi="宋体" w:eastAsia="宋体" w:cs="宋体"/>
      </w:rPr>
    </w:lvl>
    <w:lvl w:ilvl="2" w:tentative="0">
      <w:start w:val="1"/>
      <w:numFmt w:val="decimal"/>
      <w:isLgl/>
      <w:suff w:val="space"/>
      <w:lvlText w:val="%1.%2.%3"/>
      <w:lvlJc w:val="left"/>
      <w:pPr>
        <w:tabs>
          <w:tab w:val="left" w:pos="420"/>
        </w:tabs>
        <w:ind w:left="0" w:firstLine="0"/>
      </w:pPr>
      <w:rPr>
        <w:rFonts w:hint="default" w:ascii="宋体" w:hAnsi="宋体" w:eastAsia="宋体" w:cs="宋体"/>
      </w:rPr>
    </w:lvl>
    <w:lvl w:ilvl="3" w:tentative="0">
      <w:start w:val="1"/>
      <w:numFmt w:val="decimal"/>
      <w:pStyle w:val="50"/>
      <w:suff w:val="nothing"/>
      <w:lvlText w:val="（%4）"/>
      <w:lvlJc w:val="left"/>
      <w:pPr>
        <w:tabs>
          <w:tab w:val="left" w:pos="420"/>
        </w:tabs>
        <w:ind w:left="850" w:hanging="850"/>
      </w:pPr>
      <w:rPr>
        <w:rFonts w:hint="default" w:ascii="宋体" w:hAnsi="宋体" w:eastAsia="宋体" w:cs="宋体"/>
        <w:lang w:val="en-US"/>
      </w:rPr>
    </w:lvl>
    <w:lvl w:ilvl="4" w:tentative="0">
      <w:start w:val="1"/>
      <w:numFmt w:val="none"/>
      <w:lvlText w:val=""/>
      <w:lvlJc w:val="left"/>
      <w:pPr>
        <w:tabs>
          <w:tab w:val="left" w:pos="420"/>
        </w:tabs>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5A0B2FAA"/>
    <w:multiLevelType w:val="multilevel"/>
    <w:tmpl w:val="5A0B2FAA"/>
    <w:lvl w:ilvl="0" w:tentative="0">
      <w:start w:val="1"/>
      <w:numFmt w:val="decimal"/>
      <w:lvlText w:val="表3-%1"/>
      <w:lvlJc w:val="center"/>
      <w:pPr>
        <w:ind w:left="840" w:hanging="420"/>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C8709F"/>
    <w:multiLevelType w:val="multilevel"/>
    <w:tmpl w:val="6DC8709F"/>
    <w:lvl w:ilvl="0" w:tentative="0">
      <w:start w:val="1"/>
      <w:numFmt w:val="decimal"/>
      <w:lvlText w:val="图4-%1"/>
      <w:lvlJc w:val="center"/>
      <w:pPr>
        <w:ind w:left="900" w:hanging="420"/>
      </w:pPr>
      <w:rPr>
        <w:rFonts w:hint="default" w:ascii="Times New Roman" w:hAnsi="Times New Roman" w:eastAsia="宋体" w:cs="Times New Roman"/>
        <w:b/>
        <w:i w:val="0"/>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F1BD0B4"/>
    <w:multiLevelType w:val="singleLevel"/>
    <w:tmpl w:val="7F1BD0B4"/>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13"/>
  </w:num>
  <w:num w:numId="3">
    <w:abstractNumId w:val="0"/>
  </w:num>
  <w:num w:numId="4">
    <w:abstractNumId w:val="6"/>
  </w:num>
  <w:num w:numId="5">
    <w:abstractNumId w:val="1"/>
  </w:num>
  <w:num w:numId="6">
    <w:abstractNumId w:val="4"/>
  </w:num>
  <w:num w:numId="7">
    <w:abstractNumId w:val="14"/>
  </w:num>
  <w:num w:numId="8">
    <w:abstractNumId w:val="5"/>
  </w:num>
  <w:num w:numId="9">
    <w:abstractNumId w:val="12"/>
  </w:num>
  <w:num w:numId="10">
    <w:abstractNumId w:val="15"/>
  </w:num>
  <w:num w:numId="11">
    <w:abstractNumId w:val="11"/>
  </w:num>
  <w:num w:numId="12">
    <w:abstractNumId w:val="7"/>
  </w:num>
  <w:num w:numId="13">
    <w:abstractNumId w:val="3"/>
  </w:num>
  <w:num w:numId="14">
    <w:abstractNumId w:val="9"/>
  </w:num>
  <w:num w:numId="15">
    <w:abstractNumId w:val="8"/>
  </w:num>
  <w:num w:numId="16">
    <w:abstractNumId w:val="16"/>
  </w:num>
  <w:num w:numId="1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黑白格">
    <w15:presenceInfo w15:providerId="WPS Office" w15:userId="22861922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3OTQ2MDIyMDEwMzQ4YTZmZGIzZGMzNzEyMGU5NzEifQ=="/>
  </w:docVars>
  <w:rsids>
    <w:rsidRoot w:val="00172A27"/>
    <w:rsid w:val="000060B3"/>
    <w:rsid w:val="0004364B"/>
    <w:rsid w:val="000454D8"/>
    <w:rsid w:val="00061B1F"/>
    <w:rsid w:val="000666A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F4ECF"/>
    <w:rsid w:val="00114E6F"/>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356C"/>
    <w:rsid w:val="00594D77"/>
    <w:rsid w:val="005969E4"/>
    <w:rsid w:val="005A06B7"/>
    <w:rsid w:val="005A1759"/>
    <w:rsid w:val="005A68A7"/>
    <w:rsid w:val="005B173F"/>
    <w:rsid w:val="005D36AB"/>
    <w:rsid w:val="005E28D6"/>
    <w:rsid w:val="00617CC3"/>
    <w:rsid w:val="00635D9A"/>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7643"/>
    <w:rsid w:val="00976328"/>
    <w:rsid w:val="0097680D"/>
    <w:rsid w:val="00982438"/>
    <w:rsid w:val="0098404C"/>
    <w:rsid w:val="00985283"/>
    <w:rsid w:val="00985672"/>
    <w:rsid w:val="00995992"/>
    <w:rsid w:val="009A03E5"/>
    <w:rsid w:val="009A0F3B"/>
    <w:rsid w:val="009A1BB4"/>
    <w:rsid w:val="009A2628"/>
    <w:rsid w:val="009A3200"/>
    <w:rsid w:val="009A5BA3"/>
    <w:rsid w:val="009B0897"/>
    <w:rsid w:val="009B65F0"/>
    <w:rsid w:val="009B7BD9"/>
    <w:rsid w:val="009C7DD5"/>
    <w:rsid w:val="009E227D"/>
    <w:rsid w:val="009E5019"/>
    <w:rsid w:val="009F6341"/>
    <w:rsid w:val="00A04F1B"/>
    <w:rsid w:val="00A0501B"/>
    <w:rsid w:val="00A14947"/>
    <w:rsid w:val="00A32A83"/>
    <w:rsid w:val="00A368DB"/>
    <w:rsid w:val="00A423AA"/>
    <w:rsid w:val="00A53EC6"/>
    <w:rsid w:val="00A55C0F"/>
    <w:rsid w:val="00A8713F"/>
    <w:rsid w:val="00A90BA1"/>
    <w:rsid w:val="00A93795"/>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42639"/>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02941"/>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5219"/>
    <w:rsid w:val="00CA7EF8"/>
    <w:rsid w:val="00CC489B"/>
    <w:rsid w:val="00CD2BCD"/>
    <w:rsid w:val="00CD3A4C"/>
    <w:rsid w:val="00CD620E"/>
    <w:rsid w:val="00CE10E9"/>
    <w:rsid w:val="00CE2910"/>
    <w:rsid w:val="00CE5393"/>
    <w:rsid w:val="00CF36BE"/>
    <w:rsid w:val="00CF6000"/>
    <w:rsid w:val="00D003F3"/>
    <w:rsid w:val="00D0364F"/>
    <w:rsid w:val="00D06834"/>
    <w:rsid w:val="00D308ED"/>
    <w:rsid w:val="00D36B0E"/>
    <w:rsid w:val="00D36D86"/>
    <w:rsid w:val="00D428AA"/>
    <w:rsid w:val="00D50A34"/>
    <w:rsid w:val="00D53EFA"/>
    <w:rsid w:val="00D94A7C"/>
    <w:rsid w:val="00D95896"/>
    <w:rsid w:val="00DA11A8"/>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B77BF"/>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4958AD"/>
    <w:rsid w:val="024E3885"/>
    <w:rsid w:val="02697903"/>
    <w:rsid w:val="02F96569"/>
    <w:rsid w:val="03EA7B21"/>
    <w:rsid w:val="047C3E39"/>
    <w:rsid w:val="052F7077"/>
    <w:rsid w:val="05732FB2"/>
    <w:rsid w:val="05F83EAE"/>
    <w:rsid w:val="063E7D85"/>
    <w:rsid w:val="064206EE"/>
    <w:rsid w:val="07293586"/>
    <w:rsid w:val="07295285"/>
    <w:rsid w:val="07636392"/>
    <w:rsid w:val="07770C56"/>
    <w:rsid w:val="07F71F0E"/>
    <w:rsid w:val="092217DD"/>
    <w:rsid w:val="093A7294"/>
    <w:rsid w:val="0A263993"/>
    <w:rsid w:val="0A2D3AC2"/>
    <w:rsid w:val="0A315AC0"/>
    <w:rsid w:val="0AA755DF"/>
    <w:rsid w:val="0B120D44"/>
    <w:rsid w:val="0B9F58ED"/>
    <w:rsid w:val="0BD27BF6"/>
    <w:rsid w:val="0C3B3C7D"/>
    <w:rsid w:val="0CAB2EAE"/>
    <w:rsid w:val="0D621C7D"/>
    <w:rsid w:val="0E73034D"/>
    <w:rsid w:val="0F13775A"/>
    <w:rsid w:val="0F5F45FE"/>
    <w:rsid w:val="0F9A112B"/>
    <w:rsid w:val="106D2F64"/>
    <w:rsid w:val="10B63710"/>
    <w:rsid w:val="10F10820"/>
    <w:rsid w:val="111C2F7A"/>
    <w:rsid w:val="11665CA1"/>
    <w:rsid w:val="131532FE"/>
    <w:rsid w:val="13951726"/>
    <w:rsid w:val="139B0566"/>
    <w:rsid w:val="14396509"/>
    <w:rsid w:val="14DD2C3C"/>
    <w:rsid w:val="154102EB"/>
    <w:rsid w:val="15481E95"/>
    <w:rsid w:val="16087E1D"/>
    <w:rsid w:val="17701D14"/>
    <w:rsid w:val="17735226"/>
    <w:rsid w:val="179C06F6"/>
    <w:rsid w:val="179C4ECB"/>
    <w:rsid w:val="17C01A67"/>
    <w:rsid w:val="182E3C7D"/>
    <w:rsid w:val="189F624C"/>
    <w:rsid w:val="1A1C66C0"/>
    <w:rsid w:val="1A42393B"/>
    <w:rsid w:val="1A84797F"/>
    <w:rsid w:val="1AAD45DE"/>
    <w:rsid w:val="1B046F80"/>
    <w:rsid w:val="1B3267B5"/>
    <w:rsid w:val="1B40161D"/>
    <w:rsid w:val="1B441859"/>
    <w:rsid w:val="1B6606B1"/>
    <w:rsid w:val="1C5E7925"/>
    <w:rsid w:val="1CB33EB3"/>
    <w:rsid w:val="1CFD070F"/>
    <w:rsid w:val="1D5F6196"/>
    <w:rsid w:val="1D6132A5"/>
    <w:rsid w:val="1D8E56D5"/>
    <w:rsid w:val="1DF9590B"/>
    <w:rsid w:val="1E7A43DA"/>
    <w:rsid w:val="1FE7539E"/>
    <w:rsid w:val="20671BE0"/>
    <w:rsid w:val="20963CB8"/>
    <w:rsid w:val="20A81A1B"/>
    <w:rsid w:val="20B07FB6"/>
    <w:rsid w:val="20B537CF"/>
    <w:rsid w:val="20B646FB"/>
    <w:rsid w:val="20E74131"/>
    <w:rsid w:val="2116209A"/>
    <w:rsid w:val="213B74B1"/>
    <w:rsid w:val="215A2310"/>
    <w:rsid w:val="21695B71"/>
    <w:rsid w:val="21DE318A"/>
    <w:rsid w:val="21EF5B80"/>
    <w:rsid w:val="22367651"/>
    <w:rsid w:val="22576990"/>
    <w:rsid w:val="22C308A9"/>
    <w:rsid w:val="22F47480"/>
    <w:rsid w:val="23831E49"/>
    <w:rsid w:val="23DE1C48"/>
    <w:rsid w:val="240210CD"/>
    <w:rsid w:val="24BF09F7"/>
    <w:rsid w:val="252D53FE"/>
    <w:rsid w:val="25EC2D81"/>
    <w:rsid w:val="2711261E"/>
    <w:rsid w:val="277057A2"/>
    <w:rsid w:val="27790BAA"/>
    <w:rsid w:val="29206EB8"/>
    <w:rsid w:val="29595666"/>
    <w:rsid w:val="29874881"/>
    <w:rsid w:val="29B72D45"/>
    <w:rsid w:val="29C3120A"/>
    <w:rsid w:val="29E325E0"/>
    <w:rsid w:val="2A452503"/>
    <w:rsid w:val="2A572582"/>
    <w:rsid w:val="2AAF1D9B"/>
    <w:rsid w:val="2BA936A8"/>
    <w:rsid w:val="2BCC106C"/>
    <w:rsid w:val="2C315A5A"/>
    <w:rsid w:val="2C4B1C25"/>
    <w:rsid w:val="2D6A7C73"/>
    <w:rsid w:val="2D9E56F5"/>
    <w:rsid w:val="2E1D179C"/>
    <w:rsid w:val="2E667F96"/>
    <w:rsid w:val="2E8226AB"/>
    <w:rsid w:val="2FD065E6"/>
    <w:rsid w:val="2FD96870"/>
    <w:rsid w:val="30580BC9"/>
    <w:rsid w:val="308A2837"/>
    <w:rsid w:val="311C79A0"/>
    <w:rsid w:val="311E2ED7"/>
    <w:rsid w:val="315619EE"/>
    <w:rsid w:val="315C449C"/>
    <w:rsid w:val="31B82709"/>
    <w:rsid w:val="31D05482"/>
    <w:rsid w:val="32400B34"/>
    <w:rsid w:val="329E6876"/>
    <w:rsid w:val="32FB4CD6"/>
    <w:rsid w:val="333015F2"/>
    <w:rsid w:val="334B6320"/>
    <w:rsid w:val="339B487A"/>
    <w:rsid w:val="33D934D4"/>
    <w:rsid w:val="33FE2F6A"/>
    <w:rsid w:val="340E07E5"/>
    <w:rsid w:val="34235BF7"/>
    <w:rsid w:val="35417AAF"/>
    <w:rsid w:val="358C5FA8"/>
    <w:rsid w:val="35C15DF1"/>
    <w:rsid w:val="36074A7F"/>
    <w:rsid w:val="366A40BB"/>
    <w:rsid w:val="36923549"/>
    <w:rsid w:val="369352DB"/>
    <w:rsid w:val="36B75FBF"/>
    <w:rsid w:val="36BD0C45"/>
    <w:rsid w:val="37E00298"/>
    <w:rsid w:val="380E65A9"/>
    <w:rsid w:val="38B302F9"/>
    <w:rsid w:val="38F12CD3"/>
    <w:rsid w:val="38F94775"/>
    <w:rsid w:val="392971ED"/>
    <w:rsid w:val="39325651"/>
    <w:rsid w:val="3A872856"/>
    <w:rsid w:val="3B3763D1"/>
    <w:rsid w:val="3B7021F7"/>
    <w:rsid w:val="3B743601"/>
    <w:rsid w:val="3BA73467"/>
    <w:rsid w:val="3BCC707E"/>
    <w:rsid w:val="3C2F6E1E"/>
    <w:rsid w:val="3C4F64BA"/>
    <w:rsid w:val="3CDA245A"/>
    <w:rsid w:val="3D1E06B7"/>
    <w:rsid w:val="3EDA0523"/>
    <w:rsid w:val="3F1C0B68"/>
    <w:rsid w:val="3F5A64A7"/>
    <w:rsid w:val="407A6407"/>
    <w:rsid w:val="40E31A1B"/>
    <w:rsid w:val="41532757"/>
    <w:rsid w:val="415F089B"/>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4431BE"/>
    <w:rsid w:val="46577FD6"/>
    <w:rsid w:val="469F4F78"/>
    <w:rsid w:val="46D955A7"/>
    <w:rsid w:val="46E26BDC"/>
    <w:rsid w:val="47133957"/>
    <w:rsid w:val="47A07E0C"/>
    <w:rsid w:val="480F19A9"/>
    <w:rsid w:val="4870272E"/>
    <w:rsid w:val="48EC381D"/>
    <w:rsid w:val="49DC7715"/>
    <w:rsid w:val="49F03F8B"/>
    <w:rsid w:val="4A023139"/>
    <w:rsid w:val="4A731A3E"/>
    <w:rsid w:val="4A7B576F"/>
    <w:rsid w:val="4AEE7A57"/>
    <w:rsid w:val="4AF561A9"/>
    <w:rsid w:val="4C472EFB"/>
    <w:rsid w:val="4C4A0649"/>
    <w:rsid w:val="4C7E5ECA"/>
    <w:rsid w:val="4C876AA5"/>
    <w:rsid w:val="4D0E00FB"/>
    <w:rsid w:val="4D176606"/>
    <w:rsid w:val="4D3A6764"/>
    <w:rsid w:val="4DE158BD"/>
    <w:rsid w:val="4DEC4FB0"/>
    <w:rsid w:val="4E075D8A"/>
    <w:rsid w:val="4E212D84"/>
    <w:rsid w:val="4E6170A3"/>
    <w:rsid w:val="4EC00FAD"/>
    <w:rsid w:val="4F9843DC"/>
    <w:rsid w:val="4FC62A8C"/>
    <w:rsid w:val="4FE20F0D"/>
    <w:rsid w:val="4FE51552"/>
    <w:rsid w:val="500C4B34"/>
    <w:rsid w:val="502C032E"/>
    <w:rsid w:val="50434FDE"/>
    <w:rsid w:val="50504C4B"/>
    <w:rsid w:val="509C6E7C"/>
    <w:rsid w:val="5162104E"/>
    <w:rsid w:val="52020F97"/>
    <w:rsid w:val="52CE31CA"/>
    <w:rsid w:val="53A039CC"/>
    <w:rsid w:val="53A1505A"/>
    <w:rsid w:val="54063E08"/>
    <w:rsid w:val="543437E8"/>
    <w:rsid w:val="54F73313"/>
    <w:rsid w:val="54F80955"/>
    <w:rsid w:val="553F27ED"/>
    <w:rsid w:val="555170A7"/>
    <w:rsid w:val="5587536D"/>
    <w:rsid w:val="559B174B"/>
    <w:rsid w:val="55CE0CF4"/>
    <w:rsid w:val="56B22A9C"/>
    <w:rsid w:val="56FD40FE"/>
    <w:rsid w:val="57B72A76"/>
    <w:rsid w:val="57C3426C"/>
    <w:rsid w:val="57CE1F93"/>
    <w:rsid w:val="5815606B"/>
    <w:rsid w:val="586E2A14"/>
    <w:rsid w:val="588743D1"/>
    <w:rsid w:val="5887701A"/>
    <w:rsid w:val="59C0439F"/>
    <w:rsid w:val="5ABE2233"/>
    <w:rsid w:val="5AE54E0C"/>
    <w:rsid w:val="5AF81422"/>
    <w:rsid w:val="5B757732"/>
    <w:rsid w:val="5BDF5D95"/>
    <w:rsid w:val="5BFE7528"/>
    <w:rsid w:val="5CF91B30"/>
    <w:rsid w:val="5D456C42"/>
    <w:rsid w:val="5E2467F1"/>
    <w:rsid w:val="5F1A2B43"/>
    <w:rsid w:val="5FB837BB"/>
    <w:rsid w:val="6059595A"/>
    <w:rsid w:val="60CC405A"/>
    <w:rsid w:val="61E215D8"/>
    <w:rsid w:val="621B3775"/>
    <w:rsid w:val="62364782"/>
    <w:rsid w:val="63033ACD"/>
    <w:rsid w:val="636C1C36"/>
    <w:rsid w:val="6394356A"/>
    <w:rsid w:val="63C61B2C"/>
    <w:rsid w:val="63C7669B"/>
    <w:rsid w:val="63D40BE9"/>
    <w:rsid w:val="64102431"/>
    <w:rsid w:val="64A5243A"/>
    <w:rsid w:val="64F531DE"/>
    <w:rsid w:val="65373578"/>
    <w:rsid w:val="65E54724"/>
    <w:rsid w:val="66D97F53"/>
    <w:rsid w:val="671F124A"/>
    <w:rsid w:val="677A33C6"/>
    <w:rsid w:val="681F6961"/>
    <w:rsid w:val="68610A2F"/>
    <w:rsid w:val="68805514"/>
    <w:rsid w:val="69316E2F"/>
    <w:rsid w:val="694E2071"/>
    <w:rsid w:val="69766163"/>
    <w:rsid w:val="697A3B33"/>
    <w:rsid w:val="69B70DA1"/>
    <w:rsid w:val="69D44760"/>
    <w:rsid w:val="6A520EC7"/>
    <w:rsid w:val="6AF87E20"/>
    <w:rsid w:val="6B322639"/>
    <w:rsid w:val="6B3B30D9"/>
    <w:rsid w:val="6B5C0882"/>
    <w:rsid w:val="6BC87C13"/>
    <w:rsid w:val="6C636C38"/>
    <w:rsid w:val="6DB34098"/>
    <w:rsid w:val="6DB545B6"/>
    <w:rsid w:val="6DE02FB4"/>
    <w:rsid w:val="6DE21523"/>
    <w:rsid w:val="6E3E514A"/>
    <w:rsid w:val="6E4B0D09"/>
    <w:rsid w:val="6E514CED"/>
    <w:rsid w:val="6EB563D5"/>
    <w:rsid w:val="6EB611AF"/>
    <w:rsid w:val="6ED92677"/>
    <w:rsid w:val="6F0165BD"/>
    <w:rsid w:val="6F225983"/>
    <w:rsid w:val="6FD45DF7"/>
    <w:rsid w:val="6FFC5590"/>
    <w:rsid w:val="70694E04"/>
    <w:rsid w:val="706D1DD0"/>
    <w:rsid w:val="70856B87"/>
    <w:rsid w:val="70C06E05"/>
    <w:rsid w:val="70C47B67"/>
    <w:rsid w:val="70D527EE"/>
    <w:rsid w:val="715B5300"/>
    <w:rsid w:val="71D27F8A"/>
    <w:rsid w:val="72553024"/>
    <w:rsid w:val="73122968"/>
    <w:rsid w:val="731F5D5E"/>
    <w:rsid w:val="73C51AD5"/>
    <w:rsid w:val="741E793C"/>
    <w:rsid w:val="745E3944"/>
    <w:rsid w:val="75EB4C0E"/>
    <w:rsid w:val="7635099D"/>
    <w:rsid w:val="76F1500F"/>
    <w:rsid w:val="77762421"/>
    <w:rsid w:val="77B56B1F"/>
    <w:rsid w:val="780F09F4"/>
    <w:rsid w:val="78A90480"/>
    <w:rsid w:val="79D07BFD"/>
    <w:rsid w:val="7A364017"/>
    <w:rsid w:val="7A8265E1"/>
    <w:rsid w:val="7B686D42"/>
    <w:rsid w:val="7B841746"/>
    <w:rsid w:val="7C305892"/>
    <w:rsid w:val="7C6C5AC7"/>
    <w:rsid w:val="7C7F3C6C"/>
    <w:rsid w:val="7CC6544B"/>
    <w:rsid w:val="7D0239FF"/>
    <w:rsid w:val="7D5E40CD"/>
    <w:rsid w:val="7DCD56F2"/>
    <w:rsid w:val="7E665D9B"/>
    <w:rsid w:val="7EFC41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1"/>
    <w:next w:val="1"/>
    <w:semiHidden/>
    <w:unhideWhenUsed/>
    <w:qFormat/>
    <w:locked/>
    <w:uiPriority w:val="0"/>
    <w:pPr>
      <w:numPr>
        <w:ilvl w:val="3"/>
        <w:numId w:val="1"/>
      </w:numPr>
      <w:spacing w:before="40" w:after="50"/>
      <w:jc w:val="left"/>
      <w:outlineLvl w:val="3"/>
    </w:p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0"/>
    <w:qFormat/>
    <w:uiPriority w:val="0"/>
    <w:pPr>
      <w:widowControl/>
      <w:snapToGrid w:val="0"/>
      <w:spacing w:before="60" w:after="160" w:line="259" w:lineRule="auto"/>
      <w:ind w:right="113"/>
    </w:pPr>
    <w:rPr>
      <w:kern w:val="0"/>
      <w:sz w:val="18"/>
      <w:szCs w:val="20"/>
    </w:rPr>
  </w:style>
  <w:style w:type="paragraph" w:styleId="5">
    <w:name w:val="Normal Indent"/>
    <w:basedOn w:val="1"/>
    <w:next w:val="1"/>
    <w:qFormat/>
    <w:locked/>
    <w:uiPriority w:val="0"/>
    <w:pPr>
      <w:ind w:firstLine="420"/>
    </w:pPr>
    <w:rPr>
      <w:sz w:val="28"/>
    </w:rPr>
  </w:style>
  <w:style w:type="paragraph" w:styleId="6">
    <w:name w:val="annotation text"/>
    <w:basedOn w:val="1"/>
    <w:link w:val="29"/>
    <w:semiHidden/>
    <w:qFormat/>
    <w:uiPriority w:val="0"/>
    <w:pPr>
      <w:jc w:val="left"/>
    </w:pPr>
    <w:rPr>
      <w:kern w:val="0"/>
      <w:sz w:val="24"/>
      <w:szCs w:val="20"/>
    </w:rPr>
  </w:style>
  <w:style w:type="paragraph" w:styleId="7">
    <w:name w:val="Body Text Indent"/>
    <w:basedOn w:val="1"/>
    <w:next w:val="2"/>
    <w:link w:val="31"/>
    <w:qFormat/>
    <w:uiPriority w:val="0"/>
    <w:pPr>
      <w:spacing w:after="120"/>
      <w:ind w:left="420" w:leftChars="200"/>
    </w:pPr>
    <w:rPr>
      <w:kern w:val="0"/>
      <w:sz w:val="24"/>
      <w:szCs w:val="20"/>
    </w:rPr>
  </w:style>
  <w:style w:type="paragraph" w:styleId="8">
    <w:name w:val="Plain Text"/>
    <w:basedOn w:val="1"/>
    <w:qFormat/>
    <w:locked/>
    <w:uiPriority w:val="0"/>
    <w:pPr>
      <w:widowControl/>
      <w:spacing w:before="100" w:beforeAutospacing="1" w:after="100" w:afterAutospacing="1"/>
      <w:jc w:val="left"/>
    </w:pPr>
    <w:rPr>
      <w:rFonts w:ascii="宋体" w:hAnsi="宋体" w:cs="宋体"/>
      <w:color w:val="0F0020"/>
      <w:sz w:val="24"/>
    </w:rPr>
  </w:style>
  <w:style w:type="paragraph" w:styleId="9">
    <w:name w:val="Date"/>
    <w:basedOn w:val="1"/>
    <w:next w:val="1"/>
    <w:link w:val="32"/>
    <w:qFormat/>
    <w:uiPriority w:val="0"/>
    <w:pPr>
      <w:ind w:left="100" w:leftChars="2500"/>
    </w:pPr>
    <w:rPr>
      <w:kern w:val="0"/>
      <w:sz w:val="24"/>
      <w:szCs w:val="20"/>
    </w:rPr>
  </w:style>
  <w:style w:type="paragraph" w:styleId="10">
    <w:name w:val="Balloon Text"/>
    <w:basedOn w:val="1"/>
    <w:link w:val="33"/>
    <w:semiHidden/>
    <w:qFormat/>
    <w:uiPriority w:val="0"/>
    <w:rPr>
      <w:kern w:val="0"/>
      <w:sz w:val="18"/>
      <w:szCs w:val="20"/>
    </w:rPr>
  </w:style>
  <w:style w:type="paragraph" w:styleId="11">
    <w:name w:val="footer"/>
    <w:basedOn w:val="1"/>
    <w:link w:val="34"/>
    <w:qFormat/>
    <w:uiPriority w:val="99"/>
    <w:pPr>
      <w:tabs>
        <w:tab w:val="center" w:pos="4153"/>
        <w:tab w:val="right" w:pos="8306"/>
      </w:tabs>
      <w:snapToGrid w:val="0"/>
      <w:jc w:val="left"/>
    </w:pPr>
    <w:rPr>
      <w:kern w:val="0"/>
      <w:sz w:val="18"/>
      <w:szCs w:val="20"/>
    </w:rPr>
  </w:style>
  <w:style w:type="paragraph" w:styleId="12">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List"/>
    <w:basedOn w:val="1"/>
    <w:unhideWhenUsed/>
    <w:qFormat/>
    <w:locked/>
    <w:uiPriority w:val="99"/>
    <w:pPr>
      <w:spacing w:line="360" w:lineRule="auto"/>
      <w:ind w:left="200" w:hanging="200" w:hangingChars="200"/>
    </w:pPr>
    <w:rPr>
      <w:sz w:val="24"/>
    </w:rPr>
  </w:style>
  <w:style w:type="paragraph" w:styleId="14">
    <w:name w:val="toc 2"/>
    <w:basedOn w:val="1"/>
    <w:next w:val="1"/>
    <w:qFormat/>
    <w:locked/>
    <w:uiPriority w:val="39"/>
    <w:pPr>
      <w:ind w:left="420" w:leftChars="200"/>
    </w:pPr>
  </w:style>
  <w:style w:type="paragraph" w:styleId="15">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6"/>
    <w:next w:val="6"/>
    <w:link w:val="37"/>
    <w:semiHidden/>
    <w:qFormat/>
    <w:uiPriority w:val="0"/>
    <w:rPr>
      <w:b/>
    </w:rPr>
  </w:style>
  <w:style w:type="paragraph" w:styleId="17">
    <w:name w:val="Body Text First Indent 2"/>
    <w:basedOn w:val="7"/>
    <w:qFormat/>
    <w:locked/>
    <w:uiPriority w:val="0"/>
    <w:pPr>
      <w:ind w:firstLine="420" w:firstLineChars="200"/>
    </w:p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locked/>
    <w:uiPriority w:val="0"/>
  </w:style>
  <w:style w:type="character" w:styleId="22">
    <w:name w:val="Emphasis"/>
    <w:basedOn w:val="20"/>
    <w:qFormat/>
    <w:locked/>
    <w:uiPriority w:val="0"/>
    <w:rPr>
      <w:b/>
      <w:sz w:val="21"/>
      <w:szCs w:val="21"/>
    </w:rPr>
  </w:style>
  <w:style w:type="character" w:styleId="23">
    <w:name w:val="annotation reference"/>
    <w:semiHidden/>
    <w:qFormat/>
    <w:uiPriority w:val="0"/>
    <w:rPr>
      <w:sz w:val="21"/>
    </w:rPr>
  </w:style>
  <w:style w:type="paragraph" w:customStyle="1" w:styleId="24">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paragraph" w:customStyle="1" w:styleId="25">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6">
    <w:name w:val="样式 样式 样式 四号 左侧:  1.53 厘米 + 首行缩进:  2 字符 + 居中 左侧:  2 字符 首行缩进:  2..."/>
    <w:basedOn w:val="27"/>
    <w:next w:val="1"/>
    <w:qFormat/>
    <w:uiPriority w:val="0"/>
    <w:pPr>
      <w:spacing w:line="360" w:lineRule="auto"/>
      <w:jc w:val="center"/>
    </w:pPr>
  </w:style>
  <w:style w:type="paragraph" w:customStyle="1" w:styleId="27">
    <w:name w:val="样式 样式 四号 左侧:  1.53 厘米 + 首行缩进:  2 字符"/>
    <w:basedOn w:val="28"/>
    <w:qFormat/>
    <w:uiPriority w:val="99"/>
    <w:pPr>
      <w:ind w:left="200" w:leftChars="200"/>
    </w:pPr>
    <w:rPr>
      <w:szCs w:val="20"/>
    </w:rPr>
  </w:style>
  <w:style w:type="paragraph" w:customStyle="1" w:styleId="28">
    <w:name w:val="样式 四号 左侧:  1.53 厘米"/>
    <w:basedOn w:val="1"/>
    <w:qFormat/>
    <w:uiPriority w:val="99"/>
    <w:rPr>
      <w:w w:val="90"/>
      <w:sz w:val="28"/>
      <w:szCs w:val="28"/>
    </w:rPr>
  </w:style>
  <w:style w:type="character" w:customStyle="1" w:styleId="29">
    <w:name w:val="批注文字 字符"/>
    <w:link w:val="6"/>
    <w:qFormat/>
    <w:locked/>
    <w:uiPriority w:val="0"/>
    <w:rPr>
      <w:rFonts w:ascii="Times New Roman" w:hAnsi="Times New Roman" w:eastAsia="宋体"/>
      <w:sz w:val="24"/>
    </w:rPr>
  </w:style>
  <w:style w:type="character" w:customStyle="1" w:styleId="30">
    <w:name w:val="正文文本 字符"/>
    <w:link w:val="2"/>
    <w:qFormat/>
    <w:locked/>
    <w:uiPriority w:val="0"/>
    <w:rPr>
      <w:sz w:val="18"/>
    </w:rPr>
  </w:style>
  <w:style w:type="character" w:customStyle="1" w:styleId="31">
    <w:name w:val="正文文本缩进 字符"/>
    <w:link w:val="7"/>
    <w:semiHidden/>
    <w:qFormat/>
    <w:locked/>
    <w:uiPriority w:val="0"/>
    <w:rPr>
      <w:rFonts w:ascii="Times New Roman" w:hAnsi="Times New Roman" w:eastAsia="宋体"/>
      <w:sz w:val="24"/>
    </w:rPr>
  </w:style>
  <w:style w:type="character" w:customStyle="1" w:styleId="32">
    <w:name w:val="日期 字符1"/>
    <w:link w:val="9"/>
    <w:qFormat/>
    <w:locked/>
    <w:uiPriority w:val="0"/>
    <w:rPr>
      <w:rFonts w:ascii="Times New Roman" w:hAnsi="Times New Roman" w:eastAsia="宋体"/>
      <w:sz w:val="24"/>
    </w:rPr>
  </w:style>
  <w:style w:type="character" w:customStyle="1" w:styleId="33">
    <w:name w:val="批注框文本 字符"/>
    <w:link w:val="10"/>
    <w:semiHidden/>
    <w:qFormat/>
    <w:locked/>
    <w:uiPriority w:val="0"/>
    <w:rPr>
      <w:rFonts w:ascii="Times New Roman" w:hAnsi="Times New Roman" w:eastAsia="宋体"/>
      <w:sz w:val="18"/>
    </w:rPr>
  </w:style>
  <w:style w:type="character" w:customStyle="1" w:styleId="34">
    <w:name w:val="页脚 字符1"/>
    <w:link w:val="11"/>
    <w:qFormat/>
    <w:locked/>
    <w:uiPriority w:val="99"/>
    <w:rPr>
      <w:sz w:val="18"/>
    </w:rPr>
  </w:style>
  <w:style w:type="character" w:customStyle="1" w:styleId="35">
    <w:name w:val="页眉 字符"/>
    <w:link w:val="12"/>
    <w:qFormat/>
    <w:locked/>
    <w:uiPriority w:val="0"/>
    <w:rPr>
      <w:sz w:val="18"/>
    </w:rPr>
  </w:style>
  <w:style w:type="character" w:customStyle="1" w:styleId="36">
    <w:name w:val="普通(网站) 字符"/>
    <w:link w:val="15"/>
    <w:qFormat/>
    <w:locked/>
    <w:uiPriority w:val="0"/>
    <w:rPr>
      <w:rFonts w:ascii="宋体" w:hAnsi="宋体" w:eastAsia="宋体"/>
      <w:sz w:val="24"/>
    </w:rPr>
  </w:style>
  <w:style w:type="character" w:customStyle="1" w:styleId="37">
    <w:name w:val="批注主题 字符"/>
    <w:link w:val="16"/>
    <w:semiHidden/>
    <w:qFormat/>
    <w:locked/>
    <w:uiPriority w:val="0"/>
    <w:rPr>
      <w:rFonts w:ascii="Times New Roman" w:hAnsi="Times New Roman" w:eastAsia="宋体"/>
      <w:b/>
      <w:kern w:val="2"/>
      <w:sz w:val="24"/>
    </w:rPr>
  </w:style>
  <w:style w:type="character" w:customStyle="1" w:styleId="38">
    <w:name w:val="表格 Char"/>
    <w:link w:val="24"/>
    <w:qFormat/>
    <w:locked/>
    <w:uiPriority w:val="0"/>
    <w:rPr>
      <w:rFonts w:ascii="宋体"/>
      <w:sz w:val="21"/>
    </w:rPr>
  </w:style>
  <w:style w:type="character" w:customStyle="1" w:styleId="39">
    <w:name w:val="页脚 字符"/>
    <w:basedOn w:val="20"/>
    <w:qFormat/>
    <w:uiPriority w:val="99"/>
  </w:style>
  <w:style w:type="character" w:customStyle="1" w:styleId="40">
    <w:name w:val="正文文本 字符1"/>
    <w:semiHidden/>
    <w:qFormat/>
    <w:uiPriority w:val="0"/>
    <w:rPr>
      <w:rFonts w:ascii="Times New Roman" w:hAnsi="Times New Roman" w:eastAsia="宋体"/>
      <w:sz w:val="24"/>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文字 字符1"/>
    <w:semiHidden/>
    <w:qFormat/>
    <w:uiPriority w:val="0"/>
    <w:rPr>
      <w:rFonts w:ascii="Times New Roman" w:hAnsi="Times New Roman" w:eastAsia="宋体"/>
      <w:sz w:val="24"/>
    </w:rPr>
  </w:style>
  <w:style w:type="paragraph" w:customStyle="1" w:styleId="4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5">
    <w:name w:val="+正文"/>
    <w:basedOn w:val="1"/>
    <w:qFormat/>
    <w:uiPriority w:val="0"/>
    <w:pPr>
      <w:spacing w:line="360" w:lineRule="auto"/>
      <w:ind w:firstLine="720" w:firstLineChars="200"/>
      <w:jc w:val="left"/>
    </w:pPr>
    <w:rPr>
      <w:sz w:val="24"/>
      <w:szCs w:val="28"/>
    </w:rPr>
  </w:style>
  <w:style w:type="paragraph" w:customStyle="1" w:styleId="46">
    <w:name w:val="Default"/>
    <w:qFormat/>
    <w:uiPriority w:val="0"/>
    <w:pPr>
      <w:widowControl w:val="0"/>
      <w:autoSpaceDE w:val="0"/>
      <w:autoSpaceDN w:val="0"/>
      <w:adjustRightInd w:val="0"/>
    </w:pPr>
    <w:rPr>
      <w:rFonts w:ascii="宋体_.." w:hAnsi="Times New Roman" w:eastAsia="宋体_.." w:cs="宋体_.."/>
      <w:color w:val="000000"/>
      <w:sz w:val="24"/>
      <w:szCs w:val="24"/>
      <w:lang w:val="en-US" w:eastAsia="zh-CN" w:bidi="ar-SA"/>
    </w:rPr>
  </w:style>
  <w:style w:type="character" w:customStyle="1" w:styleId="47">
    <w:name w:val="font41"/>
    <w:basedOn w:val="20"/>
    <w:qFormat/>
    <w:uiPriority w:val="0"/>
    <w:rPr>
      <w:rFonts w:hint="eastAsia" w:ascii="宋体" w:hAnsi="宋体" w:eastAsia="宋体" w:cs="宋体"/>
      <w:color w:val="000000"/>
      <w:sz w:val="20"/>
      <w:szCs w:val="20"/>
      <w:u w:val="none"/>
    </w:rPr>
  </w:style>
  <w:style w:type="paragraph" w:customStyle="1" w:styleId="48">
    <w:name w:val="书表格内"/>
    <w:basedOn w:val="1"/>
    <w:qFormat/>
    <w:uiPriority w:val="0"/>
    <w:pPr>
      <w:framePr w:hSpace="180" w:wrap="around" w:vAnchor="text" w:hAnchor="text" w:xAlign="center" w:y="1"/>
      <w:jc w:val="center"/>
    </w:pPr>
    <w:rPr>
      <w:b/>
      <w:kern w:val="0"/>
    </w:rPr>
  </w:style>
  <w:style w:type="paragraph" w:customStyle="1" w:styleId="49">
    <w:name w:val="0表格正文"/>
    <w:basedOn w:val="1"/>
    <w:next w:val="1"/>
    <w:qFormat/>
    <w:uiPriority w:val="0"/>
    <w:pPr>
      <w:pBdr>
        <w:top w:val="none" w:color="auto" w:sz="0" w:space="1"/>
        <w:left w:val="none" w:color="auto" w:sz="0" w:space="4"/>
        <w:bottom w:val="none" w:color="auto" w:sz="0" w:space="1"/>
        <w:right w:val="none" w:color="auto" w:sz="0" w:space="4"/>
      </w:pBdr>
      <w:jc w:val="center"/>
    </w:pPr>
  </w:style>
  <w:style w:type="paragraph" w:customStyle="1" w:styleId="50">
    <w:name w:val="000序号（1）"/>
    <w:basedOn w:val="1"/>
    <w:qFormat/>
    <w:uiPriority w:val="0"/>
    <w:pPr>
      <w:numPr>
        <w:ilvl w:val="3"/>
        <w:numId w:val="2"/>
      </w:numPr>
      <w:adjustRightInd w:val="0"/>
      <w:snapToGrid w:val="0"/>
      <w:spacing w:line="360" w:lineRule="auto"/>
    </w:pPr>
    <w:rPr>
      <w:kern w:val="0"/>
      <w:sz w:val="20"/>
      <w:szCs w:val="20"/>
    </w:rPr>
  </w:style>
  <w:style w:type="paragraph" w:customStyle="1" w:styleId="51">
    <w:name w:val="0表-序号"/>
    <w:next w:val="1"/>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52">
    <w:name w:val="p17"/>
    <w:basedOn w:val="1"/>
    <w:qFormat/>
    <w:uiPriority w:val="0"/>
    <w:pPr>
      <w:widowControl/>
    </w:pPr>
    <w:rPr>
      <w:rFonts w:ascii="宋体" w:hAnsi="宋体"/>
      <w:kern w:val="0"/>
      <w:szCs w:val="20"/>
    </w:rPr>
  </w:style>
  <w:style w:type="paragraph" w:customStyle="1" w:styleId="53">
    <w:name w:val="我的表格文字"/>
    <w:basedOn w:val="1"/>
    <w:qFormat/>
    <w:uiPriority w:val="0"/>
    <w:pPr>
      <w:widowControl/>
      <w:adjustRightInd w:val="0"/>
      <w:snapToGrid w:val="0"/>
      <w:jc w:val="center"/>
      <w:textAlignment w:val="center"/>
    </w:pPr>
    <w:rPr>
      <w:color w:val="FF0000"/>
      <w:kern w:val="0"/>
      <w:sz w:val="24"/>
      <w:szCs w:val="21"/>
    </w:rPr>
  </w:style>
  <w:style w:type="paragraph" w:styleId="54">
    <w:name w:val="List Paragraph"/>
    <w:basedOn w:val="1"/>
    <w:qFormat/>
    <w:uiPriority w:val="34"/>
    <w:pPr>
      <w:widowControl/>
      <w:adjustRightInd w:val="0"/>
      <w:snapToGrid w:val="0"/>
      <w:ind w:firstLine="420" w:firstLineChars="200"/>
    </w:pPr>
    <w:rPr>
      <w:rFonts w:ascii="Tahoma" w:hAnsi="Tahoma" w:eastAsia="楷体_GB2312"/>
      <w:kern w:val="0"/>
      <w:sz w:val="24"/>
      <w:szCs w:val="22"/>
    </w:rPr>
  </w:style>
  <w:style w:type="paragraph" w:customStyle="1" w:styleId="55">
    <w:name w:val="列表段落4"/>
    <w:basedOn w:val="1"/>
    <w:qFormat/>
    <w:uiPriority w:val="99"/>
    <w:pPr>
      <w:spacing w:line="500" w:lineRule="exact"/>
      <w:ind w:firstLine="420"/>
    </w:pPr>
  </w:style>
  <w:style w:type="paragraph" w:customStyle="1" w:styleId="56">
    <w:name w:val="表格式"/>
    <w:basedOn w:val="13"/>
    <w:qFormat/>
    <w:uiPriority w:val="0"/>
    <w:pPr>
      <w:spacing w:line="400" w:lineRule="exact"/>
      <w:ind w:left="0" w:firstLine="0" w:firstLineChars="0"/>
      <w:jc w:val="center"/>
    </w:pPr>
    <w:rPr>
      <w:rFonts w:ascii="宋体"/>
      <w:szCs w:val="20"/>
    </w:rPr>
  </w:style>
  <w:style w:type="paragraph" w:customStyle="1" w:styleId="57">
    <w:name w:val="区划正文"/>
    <w:qFormat/>
    <w:uiPriority w:val="0"/>
    <w:pPr>
      <w:spacing w:line="480" w:lineRule="exact"/>
    </w:pPr>
    <w:rPr>
      <w:rFonts w:ascii="Times New Roman" w:hAnsi="Times New Roman" w:eastAsia="宋体" w:cs="Times New Roman"/>
      <w:lang w:val="en-US" w:eastAsia="zh-CN" w:bidi="ar-SA"/>
    </w:rPr>
  </w:style>
  <w:style w:type="character" w:customStyle="1" w:styleId="58">
    <w:name w:val="样式 区划正文+小4 24 + 首行缩进:  2 字符1 Char"/>
    <w:link w:val="59"/>
    <w:qFormat/>
    <w:uiPriority w:val="0"/>
    <w:rPr>
      <w:color w:val="auto"/>
      <w:szCs w:val="24"/>
    </w:rPr>
  </w:style>
  <w:style w:type="paragraph" w:customStyle="1" w:styleId="59">
    <w:name w:val="样式 区划正文+小4 24 + 首行缩进:  2 字符1"/>
    <w:basedOn w:val="60"/>
    <w:link w:val="58"/>
    <w:qFormat/>
    <w:uiPriority w:val="0"/>
    <w:pPr>
      <w:spacing w:line="460" w:lineRule="exact"/>
    </w:pPr>
    <w:rPr>
      <w:color w:val="auto"/>
      <w:szCs w:val="24"/>
    </w:rPr>
  </w:style>
  <w:style w:type="paragraph" w:customStyle="1" w:styleId="60">
    <w:name w:val="区划正文+小4 24"/>
    <w:basedOn w:val="57"/>
    <w:qFormat/>
    <w:uiPriority w:val="0"/>
    <w:rPr>
      <w:color w:val="0000FF"/>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yNTkwMDYzNTk5IiwKCSJHcm91cElkIiA6ICIyNjY3NDI5NjgiLAoJIkltYWdlIiA6ICJpVkJPUncwS0dnb0FBQUFOU1VoRVVnQUFBOU1BQUFHZUNBWUFBQUNYVkZMZUFBQUFDWEJJV1hNQUFBc1RBQUFMRXdFQW1wd1lBQUFnQUVsRVFWUjRuT3pkZVhoVFZmb0g4TzlOMnFTa0MyMjZoUzRVQ2kxbFVhWXRyb01MdU1FTWppQ0RJTWo4UmtkeFFOelloa1ZrVVFFRkZFVUdkWFJFa1dWazBVRWNBVWRrVUVCZ0FGa0t0RktnQzZYN21yMU43dStQa2t5M3BMbHBtaTU4UDgvRFkzclB1ZWU4UVpya3pka0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dwWC9ENTBFdmZFODF5bUx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30161</Words>
  <Characters>33707</Characters>
  <Lines>246</Lines>
  <Paragraphs>69</Paragraphs>
  <TotalTime>7</TotalTime>
  <ScaleCrop>false</ScaleCrop>
  <LinksUpToDate>false</LinksUpToDate>
  <CharactersWithSpaces>33764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黑白格</cp:lastModifiedBy>
  <cp:lastPrinted>2020-12-29T02:43:00Z</cp:lastPrinted>
  <dcterms:modified xsi:type="dcterms:W3CDTF">2022-08-09T03:30:08Z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E53C104899974A228065EBC937111573</vt:lpwstr>
  </property>
</Properties>
</file>